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_GBK" w:eastAsia="方正小标宋简体" w:cs="方正小标宋_GBK"/>
          <w:sz w:val="44"/>
          <w:szCs w:val="44"/>
        </w:rPr>
      </w:pPr>
    </w:p>
    <w:p>
      <w:pPr>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重庆市沙坪坝区养老服务体系建设“十四五”</w:t>
      </w:r>
    </w:p>
    <w:p>
      <w:pPr>
        <w:jc w:val="center"/>
        <w:rPr>
          <w:rFonts w:hint="default" w:ascii="Times New Roman" w:hAnsi="Times New Roman" w:eastAsia="方正小标宋_GBK" w:cs="Times New Roman"/>
          <w:b w:val="0"/>
          <w:bCs w:val="0"/>
          <w:sz w:val="44"/>
          <w:szCs w:val="44"/>
        </w:rPr>
      </w:pPr>
      <w:r>
        <w:rPr>
          <w:rFonts w:hint="eastAsia" w:ascii="Times New Roman" w:hAnsi="Times New Roman" w:eastAsia="方正小标宋_GBK" w:cs="Times New Roman"/>
          <w:b w:val="0"/>
          <w:bCs w:val="0"/>
          <w:sz w:val="44"/>
          <w:szCs w:val="44"/>
          <w:lang w:eastAsia="zh-CN"/>
        </w:rPr>
        <w:t>发展</w:t>
      </w:r>
      <w:r>
        <w:rPr>
          <w:rFonts w:hint="default" w:ascii="Times New Roman" w:hAnsi="Times New Roman" w:eastAsia="方正小标宋_GBK" w:cs="Times New Roman"/>
          <w:b w:val="0"/>
          <w:bCs w:val="0"/>
          <w:sz w:val="44"/>
          <w:szCs w:val="44"/>
        </w:rPr>
        <w:t>规划（2021—2025年）</w:t>
      </w:r>
    </w:p>
    <w:p>
      <w:pPr>
        <w:rPr>
          <w:rFonts w:ascii="仿宋" w:hAnsi="仿宋" w:eastAsia="仿宋" w:cs="Times New Roman"/>
          <w:sz w:val="32"/>
        </w:rPr>
      </w:pPr>
    </w:p>
    <w:p>
      <w:pPr>
        <w:rPr>
          <w:rFonts w:ascii="仿宋" w:hAnsi="仿宋" w:eastAsia="仿宋" w:cs="Times New Roman"/>
          <w:color w:val="FF0000"/>
          <w:sz w:val="32"/>
        </w:rPr>
      </w:pPr>
    </w:p>
    <w:p>
      <w:pPr>
        <w:rPr>
          <w:rFonts w:ascii="仿宋" w:hAnsi="仿宋" w:eastAsia="仿宋" w:cs="Times New Roman"/>
          <w:color w:val="FF0000"/>
          <w:sz w:val="32"/>
        </w:rPr>
      </w:pPr>
    </w:p>
    <w:p>
      <w:pPr>
        <w:rPr>
          <w:rFonts w:ascii="仿宋" w:hAnsi="仿宋" w:eastAsia="仿宋" w:cs="Times New Roman"/>
          <w:sz w:val="32"/>
        </w:rPr>
      </w:pPr>
    </w:p>
    <w:p>
      <w:pPr>
        <w:rPr>
          <w:rFonts w:ascii="仿宋" w:hAnsi="仿宋" w:eastAsia="仿宋" w:cs="Times New Roman"/>
          <w:sz w:val="32"/>
        </w:rPr>
      </w:pPr>
    </w:p>
    <w:p>
      <w:pPr>
        <w:rPr>
          <w:rFonts w:ascii="仿宋" w:hAnsi="仿宋" w:eastAsia="仿宋" w:cs="Times New Roman"/>
          <w:sz w:val="32"/>
        </w:rPr>
      </w:pPr>
    </w:p>
    <w:p>
      <w:pPr>
        <w:rPr>
          <w:rFonts w:ascii="仿宋" w:hAnsi="仿宋" w:eastAsia="仿宋" w:cs="Times New Roman"/>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jc w:val="center"/>
        <w:rPr>
          <w:rFonts w:ascii="仿宋" w:hAnsi="仿宋" w:eastAsia="仿宋"/>
          <w:sz w:val="32"/>
        </w:rPr>
      </w:pPr>
      <w:r>
        <w:rPr>
          <w:rFonts w:ascii="Times New Roman" w:hAnsi="Times New Roman" w:eastAsia="仿宋" w:cs="Times New Roman"/>
          <w:sz w:val="32"/>
        </w:rPr>
        <w:t>2022</w:t>
      </w:r>
      <w:r>
        <w:rPr>
          <w:rFonts w:hint="eastAsia" w:ascii="仿宋" w:hAnsi="仿宋" w:eastAsia="仿宋"/>
          <w:sz w:val="32"/>
        </w:rPr>
        <w:t>年</w:t>
      </w:r>
      <w:r>
        <w:rPr>
          <w:rFonts w:ascii="Times New Roman" w:hAnsi="Times New Roman" w:eastAsia="仿宋" w:cs="Times New Roman"/>
          <w:sz w:val="32"/>
        </w:rPr>
        <w:t>12</w:t>
      </w:r>
      <w:r>
        <w:rPr>
          <w:rFonts w:hint="eastAsia" w:ascii="仿宋" w:hAnsi="仿宋" w:eastAsia="仿宋"/>
          <w:sz w:val="32"/>
        </w:rPr>
        <w:t>月</w:t>
      </w:r>
    </w:p>
    <w:p>
      <w:pPr>
        <w:rPr>
          <w:rFonts w:ascii="仿宋" w:hAnsi="仿宋" w:eastAsia="仿宋"/>
          <w:sz w:val="32"/>
        </w:rPr>
        <w:sectPr>
          <w:footerReference r:id="rId3" w:type="default"/>
          <w:pgSz w:w="11906" w:h="16838"/>
          <w:pgMar w:top="2098" w:right="1474" w:bottom="1985" w:left="1588" w:header="851" w:footer="992" w:gutter="0"/>
          <w:cols w:space="425" w:num="1"/>
          <w:docGrid w:type="lines" w:linePitch="312" w:charSpace="0"/>
        </w:sectPr>
      </w:pPr>
    </w:p>
    <w:sdt>
      <w:sdtPr>
        <w:rPr>
          <w:rFonts w:asciiTheme="minorHAnsi" w:hAnsiTheme="minorHAnsi" w:eastAsiaTheme="minorEastAsia" w:cstheme="minorBidi"/>
          <w:color w:val="auto"/>
          <w:kern w:val="2"/>
          <w:sz w:val="21"/>
          <w:szCs w:val="22"/>
          <w:lang w:val="zh-CN"/>
        </w:rPr>
        <w:id w:val="-592864613"/>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28"/>
            <w:jc w:val="center"/>
            <w:rPr>
              <w:rFonts w:ascii="方正小标宋简体" w:eastAsia="方正小标宋简体"/>
              <w:color w:val="auto"/>
              <w:sz w:val="40"/>
            </w:rPr>
          </w:pPr>
          <w:r>
            <w:rPr>
              <w:rFonts w:hint="eastAsia" w:ascii="方正小标宋简体" w:eastAsia="方正小标宋简体"/>
              <w:color w:val="auto"/>
              <w:sz w:val="40"/>
              <w:lang w:val="zh-CN"/>
            </w:rPr>
            <w:t xml:space="preserve">目 </w:t>
          </w:r>
          <w:r>
            <w:rPr>
              <w:rFonts w:ascii="方正小标宋简体" w:eastAsia="方正小标宋简体"/>
              <w:color w:val="auto"/>
              <w:sz w:val="40"/>
              <w:lang w:val="zh-CN"/>
            </w:rPr>
            <w:t xml:space="preserve"> </w:t>
          </w:r>
          <w:r>
            <w:rPr>
              <w:rFonts w:hint="eastAsia" w:ascii="方正小标宋简体" w:eastAsia="方正小标宋简体"/>
              <w:color w:val="auto"/>
              <w:sz w:val="40"/>
              <w:lang w:val="zh-CN"/>
            </w:rPr>
            <w:t>录</w:t>
          </w:r>
        </w:p>
        <w:p>
          <w:pPr>
            <w:pStyle w:val="2"/>
            <w:rPr>
              <w:rFonts w:ascii="仿宋" w:hAnsi="仿宋" w:eastAsia="仿宋"/>
              <w:color w:val="auto"/>
              <w:sz w:val="32"/>
              <w:szCs w:val="32"/>
            </w:rPr>
          </w:pPr>
          <w:r>
            <w:rPr>
              <w:rFonts w:ascii="仿宋" w:hAnsi="仿宋" w:eastAsia="仿宋"/>
              <w:sz w:val="32"/>
              <w:szCs w:val="32"/>
            </w:rPr>
            <w:fldChar w:fldCharType="begin"/>
          </w:r>
          <w:r>
            <w:rPr>
              <w:rFonts w:ascii="仿宋" w:hAnsi="仿宋" w:eastAsia="仿宋"/>
              <w:sz w:val="32"/>
              <w:szCs w:val="32"/>
            </w:rPr>
            <w:instrText xml:space="preserve"> TOC \o "1-3" \h \z \u </w:instrText>
          </w:r>
          <w:r>
            <w:rPr>
              <w:rFonts w:ascii="仿宋" w:hAnsi="仿宋" w:eastAsia="仿宋"/>
              <w:sz w:val="32"/>
              <w:szCs w:val="32"/>
            </w:rPr>
            <w:fldChar w:fldCharType="separate"/>
          </w:r>
          <w:r>
            <w:fldChar w:fldCharType="begin"/>
          </w:r>
          <w:r>
            <w:instrText xml:space="preserve"> HYPERLINK \l "_Toc118042922" </w:instrText>
          </w:r>
          <w:r>
            <w:fldChar w:fldCharType="separate"/>
          </w:r>
          <w:r>
            <w:rPr>
              <w:rStyle w:val="16"/>
              <w:rFonts w:ascii="黑体" w:hAnsi="黑体" w:eastAsia="黑体"/>
              <w:sz w:val="32"/>
              <w:szCs w:val="32"/>
            </w:rPr>
            <w:t>第一章  规划背景</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_Toc118042922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1</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10"/>
            <w:tabs>
              <w:tab w:val="right" w:leader="dot" w:pos="8834"/>
            </w:tabs>
            <w:rPr>
              <w:rFonts w:ascii="仿宋" w:hAnsi="仿宋" w:eastAsia="仿宋"/>
              <w:sz w:val="32"/>
              <w:szCs w:val="32"/>
            </w:rPr>
          </w:pPr>
          <w:r>
            <w:fldChar w:fldCharType="begin"/>
          </w:r>
          <w:r>
            <w:instrText xml:space="preserve"> HYPERLINK \l "_Toc118042923" </w:instrText>
          </w:r>
          <w:r>
            <w:fldChar w:fldCharType="separate"/>
          </w:r>
          <w:r>
            <w:rPr>
              <w:rStyle w:val="16"/>
              <w:rFonts w:ascii="仿宋" w:hAnsi="仿宋" w:eastAsia="仿宋"/>
              <w:sz w:val="32"/>
              <w:szCs w:val="32"/>
            </w:rPr>
            <w:t>第一节  “十三五”时期主要成绩</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_Toc118042923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1</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10"/>
            <w:tabs>
              <w:tab w:val="right" w:leader="dot" w:pos="8834"/>
            </w:tabs>
            <w:rPr>
              <w:rFonts w:ascii="仿宋" w:hAnsi="仿宋" w:eastAsia="仿宋"/>
              <w:sz w:val="32"/>
              <w:szCs w:val="32"/>
            </w:rPr>
          </w:pPr>
          <w:r>
            <w:fldChar w:fldCharType="begin"/>
          </w:r>
          <w:r>
            <w:instrText xml:space="preserve"> HYPERLINK \l "_Toc118042924" </w:instrText>
          </w:r>
          <w:r>
            <w:fldChar w:fldCharType="separate"/>
          </w:r>
          <w:r>
            <w:rPr>
              <w:rStyle w:val="16"/>
              <w:rFonts w:ascii="仿宋" w:hAnsi="仿宋" w:eastAsia="仿宋"/>
              <w:sz w:val="32"/>
              <w:szCs w:val="32"/>
            </w:rPr>
            <w:t>第二节  “十四五”时期发展形势</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_Toc118042924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4</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2"/>
            <w:ind w:firstLine="210"/>
            <w:rPr>
              <w:rFonts w:ascii="仿宋" w:hAnsi="仿宋" w:eastAsia="仿宋"/>
              <w:color w:val="auto"/>
              <w:sz w:val="32"/>
              <w:szCs w:val="32"/>
            </w:rPr>
          </w:pPr>
          <w:r>
            <w:fldChar w:fldCharType="begin"/>
          </w:r>
          <w:r>
            <w:instrText xml:space="preserve"> HYPERLINK \l "_Toc118042925" </w:instrText>
          </w:r>
          <w:r>
            <w:fldChar w:fldCharType="separate"/>
          </w:r>
          <w:r>
            <w:rPr>
              <w:rStyle w:val="16"/>
              <w:rFonts w:ascii="黑体" w:hAnsi="黑体" w:eastAsia="黑体"/>
              <w:sz w:val="32"/>
              <w:szCs w:val="32"/>
            </w:rPr>
            <w:t>第二章  总体要求</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_Toc118042925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7</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10"/>
            <w:tabs>
              <w:tab w:val="right" w:leader="dot" w:pos="8834"/>
            </w:tabs>
            <w:rPr>
              <w:rFonts w:ascii="仿宋" w:hAnsi="仿宋" w:eastAsia="仿宋"/>
              <w:sz w:val="32"/>
              <w:szCs w:val="32"/>
            </w:rPr>
          </w:pPr>
          <w:r>
            <w:fldChar w:fldCharType="begin"/>
          </w:r>
          <w:r>
            <w:instrText xml:space="preserve"> HYPERLINK \l "_Toc118042926" </w:instrText>
          </w:r>
          <w:r>
            <w:fldChar w:fldCharType="separate"/>
          </w:r>
          <w:r>
            <w:rPr>
              <w:rStyle w:val="16"/>
              <w:rFonts w:ascii="仿宋" w:hAnsi="仿宋" w:eastAsia="仿宋"/>
              <w:sz w:val="32"/>
              <w:szCs w:val="32"/>
            </w:rPr>
            <w:t>第一节  指导思想</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_Toc118042926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7</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10"/>
            <w:tabs>
              <w:tab w:val="right" w:leader="dot" w:pos="8834"/>
            </w:tabs>
            <w:rPr>
              <w:rFonts w:ascii="仿宋" w:hAnsi="仿宋" w:eastAsia="仿宋"/>
              <w:sz w:val="32"/>
              <w:szCs w:val="32"/>
            </w:rPr>
          </w:pPr>
          <w:r>
            <w:fldChar w:fldCharType="begin"/>
          </w:r>
          <w:r>
            <w:instrText xml:space="preserve"> HYPERLINK \l "_Toc118042927" </w:instrText>
          </w:r>
          <w:r>
            <w:fldChar w:fldCharType="separate"/>
          </w:r>
          <w:r>
            <w:rPr>
              <w:rStyle w:val="16"/>
              <w:rFonts w:ascii="仿宋" w:hAnsi="仿宋" w:eastAsia="仿宋"/>
              <w:sz w:val="32"/>
              <w:szCs w:val="32"/>
            </w:rPr>
            <w:t>第二节  基本原则</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_Toc118042927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7</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10"/>
            <w:tabs>
              <w:tab w:val="right" w:leader="dot" w:pos="8834"/>
            </w:tabs>
            <w:rPr>
              <w:rFonts w:ascii="仿宋" w:hAnsi="仿宋" w:eastAsia="仿宋"/>
              <w:sz w:val="32"/>
              <w:szCs w:val="32"/>
            </w:rPr>
          </w:pPr>
          <w:r>
            <w:fldChar w:fldCharType="begin"/>
          </w:r>
          <w:r>
            <w:instrText xml:space="preserve"> HYPERLINK \l "_Toc118042928" </w:instrText>
          </w:r>
          <w:r>
            <w:fldChar w:fldCharType="separate"/>
          </w:r>
          <w:r>
            <w:rPr>
              <w:rStyle w:val="16"/>
              <w:rFonts w:ascii="仿宋" w:hAnsi="仿宋" w:eastAsia="仿宋"/>
              <w:sz w:val="32"/>
              <w:szCs w:val="32"/>
            </w:rPr>
            <w:t>第三节  发展目标</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_Toc118042928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9</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2"/>
            <w:ind w:firstLine="210"/>
            <w:rPr>
              <w:rFonts w:ascii="仿宋" w:hAnsi="仿宋" w:eastAsia="仿宋"/>
              <w:color w:val="auto"/>
              <w:sz w:val="32"/>
              <w:szCs w:val="32"/>
            </w:rPr>
          </w:pPr>
          <w:r>
            <w:fldChar w:fldCharType="begin"/>
          </w:r>
          <w:r>
            <w:instrText xml:space="preserve"> HYPERLINK \l "_Toc118042929" </w:instrText>
          </w:r>
          <w:r>
            <w:fldChar w:fldCharType="separate"/>
          </w:r>
          <w:r>
            <w:rPr>
              <w:rStyle w:val="16"/>
              <w:rFonts w:ascii="黑体" w:hAnsi="黑体" w:eastAsia="黑体"/>
              <w:sz w:val="32"/>
              <w:szCs w:val="32"/>
            </w:rPr>
            <w:t>第三章  推进养老服务制度体系建设</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_Toc118042929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13</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10"/>
            <w:tabs>
              <w:tab w:val="right" w:leader="dot" w:pos="8834"/>
            </w:tabs>
            <w:rPr>
              <w:rFonts w:ascii="仿宋" w:hAnsi="仿宋" w:eastAsia="仿宋"/>
              <w:sz w:val="32"/>
              <w:szCs w:val="32"/>
            </w:rPr>
          </w:pPr>
          <w:r>
            <w:fldChar w:fldCharType="begin"/>
          </w:r>
          <w:r>
            <w:instrText xml:space="preserve"> HYPERLINK \l "_Toc118042930" </w:instrText>
          </w:r>
          <w:r>
            <w:fldChar w:fldCharType="separate"/>
          </w:r>
          <w:r>
            <w:rPr>
              <w:rStyle w:val="16"/>
              <w:rFonts w:ascii="仿宋" w:hAnsi="仿宋" w:eastAsia="仿宋"/>
              <w:sz w:val="32"/>
              <w:szCs w:val="32"/>
            </w:rPr>
            <w:t>第一节  加快创新养老服务支持政策</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_Toc118042930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13</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10"/>
            <w:tabs>
              <w:tab w:val="right" w:leader="dot" w:pos="8834"/>
            </w:tabs>
            <w:rPr>
              <w:rFonts w:ascii="仿宋" w:hAnsi="仿宋" w:eastAsia="仿宋"/>
              <w:sz w:val="32"/>
              <w:szCs w:val="32"/>
            </w:rPr>
          </w:pPr>
          <w:r>
            <w:fldChar w:fldCharType="begin"/>
          </w:r>
          <w:r>
            <w:instrText xml:space="preserve"> HYPERLINK \l "_Toc118042931" </w:instrText>
          </w:r>
          <w:r>
            <w:fldChar w:fldCharType="separate"/>
          </w:r>
          <w:r>
            <w:rPr>
              <w:rStyle w:val="16"/>
              <w:rFonts w:ascii="仿宋" w:hAnsi="仿宋" w:eastAsia="仿宋" w:cs="Times New Roman"/>
              <w:sz w:val="32"/>
              <w:szCs w:val="32"/>
            </w:rPr>
            <w:t>第二节  完善基本养老服务清单制度</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_Toc118042931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13</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10"/>
            <w:tabs>
              <w:tab w:val="right" w:leader="dot" w:pos="8834"/>
            </w:tabs>
            <w:rPr>
              <w:rFonts w:ascii="仿宋" w:hAnsi="仿宋" w:eastAsia="仿宋"/>
              <w:sz w:val="32"/>
              <w:szCs w:val="32"/>
            </w:rPr>
          </w:pPr>
          <w:r>
            <w:fldChar w:fldCharType="begin"/>
          </w:r>
          <w:r>
            <w:instrText xml:space="preserve"> HYPERLINK \l "_Toc118042932" </w:instrText>
          </w:r>
          <w:r>
            <w:fldChar w:fldCharType="separate"/>
          </w:r>
          <w:r>
            <w:rPr>
              <w:rStyle w:val="16"/>
              <w:rFonts w:ascii="仿宋" w:hAnsi="仿宋" w:eastAsia="仿宋" w:cs="Times New Roman"/>
              <w:sz w:val="32"/>
              <w:szCs w:val="32"/>
            </w:rPr>
            <w:t>第三节  提升养老服务兜底保障能力</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_Toc118042932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14</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10"/>
            <w:tabs>
              <w:tab w:val="right" w:leader="dot" w:pos="8834"/>
            </w:tabs>
            <w:rPr>
              <w:rFonts w:ascii="仿宋" w:hAnsi="仿宋" w:eastAsia="仿宋"/>
              <w:sz w:val="32"/>
              <w:szCs w:val="32"/>
            </w:rPr>
          </w:pPr>
          <w:r>
            <w:fldChar w:fldCharType="begin"/>
          </w:r>
          <w:r>
            <w:instrText xml:space="preserve"> HYPERLINK \l "_Toc118042933" </w:instrText>
          </w:r>
          <w:r>
            <w:fldChar w:fldCharType="separate"/>
          </w:r>
          <w:r>
            <w:rPr>
              <w:rStyle w:val="16"/>
              <w:rFonts w:ascii="仿宋" w:hAnsi="仿宋" w:eastAsia="仿宋" w:cs="Times New Roman"/>
              <w:sz w:val="32"/>
              <w:szCs w:val="32"/>
            </w:rPr>
            <w:t>第四节  健全长期护理保险制度</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_Toc118042933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15</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2"/>
            <w:ind w:firstLine="210"/>
            <w:rPr>
              <w:rFonts w:ascii="仿宋" w:hAnsi="仿宋" w:eastAsia="仿宋"/>
              <w:color w:val="auto"/>
              <w:sz w:val="32"/>
              <w:szCs w:val="32"/>
            </w:rPr>
          </w:pPr>
          <w:r>
            <w:fldChar w:fldCharType="begin"/>
          </w:r>
          <w:r>
            <w:instrText xml:space="preserve"> HYPERLINK \l "_Toc118042934" </w:instrText>
          </w:r>
          <w:r>
            <w:fldChar w:fldCharType="separate"/>
          </w:r>
          <w:r>
            <w:rPr>
              <w:rStyle w:val="16"/>
              <w:rFonts w:ascii="黑体" w:hAnsi="黑体" w:eastAsia="黑体" w:cs="Times New Roman"/>
              <w:sz w:val="32"/>
              <w:szCs w:val="32"/>
            </w:rPr>
            <w:t>第四章  增强社区居家养老服务能力</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_Toc118042934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16</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10"/>
            <w:tabs>
              <w:tab w:val="right" w:leader="dot" w:pos="8834"/>
            </w:tabs>
            <w:rPr>
              <w:rFonts w:ascii="仿宋" w:hAnsi="仿宋" w:eastAsia="仿宋"/>
              <w:sz w:val="32"/>
              <w:szCs w:val="32"/>
            </w:rPr>
          </w:pPr>
          <w:r>
            <w:fldChar w:fldCharType="begin"/>
          </w:r>
          <w:r>
            <w:instrText xml:space="preserve"> HYPERLINK \l "_Toc118042935" </w:instrText>
          </w:r>
          <w:r>
            <w:fldChar w:fldCharType="separate"/>
          </w:r>
          <w:r>
            <w:rPr>
              <w:rStyle w:val="16"/>
              <w:rFonts w:ascii="仿宋" w:hAnsi="仿宋" w:eastAsia="仿宋" w:cs="Times New Roman"/>
              <w:sz w:val="32"/>
              <w:szCs w:val="32"/>
            </w:rPr>
            <w:t>第一节  织密社区居家养老服务网络</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_Toc118042935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16</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10"/>
            <w:tabs>
              <w:tab w:val="right" w:leader="dot" w:pos="8834"/>
            </w:tabs>
            <w:rPr>
              <w:rFonts w:ascii="仿宋" w:hAnsi="仿宋" w:eastAsia="仿宋"/>
              <w:sz w:val="32"/>
              <w:szCs w:val="32"/>
            </w:rPr>
          </w:pPr>
          <w:r>
            <w:fldChar w:fldCharType="begin"/>
          </w:r>
          <w:r>
            <w:instrText xml:space="preserve"> HYPERLINK \l "_Toc118042936" </w:instrText>
          </w:r>
          <w:r>
            <w:fldChar w:fldCharType="separate"/>
          </w:r>
          <w:r>
            <w:rPr>
              <w:rStyle w:val="16"/>
              <w:rFonts w:ascii="仿宋" w:hAnsi="仿宋" w:eastAsia="仿宋" w:cs="Times New Roman"/>
              <w:sz w:val="32"/>
              <w:szCs w:val="32"/>
            </w:rPr>
            <w:t>第二节  推动社区养老服务设施社会化运营</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_Toc118042936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18</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10"/>
            <w:tabs>
              <w:tab w:val="right" w:leader="dot" w:pos="8834"/>
            </w:tabs>
            <w:rPr>
              <w:rFonts w:ascii="仿宋" w:hAnsi="仿宋" w:eastAsia="仿宋"/>
              <w:sz w:val="32"/>
              <w:szCs w:val="32"/>
            </w:rPr>
          </w:pPr>
          <w:r>
            <w:fldChar w:fldCharType="begin"/>
          </w:r>
          <w:r>
            <w:instrText xml:space="preserve"> HYPERLINK \l "_Toc118042937" </w:instrText>
          </w:r>
          <w:r>
            <w:fldChar w:fldCharType="separate"/>
          </w:r>
          <w:r>
            <w:rPr>
              <w:rStyle w:val="16"/>
              <w:rFonts w:ascii="仿宋" w:hAnsi="仿宋" w:eastAsia="仿宋" w:cs="Times New Roman"/>
              <w:sz w:val="32"/>
              <w:szCs w:val="32"/>
            </w:rPr>
            <w:t>第三节  积极发展家庭养老照护床位</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_Toc118042937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19</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10"/>
            <w:tabs>
              <w:tab w:val="right" w:leader="dot" w:pos="8834"/>
            </w:tabs>
            <w:rPr>
              <w:rFonts w:ascii="仿宋" w:hAnsi="仿宋" w:eastAsia="仿宋"/>
              <w:sz w:val="32"/>
              <w:szCs w:val="32"/>
            </w:rPr>
          </w:pPr>
          <w:r>
            <w:fldChar w:fldCharType="begin"/>
          </w:r>
          <w:r>
            <w:instrText xml:space="preserve"> HYPERLINK \l "_Toc118042938" </w:instrText>
          </w:r>
          <w:r>
            <w:fldChar w:fldCharType="separate"/>
          </w:r>
          <w:r>
            <w:rPr>
              <w:rStyle w:val="16"/>
              <w:rFonts w:ascii="仿宋" w:hAnsi="仿宋" w:eastAsia="仿宋" w:cs="Times New Roman"/>
              <w:sz w:val="32"/>
              <w:szCs w:val="32"/>
            </w:rPr>
            <w:t>第四节  有序推进居家适老化改造</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_Toc118042938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19</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10"/>
            <w:tabs>
              <w:tab w:val="right" w:leader="dot" w:pos="8834"/>
            </w:tabs>
            <w:rPr>
              <w:rFonts w:ascii="仿宋" w:hAnsi="仿宋" w:eastAsia="仿宋"/>
              <w:sz w:val="32"/>
              <w:szCs w:val="32"/>
            </w:rPr>
          </w:pPr>
          <w:r>
            <w:fldChar w:fldCharType="begin"/>
          </w:r>
          <w:r>
            <w:instrText xml:space="preserve"> HYPERLINK \l "_Toc118042939" </w:instrText>
          </w:r>
          <w:r>
            <w:fldChar w:fldCharType="separate"/>
          </w:r>
          <w:r>
            <w:rPr>
              <w:rStyle w:val="16"/>
              <w:rFonts w:ascii="仿宋" w:hAnsi="仿宋" w:eastAsia="仿宋" w:cs="Times New Roman"/>
              <w:sz w:val="32"/>
              <w:szCs w:val="32"/>
            </w:rPr>
            <w:t>第五节  构建农村互助式养老服务体系</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_Toc118042939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20</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10"/>
            <w:tabs>
              <w:tab w:val="right" w:leader="dot" w:pos="8834"/>
            </w:tabs>
            <w:rPr>
              <w:rFonts w:ascii="仿宋" w:hAnsi="仿宋" w:eastAsia="仿宋"/>
              <w:sz w:val="32"/>
              <w:szCs w:val="32"/>
            </w:rPr>
          </w:pPr>
          <w:r>
            <w:fldChar w:fldCharType="begin"/>
          </w:r>
          <w:r>
            <w:instrText xml:space="preserve"> HYPERLINK \l "_Toc118042940" </w:instrText>
          </w:r>
          <w:r>
            <w:fldChar w:fldCharType="separate"/>
          </w:r>
          <w:r>
            <w:rPr>
              <w:rStyle w:val="16"/>
              <w:rFonts w:ascii="仿宋" w:hAnsi="仿宋" w:eastAsia="仿宋" w:cs="Times New Roman"/>
              <w:sz w:val="32"/>
              <w:szCs w:val="32"/>
            </w:rPr>
            <w:t>第六节  完善社区居家养老服务评级制度</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_Toc118042940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22</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2"/>
            <w:ind w:firstLine="210"/>
            <w:rPr>
              <w:rFonts w:ascii="仿宋" w:hAnsi="仿宋" w:eastAsia="仿宋"/>
              <w:color w:val="auto"/>
              <w:sz w:val="32"/>
              <w:szCs w:val="32"/>
            </w:rPr>
          </w:pPr>
          <w:r>
            <w:fldChar w:fldCharType="begin"/>
          </w:r>
          <w:r>
            <w:instrText xml:space="preserve"> HYPERLINK \l "_Toc118042941" </w:instrText>
          </w:r>
          <w:r>
            <w:fldChar w:fldCharType="separate"/>
          </w:r>
          <w:r>
            <w:rPr>
              <w:rStyle w:val="16"/>
              <w:rFonts w:ascii="黑体" w:hAnsi="黑体" w:eastAsia="黑体" w:cs="Times New Roman"/>
              <w:sz w:val="32"/>
              <w:szCs w:val="32"/>
            </w:rPr>
            <w:t>第五章  促进机构养老服务质量提升</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_Toc118042941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24</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10"/>
            <w:tabs>
              <w:tab w:val="right" w:leader="dot" w:pos="8834"/>
            </w:tabs>
            <w:rPr>
              <w:rFonts w:ascii="仿宋" w:hAnsi="仿宋" w:eastAsia="仿宋"/>
              <w:sz w:val="32"/>
              <w:szCs w:val="32"/>
            </w:rPr>
          </w:pPr>
          <w:r>
            <w:fldChar w:fldCharType="begin"/>
          </w:r>
          <w:r>
            <w:instrText xml:space="preserve"> HYPERLINK \l "_Toc118042942" </w:instrText>
          </w:r>
          <w:r>
            <w:fldChar w:fldCharType="separate"/>
          </w:r>
          <w:r>
            <w:rPr>
              <w:rStyle w:val="16"/>
              <w:rFonts w:ascii="仿宋" w:hAnsi="仿宋" w:eastAsia="仿宋" w:cs="Times New Roman"/>
              <w:sz w:val="32"/>
              <w:szCs w:val="32"/>
            </w:rPr>
            <w:t>第一节  强化公办养老机构服务能力</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_Toc118042942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24</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10"/>
            <w:tabs>
              <w:tab w:val="right" w:leader="dot" w:pos="8834"/>
            </w:tabs>
            <w:rPr>
              <w:rFonts w:ascii="仿宋" w:hAnsi="仿宋" w:eastAsia="仿宋"/>
              <w:sz w:val="32"/>
              <w:szCs w:val="32"/>
            </w:rPr>
          </w:pPr>
          <w:r>
            <w:fldChar w:fldCharType="begin"/>
          </w:r>
          <w:r>
            <w:instrText xml:space="preserve"> HYPERLINK \l "_Toc118042943" </w:instrText>
          </w:r>
          <w:r>
            <w:fldChar w:fldCharType="separate"/>
          </w:r>
          <w:r>
            <w:rPr>
              <w:rStyle w:val="16"/>
              <w:rFonts w:ascii="仿宋" w:hAnsi="仿宋" w:eastAsia="仿宋" w:cs="Times New Roman"/>
              <w:sz w:val="32"/>
              <w:szCs w:val="32"/>
            </w:rPr>
            <w:t>第二节  引导社会办养老机构有序发展</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_Toc118042943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24</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10"/>
            <w:tabs>
              <w:tab w:val="right" w:leader="dot" w:pos="8834"/>
            </w:tabs>
            <w:rPr>
              <w:rFonts w:ascii="仿宋" w:hAnsi="仿宋" w:eastAsia="仿宋"/>
              <w:sz w:val="32"/>
              <w:szCs w:val="32"/>
            </w:rPr>
          </w:pPr>
          <w:r>
            <w:fldChar w:fldCharType="begin"/>
          </w:r>
          <w:r>
            <w:instrText xml:space="preserve"> HYPERLINK \l "_Toc118042944" </w:instrText>
          </w:r>
          <w:r>
            <w:fldChar w:fldCharType="separate"/>
          </w:r>
          <w:r>
            <w:rPr>
              <w:rStyle w:val="16"/>
              <w:rFonts w:ascii="仿宋" w:hAnsi="仿宋" w:eastAsia="仿宋" w:cs="Times New Roman"/>
              <w:sz w:val="32"/>
              <w:szCs w:val="32"/>
            </w:rPr>
            <w:t>第三节  推动农村养老机构规范化运营</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_Toc118042944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25</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10"/>
            <w:tabs>
              <w:tab w:val="right" w:leader="dot" w:pos="8834"/>
            </w:tabs>
            <w:rPr>
              <w:rFonts w:ascii="仿宋" w:hAnsi="仿宋" w:eastAsia="仿宋"/>
              <w:sz w:val="32"/>
              <w:szCs w:val="32"/>
            </w:rPr>
          </w:pPr>
          <w:r>
            <w:fldChar w:fldCharType="begin"/>
          </w:r>
          <w:r>
            <w:instrText xml:space="preserve"> HYPERLINK \l "_Toc118042945" </w:instrText>
          </w:r>
          <w:r>
            <w:fldChar w:fldCharType="separate"/>
          </w:r>
          <w:r>
            <w:rPr>
              <w:rStyle w:val="16"/>
              <w:rFonts w:ascii="仿宋" w:hAnsi="仿宋" w:eastAsia="仿宋" w:cs="Times New Roman"/>
              <w:sz w:val="32"/>
              <w:szCs w:val="32"/>
            </w:rPr>
            <w:t>第四节  促进养老机构高质量发展</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_Toc118042945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26</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2"/>
            <w:ind w:firstLine="210"/>
            <w:rPr>
              <w:rFonts w:ascii="仿宋" w:hAnsi="仿宋" w:eastAsia="仿宋"/>
              <w:color w:val="auto"/>
              <w:sz w:val="32"/>
              <w:szCs w:val="32"/>
            </w:rPr>
          </w:pPr>
          <w:r>
            <w:fldChar w:fldCharType="begin"/>
          </w:r>
          <w:r>
            <w:instrText xml:space="preserve"> HYPERLINK \l "_Toc118042946" </w:instrText>
          </w:r>
          <w:r>
            <w:fldChar w:fldCharType="separate"/>
          </w:r>
          <w:r>
            <w:rPr>
              <w:rStyle w:val="16"/>
              <w:rFonts w:ascii="黑体" w:hAnsi="黑体" w:eastAsia="黑体" w:cs="Times New Roman"/>
              <w:sz w:val="32"/>
              <w:szCs w:val="32"/>
            </w:rPr>
            <w:t>第六章  推动医养结合深度发展</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_Toc118042946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27</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10"/>
            <w:tabs>
              <w:tab w:val="right" w:leader="dot" w:pos="8834"/>
            </w:tabs>
            <w:rPr>
              <w:rFonts w:ascii="仿宋" w:hAnsi="仿宋" w:eastAsia="仿宋"/>
              <w:sz w:val="32"/>
              <w:szCs w:val="32"/>
            </w:rPr>
          </w:pPr>
          <w:r>
            <w:fldChar w:fldCharType="begin"/>
          </w:r>
          <w:r>
            <w:instrText xml:space="preserve"> HYPERLINK \l "_Toc118042947" </w:instrText>
          </w:r>
          <w:r>
            <w:fldChar w:fldCharType="separate"/>
          </w:r>
          <w:r>
            <w:rPr>
              <w:rStyle w:val="16"/>
              <w:rFonts w:ascii="仿宋" w:hAnsi="仿宋" w:eastAsia="仿宋" w:cs="Times New Roman"/>
              <w:sz w:val="32"/>
              <w:szCs w:val="32"/>
            </w:rPr>
            <w:t>第一节  创新医养结合服务模式</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_Toc118042947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27</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10"/>
            <w:tabs>
              <w:tab w:val="right" w:leader="dot" w:pos="8834"/>
            </w:tabs>
            <w:rPr>
              <w:rFonts w:ascii="仿宋" w:hAnsi="仿宋" w:eastAsia="仿宋"/>
              <w:sz w:val="32"/>
              <w:szCs w:val="32"/>
            </w:rPr>
          </w:pPr>
          <w:r>
            <w:fldChar w:fldCharType="begin"/>
          </w:r>
          <w:r>
            <w:instrText xml:space="preserve"> HYPERLINK \l "_Toc118042948" </w:instrText>
          </w:r>
          <w:r>
            <w:fldChar w:fldCharType="separate"/>
          </w:r>
          <w:r>
            <w:rPr>
              <w:rStyle w:val="16"/>
              <w:rFonts w:ascii="仿宋" w:hAnsi="仿宋" w:eastAsia="仿宋" w:cs="Times New Roman"/>
              <w:sz w:val="32"/>
              <w:szCs w:val="32"/>
            </w:rPr>
            <w:t>第二节  促进医养结合服务提质增效</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_Toc118042948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28</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10"/>
            <w:tabs>
              <w:tab w:val="right" w:leader="dot" w:pos="8834"/>
            </w:tabs>
            <w:rPr>
              <w:rFonts w:ascii="仿宋" w:hAnsi="仿宋" w:eastAsia="仿宋"/>
              <w:sz w:val="32"/>
              <w:szCs w:val="32"/>
            </w:rPr>
          </w:pPr>
          <w:r>
            <w:fldChar w:fldCharType="begin"/>
          </w:r>
          <w:r>
            <w:instrText xml:space="preserve"> HYPERLINK \l "_Toc118042949" </w:instrText>
          </w:r>
          <w:r>
            <w:fldChar w:fldCharType="separate"/>
          </w:r>
          <w:r>
            <w:rPr>
              <w:rStyle w:val="16"/>
              <w:rFonts w:ascii="仿宋" w:hAnsi="仿宋" w:eastAsia="仿宋" w:cs="Times New Roman"/>
              <w:sz w:val="32"/>
              <w:szCs w:val="32"/>
            </w:rPr>
            <w:t>第三节  完善长期照护服务体系</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_Toc118042949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29</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2"/>
            <w:ind w:firstLine="210"/>
            <w:rPr>
              <w:rFonts w:ascii="仿宋" w:hAnsi="仿宋" w:eastAsia="仿宋"/>
              <w:color w:val="auto"/>
              <w:sz w:val="32"/>
              <w:szCs w:val="32"/>
            </w:rPr>
          </w:pPr>
          <w:r>
            <w:fldChar w:fldCharType="begin"/>
          </w:r>
          <w:r>
            <w:instrText xml:space="preserve"> HYPERLINK \l "_Toc118042950" </w:instrText>
          </w:r>
          <w:r>
            <w:fldChar w:fldCharType="separate"/>
          </w:r>
          <w:r>
            <w:rPr>
              <w:rStyle w:val="16"/>
              <w:rFonts w:ascii="黑体" w:hAnsi="黑体" w:eastAsia="黑体"/>
              <w:sz w:val="32"/>
              <w:szCs w:val="32"/>
            </w:rPr>
            <w:t>第七章  强化养老服务人才队伍建设</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_Toc118042950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31</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10"/>
            <w:tabs>
              <w:tab w:val="right" w:leader="dot" w:pos="8834"/>
            </w:tabs>
            <w:rPr>
              <w:rFonts w:ascii="仿宋" w:hAnsi="仿宋" w:eastAsia="仿宋"/>
              <w:sz w:val="32"/>
              <w:szCs w:val="32"/>
            </w:rPr>
          </w:pPr>
          <w:r>
            <w:fldChar w:fldCharType="begin"/>
          </w:r>
          <w:r>
            <w:instrText xml:space="preserve"> HYPERLINK \l "_Toc118042951" </w:instrText>
          </w:r>
          <w:r>
            <w:fldChar w:fldCharType="separate"/>
          </w:r>
          <w:r>
            <w:rPr>
              <w:rStyle w:val="16"/>
              <w:rFonts w:ascii="仿宋" w:hAnsi="仿宋" w:eastAsia="仿宋"/>
              <w:sz w:val="32"/>
              <w:szCs w:val="32"/>
            </w:rPr>
            <w:t>第一节  推动养老服务人才队伍多元化发展</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_Toc118042951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31</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10"/>
            <w:tabs>
              <w:tab w:val="right" w:leader="dot" w:pos="8834"/>
            </w:tabs>
            <w:rPr>
              <w:rFonts w:ascii="仿宋" w:hAnsi="仿宋" w:eastAsia="仿宋"/>
              <w:sz w:val="32"/>
              <w:szCs w:val="32"/>
            </w:rPr>
          </w:pPr>
          <w:r>
            <w:fldChar w:fldCharType="begin"/>
          </w:r>
          <w:r>
            <w:instrText xml:space="preserve"> HYPERLINK \l "_Toc118042952" </w:instrText>
          </w:r>
          <w:r>
            <w:fldChar w:fldCharType="separate"/>
          </w:r>
          <w:r>
            <w:rPr>
              <w:rStyle w:val="16"/>
              <w:rFonts w:ascii="仿宋" w:hAnsi="仿宋" w:eastAsia="仿宋"/>
              <w:sz w:val="32"/>
              <w:szCs w:val="32"/>
            </w:rPr>
            <w:t>第二节  提升养老服务人才专业能力</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_Toc118042952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31</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10"/>
            <w:tabs>
              <w:tab w:val="right" w:leader="dot" w:pos="8834"/>
            </w:tabs>
            <w:rPr>
              <w:rFonts w:ascii="仿宋" w:hAnsi="仿宋" w:eastAsia="仿宋"/>
              <w:sz w:val="32"/>
              <w:szCs w:val="32"/>
            </w:rPr>
          </w:pPr>
          <w:r>
            <w:fldChar w:fldCharType="begin"/>
          </w:r>
          <w:r>
            <w:instrText xml:space="preserve"> HYPERLINK \l "_Toc118042953" </w:instrText>
          </w:r>
          <w:r>
            <w:fldChar w:fldCharType="separate"/>
          </w:r>
          <w:r>
            <w:rPr>
              <w:rStyle w:val="16"/>
              <w:rFonts w:ascii="仿宋" w:hAnsi="仿宋" w:eastAsia="仿宋"/>
              <w:sz w:val="32"/>
              <w:szCs w:val="32"/>
            </w:rPr>
            <w:t>第三节  健全养老服务人才激励机制</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_Toc118042953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32</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2"/>
            <w:ind w:firstLine="210"/>
            <w:rPr>
              <w:rFonts w:ascii="仿宋" w:hAnsi="仿宋" w:eastAsia="仿宋"/>
              <w:color w:val="auto"/>
              <w:sz w:val="32"/>
              <w:szCs w:val="32"/>
            </w:rPr>
          </w:pPr>
          <w:r>
            <w:fldChar w:fldCharType="begin"/>
          </w:r>
          <w:r>
            <w:instrText xml:space="preserve"> HYPERLINK \l "_Toc118042954" </w:instrText>
          </w:r>
          <w:r>
            <w:fldChar w:fldCharType="separate"/>
          </w:r>
          <w:r>
            <w:rPr>
              <w:rStyle w:val="16"/>
              <w:rFonts w:ascii="黑体" w:hAnsi="黑体" w:eastAsia="黑体" w:cs="Times New Roman"/>
              <w:sz w:val="32"/>
              <w:szCs w:val="32"/>
            </w:rPr>
            <w:t>第八章  着力构建老年友好型社会</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_Toc118042954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34</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10"/>
            <w:tabs>
              <w:tab w:val="right" w:leader="dot" w:pos="8834"/>
            </w:tabs>
            <w:rPr>
              <w:rFonts w:ascii="仿宋" w:hAnsi="仿宋" w:eastAsia="仿宋"/>
              <w:sz w:val="32"/>
              <w:szCs w:val="32"/>
            </w:rPr>
          </w:pPr>
          <w:r>
            <w:fldChar w:fldCharType="begin"/>
          </w:r>
          <w:r>
            <w:instrText xml:space="preserve"> HYPERLINK \l "_Toc118042955" </w:instrText>
          </w:r>
          <w:r>
            <w:fldChar w:fldCharType="separate"/>
          </w:r>
          <w:r>
            <w:rPr>
              <w:rStyle w:val="16"/>
              <w:rFonts w:ascii="仿宋" w:hAnsi="仿宋" w:eastAsia="仿宋" w:cs="Times New Roman"/>
              <w:sz w:val="32"/>
              <w:szCs w:val="32"/>
            </w:rPr>
            <w:t>第一节  推进为老服务多业态融合发展</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_Toc118042955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34</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10"/>
            <w:tabs>
              <w:tab w:val="right" w:leader="dot" w:pos="8834"/>
            </w:tabs>
            <w:rPr>
              <w:rFonts w:ascii="仿宋" w:hAnsi="仿宋" w:eastAsia="仿宋"/>
              <w:sz w:val="32"/>
              <w:szCs w:val="32"/>
            </w:rPr>
          </w:pPr>
          <w:r>
            <w:fldChar w:fldCharType="begin"/>
          </w:r>
          <w:r>
            <w:instrText xml:space="preserve"> HYPERLINK \l "_Toc118042956" </w:instrText>
          </w:r>
          <w:r>
            <w:fldChar w:fldCharType="separate"/>
          </w:r>
          <w:r>
            <w:rPr>
              <w:rStyle w:val="16"/>
              <w:rFonts w:ascii="仿宋" w:hAnsi="仿宋" w:eastAsia="仿宋" w:cs="Times New Roman"/>
              <w:sz w:val="32"/>
              <w:szCs w:val="32"/>
            </w:rPr>
            <w:t>第二节  营造敬老爱老助老社会环境</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_Toc118042956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34</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10"/>
            <w:tabs>
              <w:tab w:val="right" w:leader="dot" w:pos="8834"/>
            </w:tabs>
            <w:rPr>
              <w:rFonts w:ascii="仿宋" w:hAnsi="仿宋" w:eastAsia="仿宋"/>
              <w:sz w:val="32"/>
              <w:szCs w:val="32"/>
            </w:rPr>
          </w:pPr>
          <w:r>
            <w:fldChar w:fldCharType="begin"/>
          </w:r>
          <w:r>
            <w:instrText xml:space="preserve"> HYPERLINK \l "_Toc118042957" </w:instrText>
          </w:r>
          <w:r>
            <w:fldChar w:fldCharType="separate"/>
          </w:r>
          <w:r>
            <w:rPr>
              <w:rStyle w:val="16"/>
              <w:rFonts w:ascii="仿宋" w:hAnsi="仿宋" w:eastAsia="仿宋" w:cs="Times New Roman"/>
              <w:bCs/>
              <w:sz w:val="32"/>
              <w:szCs w:val="32"/>
            </w:rPr>
            <w:t>第三节  完善特殊困难老年人关爱服务体系</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_Toc118042957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35</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10"/>
            <w:tabs>
              <w:tab w:val="right" w:leader="dot" w:pos="8834"/>
            </w:tabs>
            <w:rPr>
              <w:rFonts w:ascii="仿宋" w:hAnsi="仿宋" w:eastAsia="仿宋"/>
              <w:sz w:val="32"/>
              <w:szCs w:val="32"/>
            </w:rPr>
          </w:pPr>
          <w:r>
            <w:fldChar w:fldCharType="begin"/>
          </w:r>
          <w:r>
            <w:instrText xml:space="preserve"> HYPERLINK \l "_Toc118042958" </w:instrText>
          </w:r>
          <w:r>
            <w:fldChar w:fldCharType="separate"/>
          </w:r>
          <w:r>
            <w:rPr>
              <w:rStyle w:val="16"/>
              <w:rFonts w:ascii="仿宋" w:hAnsi="仿宋" w:eastAsia="仿宋" w:cs="Times New Roman"/>
              <w:bCs/>
              <w:sz w:val="32"/>
              <w:szCs w:val="32"/>
            </w:rPr>
            <w:t>第四节  促进老年人社会参与</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_Toc118042958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36</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2"/>
            <w:ind w:firstLine="210"/>
            <w:rPr>
              <w:rFonts w:ascii="仿宋" w:hAnsi="仿宋" w:eastAsia="仿宋"/>
              <w:color w:val="auto"/>
              <w:sz w:val="32"/>
              <w:szCs w:val="32"/>
            </w:rPr>
          </w:pPr>
          <w:r>
            <w:fldChar w:fldCharType="begin"/>
          </w:r>
          <w:r>
            <w:instrText xml:space="preserve"> HYPERLINK \l "_Toc118042959" </w:instrText>
          </w:r>
          <w:r>
            <w:fldChar w:fldCharType="separate"/>
          </w:r>
          <w:r>
            <w:rPr>
              <w:rStyle w:val="16"/>
              <w:rFonts w:ascii="黑体" w:hAnsi="黑体" w:eastAsia="黑体" w:cs="Times New Roman"/>
              <w:sz w:val="32"/>
              <w:szCs w:val="32"/>
            </w:rPr>
            <w:t>第九章  引领养老服务行业规范健康发展</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_Toc118042959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37</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10"/>
            <w:tabs>
              <w:tab w:val="right" w:leader="dot" w:pos="8834"/>
            </w:tabs>
            <w:rPr>
              <w:rFonts w:ascii="仿宋" w:hAnsi="仿宋" w:eastAsia="仿宋"/>
              <w:sz w:val="32"/>
              <w:szCs w:val="32"/>
            </w:rPr>
          </w:pPr>
          <w:r>
            <w:fldChar w:fldCharType="begin"/>
          </w:r>
          <w:r>
            <w:instrText xml:space="preserve"> HYPERLINK \l "_Toc118042960" </w:instrText>
          </w:r>
          <w:r>
            <w:fldChar w:fldCharType="separate"/>
          </w:r>
          <w:r>
            <w:rPr>
              <w:rStyle w:val="16"/>
              <w:rFonts w:ascii="仿宋" w:hAnsi="仿宋" w:eastAsia="仿宋" w:cs="Times New Roman"/>
              <w:bCs/>
              <w:sz w:val="32"/>
              <w:szCs w:val="32"/>
            </w:rPr>
            <w:t>第一节  加快养老服务标准化建设</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_Toc118042960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37</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10"/>
            <w:tabs>
              <w:tab w:val="right" w:leader="dot" w:pos="8834"/>
            </w:tabs>
            <w:rPr>
              <w:rFonts w:ascii="仿宋" w:hAnsi="仿宋" w:eastAsia="仿宋"/>
              <w:sz w:val="32"/>
              <w:szCs w:val="32"/>
            </w:rPr>
          </w:pPr>
          <w:r>
            <w:fldChar w:fldCharType="begin"/>
          </w:r>
          <w:r>
            <w:instrText xml:space="preserve"> HYPERLINK \l "_Toc118042961" </w:instrText>
          </w:r>
          <w:r>
            <w:fldChar w:fldCharType="separate"/>
          </w:r>
          <w:r>
            <w:rPr>
              <w:rStyle w:val="16"/>
              <w:rFonts w:ascii="仿宋" w:hAnsi="仿宋" w:eastAsia="仿宋" w:cs="Times New Roman"/>
              <w:bCs/>
              <w:sz w:val="32"/>
              <w:szCs w:val="32"/>
            </w:rPr>
            <w:t>第二节  创新智慧养老服务体系</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_Toc118042961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38</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10"/>
            <w:tabs>
              <w:tab w:val="right" w:leader="dot" w:pos="8834"/>
            </w:tabs>
            <w:rPr>
              <w:rFonts w:ascii="仿宋" w:hAnsi="仿宋" w:eastAsia="仿宋"/>
              <w:sz w:val="32"/>
              <w:szCs w:val="32"/>
            </w:rPr>
          </w:pPr>
          <w:r>
            <w:fldChar w:fldCharType="begin"/>
          </w:r>
          <w:r>
            <w:instrText xml:space="preserve"> HYPERLINK \l "_Toc118042962" </w:instrText>
          </w:r>
          <w:r>
            <w:fldChar w:fldCharType="separate"/>
          </w:r>
          <w:r>
            <w:rPr>
              <w:rStyle w:val="16"/>
              <w:rFonts w:ascii="仿宋" w:hAnsi="仿宋" w:eastAsia="仿宋" w:cs="Times New Roman"/>
              <w:bCs/>
              <w:sz w:val="32"/>
              <w:szCs w:val="32"/>
            </w:rPr>
            <w:t>第三节  健全养老服务综合监管机制</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_Toc118042962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39</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10"/>
            <w:tabs>
              <w:tab w:val="right" w:leader="dot" w:pos="8834"/>
            </w:tabs>
            <w:rPr>
              <w:rFonts w:ascii="仿宋" w:hAnsi="仿宋" w:eastAsia="仿宋"/>
              <w:sz w:val="32"/>
              <w:szCs w:val="32"/>
            </w:rPr>
          </w:pPr>
          <w:r>
            <w:fldChar w:fldCharType="begin"/>
          </w:r>
          <w:r>
            <w:instrText xml:space="preserve"> HYPERLINK \l "_Toc118042963" </w:instrText>
          </w:r>
          <w:r>
            <w:fldChar w:fldCharType="separate"/>
          </w:r>
          <w:r>
            <w:rPr>
              <w:rStyle w:val="16"/>
              <w:rFonts w:ascii="仿宋" w:hAnsi="仿宋" w:eastAsia="仿宋" w:cs="Times New Roman"/>
              <w:bCs/>
              <w:sz w:val="32"/>
              <w:szCs w:val="32"/>
            </w:rPr>
            <w:t>第四节  强化养老服务应急保障能力</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_Toc118042963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40</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2"/>
            <w:ind w:firstLine="210"/>
            <w:rPr>
              <w:rFonts w:ascii="仿宋" w:hAnsi="仿宋" w:eastAsia="仿宋"/>
              <w:color w:val="auto"/>
              <w:sz w:val="32"/>
              <w:szCs w:val="32"/>
            </w:rPr>
          </w:pPr>
          <w:r>
            <w:fldChar w:fldCharType="begin"/>
          </w:r>
          <w:r>
            <w:instrText xml:space="preserve"> HYPERLINK \l "_Toc118042964" </w:instrText>
          </w:r>
          <w:r>
            <w:fldChar w:fldCharType="separate"/>
          </w:r>
          <w:r>
            <w:rPr>
              <w:rStyle w:val="16"/>
              <w:rFonts w:ascii="黑体" w:hAnsi="黑体" w:eastAsia="黑体"/>
              <w:sz w:val="32"/>
              <w:szCs w:val="32"/>
            </w:rPr>
            <w:t>第十章  推进成渝地区养老事业协同发展</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_Toc118042964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41</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10"/>
            <w:tabs>
              <w:tab w:val="right" w:leader="dot" w:pos="8834"/>
            </w:tabs>
            <w:rPr>
              <w:rFonts w:ascii="仿宋" w:hAnsi="仿宋" w:eastAsia="仿宋"/>
              <w:sz w:val="32"/>
              <w:szCs w:val="32"/>
            </w:rPr>
          </w:pPr>
          <w:r>
            <w:fldChar w:fldCharType="begin"/>
          </w:r>
          <w:r>
            <w:instrText xml:space="preserve"> HYPERLINK \l "_Toc118042965" </w:instrText>
          </w:r>
          <w:r>
            <w:fldChar w:fldCharType="separate"/>
          </w:r>
          <w:r>
            <w:rPr>
              <w:rStyle w:val="16"/>
              <w:rFonts w:ascii="仿宋" w:hAnsi="仿宋" w:eastAsia="仿宋"/>
              <w:sz w:val="32"/>
              <w:szCs w:val="32"/>
            </w:rPr>
            <w:t>第一节  促进养老政策协同</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_Toc118042965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41</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10"/>
            <w:tabs>
              <w:tab w:val="right" w:leader="dot" w:pos="8834"/>
            </w:tabs>
            <w:rPr>
              <w:rFonts w:ascii="仿宋" w:hAnsi="仿宋" w:eastAsia="仿宋"/>
              <w:sz w:val="32"/>
              <w:szCs w:val="32"/>
            </w:rPr>
          </w:pPr>
          <w:r>
            <w:fldChar w:fldCharType="begin"/>
          </w:r>
          <w:r>
            <w:instrText xml:space="preserve"> HYPERLINK \l "_Toc118042966" </w:instrText>
          </w:r>
          <w:r>
            <w:fldChar w:fldCharType="separate"/>
          </w:r>
          <w:r>
            <w:rPr>
              <w:rStyle w:val="16"/>
              <w:rFonts w:ascii="仿宋" w:hAnsi="仿宋" w:eastAsia="仿宋"/>
              <w:sz w:val="32"/>
              <w:szCs w:val="32"/>
            </w:rPr>
            <w:t>第二节  加强统筹协同发展</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_Toc118042966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42</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10"/>
            <w:tabs>
              <w:tab w:val="right" w:leader="dot" w:pos="8834"/>
            </w:tabs>
            <w:rPr>
              <w:rFonts w:ascii="仿宋" w:hAnsi="仿宋" w:eastAsia="仿宋"/>
              <w:sz w:val="32"/>
              <w:szCs w:val="32"/>
            </w:rPr>
          </w:pPr>
          <w:r>
            <w:fldChar w:fldCharType="begin"/>
          </w:r>
          <w:r>
            <w:instrText xml:space="preserve"> HYPERLINK \l "_Toc118042967" </w:instrText>
          </w:r>
          <w:r>
            <w:fldChar w:fldCharType="separate"/>
          </w:r>
          <w:r>
            <w:rPr>
              <w:rStyle w:val="16"/>
              <w:rFonts w:ascii="仿宋" w:hAnsi="仿宋" w:eastAsia="仿宋"/>
              <w:sz w:val="32"/>
              <w:szCs w:val="32"/>
            </w:rPr>
            <w:t>第三节  推动信息资源共享</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_Toc118042967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42</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2"/>
            <w:ind w:firstLine="210"/>
            <w:rPr>
              <w:rFonts w:ascii="仿宋" w:hAnsi="仿宋" w:eastAsia="仿宋"/>
              <w:color w:val="auto"/>
              <w:sz w:val="32"/>
              <w:szCs w:val="32"/>
            </w:rPr>
          </w:pPr>
          <w:r>
            <w:fldChar w:fldCharType="begin"/>
          </w:r>
          <w:r>
            <w:instrText xml:space="preserve"> HYPERLINK \l "_Toc118042968" </w:instrText>
          </w:r>
          <w:r>
            <w:fldChar w:fldCharType="separate"/>
          </w:r>
          <w:r>
            <w:rPr>
              <w:rStyle w:val="16"/>
              <w:rFonts w:ascii="黑体" w:hAnsi="黑体" w:eastAsia="黑体" w:cs="Times New Roman"/>
              <w:sz w:val="32"/>
              <w:szCs w:val="32"/>
            </w:rPr>
            <w:t>第十一章  保障措施</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_Toc118042968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43</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10"/>
            <w:tabs>
              <w:tab w:val="right" w:leader="dot" w:pos="8834"/>
            </w:tabs>
            <w:rPr>
              <w:rFonts w:ascii="仿宋" w:hAnsi="仿宋" w:eastAsia="仿宋"/>
              <w:sz w:val="32"/>
              <w:szCs w:val="32"/>
            </w:rPr>
          </w:pPr>
          <w:r>
            <w:fldChar w:fldCharType="begin"/>
          </w:r>
          <w:r>
            <w:instrText xml:space="preserve"> HYPERLINK \l "_Toc118042969" </w:instrText>
          </w:r>
          <w:r>
            <w:fldChar w:fldCharType="separate"/>
          </w:r>
          <w:r>
            <w:rPr>
              <w:rStyle w:val="16"/>
              <w:rFonts w:ascii="仿宋" w:hAnsi="仿宋" w:eastAsia="仿宋" w:cs="Times New Roman"/>
              <w:sz w:val="32"/>
              <w:szCs w:val="32"/>
            </w:rPr>
            <w:t>第一节  加强组织领导</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_Toc118042969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43</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10"/>
            <w:tabs>
              <w:tab w:val="right" w:leader="dot" w:pos="8834"/>
            </w:tabs>
            <w:rPr>
              <w:rFonts w:ascii="仿宋" w:hAnsi="仿宋" w:eastAsia="仿宋"/>
              <w:sz w:val="32"/>
              <w:szCs w:val="32"/>
            </w:rPr>
          </w:pPr>
          <w:r>
            <w:fldChar w:fldCharType="begin"/>
          </w:r>
          <w:r>
            <w:instrText xml:space="preserve"> HYPERLINK \l "_Toc118042970" </w:instrText>
          </w:r>
          <w:r>
            <w:fldChar w:fldCharType="separate"/>
          </w:r>
          <w:r>
            <w:rPr>
              <w:rStyle w:val="16"/>
              <w:rFonts w:ascii="仿宋" w:hAnsi="仿宋" w:eastAsia="仿宋" w:cs="Times New Roman"/>
              <w:sz w:val="32"/>
              <w:szCs w:val="32"/>
            </w:rPr>
            <w:t>第二节  强化设施保障</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_Toc118042970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43</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10"/>
            <w:tabs>
              <w:tab w:val="right" w:leader="dot" w:pos="8834"/>
            </w:tabs>
            <w:rPr>
              <w:rFonts w:ascii="仿宋" w:hAnsi="仿宋" w:eastAsia="仿宋"/>
              <w:sz w:val="32"/>
              <w:szCs w:val="32"/>
            </w:rPr>
          </w:pPr>
          <w:r>
            <w:fldChar w:fldCharType="begin"/>
          </w:r>
          <w:r>
            <w:instrText xml:space="preserve"> HYPERLINK \l "_Toc118042971" </w:instrText>
          </w:r>
          <w:r>
            <w:fldChar w:fldCharType="separate"/>
          </w:r>
          <w:r>
            <w:rPr>
              <w:rStyle w:val="16"/>
              <w:rFonts w:ascii="仿宋" w:hAnsi="仿宋" w:eastAsia="仿宋" w:cs="Times New Roman"/>
              <w:sz w:val="32"/>
              <w:szCs w:val="32"/>
            </w:rPr>
            <w:t>第三节  统筹资金投入</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_Toc118042971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44</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10"/>
            <w:tabs>
              <w:tab w:val="right" w:leader="dot" w:pos="8834"/>
            </w:tabs>
            <w:rPr>
              <w:rFonts w:ascii="仿宋" w:hAnsi="仿宋" w:eastAsia="仿宋"/>
              <w:sz w:val="32"/>
              <w:szCs w:val="32"/>
            </w:rPr>
          </w:pPr>
          <w:r>
            <w:fldChar w:fldCharType="begin"/>
          </w:r>
          <w:r>
            <w:instrText xml:space="preserve"> HYPERLINK \l "_Toc118042972" </w:instrText>
          </w:r>
          <w:r>
            <w:fldChar w:fldCharType="separate"/>
          </w:r>
          <w:r>
            <w:rPr>
              <w:rStyle w:val="16"/>
              <w:rFonts w:ascii="仿宋" w:hAnsi="仿宋" w:eastAsia="仿宋" w:cs="Times New Roman"/>
              <w:sz w:val="32"/>
              <w:szCs w:val="32"/>
            </w:rPr>
            <w:t>第四节  加大社会宣传</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_Toc118042972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45</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10"/>
            <w:tabs>
              <w:tab w:val="right" w:leader="dot" w:pos="8834"/>
            </w:tabs>
            <w:rPr>
              <w:rFonts w:ascii="仿宋" w:hAnsi="仿宋" w:eastAsia="仿宋"/>
              <w:sz w:val="32"/>
              <w:szCs w:val="32"/>
            </w:rPr>
          </w:pPr>
          <w:r>
            <w:fldChar w:fldCharType="begin"/>
          </w:r>
          <w:r>
            <w:instrText xml:space="preserve"> HYPERLINK \l "_Toc118042973" </w:instrText>
          </w:r>
          <w:r>
            <w:fldChar w:fldCharType="separate"/>
          </w:r>
          <w:r>
            <w:rPr>
              <w:rStyle w:val="16"/>
              <w:rFonts w:ascii="仿宋" w:hAnsi="仿宋" w:eastAsia="仿宋" w:cs="Times New Roman"/>
              <w:sz w:val="32"/>
              <w:szCs w:val="32"/>
            </w:rPr>
            <w:t>第五节  健全监测评估</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_Toc118042973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45</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2"/>
            <w:ind w:firstLine="210"/>
            <w:rPr>
              <w:rFonts w:ascii="仿宋" w:hAnsi="仿宋" w:eastAsia="仿宋"/>
              <w:color w:val="auto"/>
              <w:sz w:val="32"/>
              <w:szCs w:val="32"/>
            </w:rPr>
          </w:pPr>
          <w:r>
            <w:fldChar w:fldCharType="begin"/>
          </w:r>
          <w:r>
            <w:instrText xml:space="preserve"> HYPERLINK \l "_Toc118042974" </w:instrText>
          </w:r>
          <w:r>
            <w:fldChar w:fldCharType="separate"/>
          </w:r>
          <w:r>
            <w:rPr>
              <w:rStyle w:val="16"/>
              <w:rFonts w:ascii="黑体" w:hAnsi="黑体" w:eastAsia="黑体"/>
              <w:sz w:val="32"/>
              <w:szCs w:val="32"/>
            </w:rPr>
            <w:t>附件</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_Toc118042974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47</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pPr>
            <w:pStyle w:val="10"/>
            <w:tabs>
              <w:tab w:val="right" w:leader="dot" w:pos="8834"/>
            </w:tabs>
            <w:rPr>
              <w:rFonts w:ascii="仿宋" w:hAnsi="仿宋" w:eastAsia="仿宋"/>
              <w:sz w:val="32"/>
              <w:szCs w:val="32"/>
            </w:rPr>
          </w:pPr>
          <w:r>
            <w:fldChar w:fldCharType="begin"/>
          </w:r>
          <w:r>
            <w:instrText xml:space="preserve"> HYPERLINK \l "_Toc118042975" </w:instrText>
          </w:r>
          <w:r>
            <w:fldChar w:fldCharType="separate"/>
          </w:r>
          <w:r>
            <w:rPr>
              <w:rStyle w:val="16"/>
              <w:rFonts w:ascii="仿宋" w:hAnsi="仿宋" w:eastAsia="仿宋"/>
              <w:sz w:val="32"/>
              <w:szCs w:val="32"/>
            </w:rPr>
            <w:t>重点任务分工表</w:t>
          </w:r>
          <w:r>
            <w:rPr>
              <w:rFonts w:ascii="仿宋" w:hAnsi="仿宋" w:eastAsia="仿宋"/>
              <w:sz w:val="32"/>
              <w:szCs w:val="32"/>
            </w:rPr>
            <w:tab/>
          </w: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PAGEREF _Toc118042975 \h </w:instrText>
          </w:r>
          <w:r>
            <w:rPr>
              <w:rFonts w:ascii="Times New Roman" w:hAnsi="Times New Roman" w:eastAsia="仿宋" w:cs="Times New Roman"/>
              <w:sz w:val="32"/>
              <w:szCs w:val="32"/>
            </w:rPr>
            <w:fldChar w:fldCharType="separate"/>
          </w:r>
          <w:r>
            <w:rPr>
              <w:rFonts w:ascii="Times New Roman" w:hAnsi="Times New Roman" w:eastAsia="仿宋" w:cs="Times New Roman"/>
              <w:sz w:val="32"/>
              <w:szCs w:val="32"/>
            </w:rPr>
            <w:t>47</w:t>
          </w:r>
          <w:r>
            <w:rPr>
              <w:rFonts w:ascii="Times New Roman" w:hAnsi="Times New Roman" w:eastAsia="仿宋" w:cs="Times New Roman"/>
              <w:sz w:val="32"/>
              <w:szCs w:val="32"/>
            </w:rPr>
            <w:fldChar w:fldCharType="end"/>
          </w:r>
          <w:r>
            <w:rPr>
              <w:rFonts w:ascii="Times New Roman" w:hAnsi="Times New Roman" w:eastAsia="仿宋" w:cs="Times New Roman"/>
              <w:sz w:val="32"/>
              <w:szCs w:val="32"/>
            </w:rPr>
            <w:fldChar w:fldCharType="end"/>
          </w:r>
        </w:p>
        <w:p>
          <w:r>
            <w:rPr>
              <w:rFonts w:ascii="仿宋" w:hAnsi="仿宋" w:eastAsia="仿宋"/>
              <w:bCs/>
              <w:sz w:val="32"/>
              <w:szCs w:val="32"/>
              <w:lang w:val="zh-CN"/>
            </w:rPr>
            <w:fldChar w:fldCharType="end"/>
          </w:r>
        </w:p>
      </w:sdtContent>
    </w:sdt>
    <w:p>
      <w:pPr>
        <w:rPr>
          <w:rFonts w:ascii="仿宋" w:hAnsi="仿宋" w:eastAsia="仿宋"/>
          <w:sz w:val="32"/>
        </w:rPr>
      </w:pPr>
    </w:p>
    <w:p>
      <w:pPr>
        <w:pStyle w:val="2"/>
        <w:ind w:firstLine="210"/>
      </w:pPr>
    </w:p>
    <w:p>
      <w:pPr>
        <w:sectPr>
          <w:footerReference r:id="rId4" w:type="default"/>
          <w:pgSz w:w="11906" w:h="16838"/>
          <w:pgMar w:top="2098" w:right="1474" w:bottom="1985" w:left="1588" w:header="851" w:footer="992" w:gutter="0"/>
          <w:cols w:space="425" w:num="1"/>
          <w:docGrid w:type="lines" w:linePitch="312" w:charSpace="0"/>
        </w:sectPr>
      </w:pPr>
    </w:p>
    <w:p>
      <w:pPr>
        <w:rPr>
          <w:rFonts w:ascii="仿宋" w:hAnsi="仿宋" w:eastAsia="仿宋"/>
          <w:sz w:val="32"/>
          <w:szCs w:val="32"/>
        </w:rPr>
      </w:pPr>
    </w:p>
    <w:p>
      <w:pPr>
        <w:jc w:val="center"/>
        <w:rPr>
          <w:rFonts w:hint="eastAsia" w:ascii="方正小标宋简体" w:eastAsia="方正小标宋简体"/>
          <w:sz w:val="40"/>
        </w:rPr>
      </w:pPr>
      <w:r>
        <w:rPr>
          <w:rFonts w:hint="eastAsia" w:ascii="方正小标宋简体" w:eastAsia="方正小标宋简体"/>
          <w:sz w:val="40"/>
        </w:rPr>
        <w:t>重庆市沙坪坝区养老服务体系建设“十四五”</w:t>
      </w:r>
    </w:p>
    <w:p>
      <w:pPr>
        <w:jc w:val="center"/>
        <w:rPr>
          <w:rFonts w:ascii="方正小标宋简体" w:eastAsia="方正小标宋简体"/>
          <w:sz w:val="40"/>
        </w:rPr>
      </w:pPr>
      <w:r>
        <w:rPr>
          <w:rFonts w:hint="eastAsia" w:ascii="方正小标宋简体" w:eastAsia="方正小标宋简体"/>
          <w:sz w:val="40"/>
          <w:lang w:eastAsia="zh-CN"/>
        </w:rPr>
        <w:t>发展</w:t>
      </w:r>
      <w:r>
        <w:rPr>
          <w:rFonts w:hint="eastAsia" w:ascii="方正小标宋简体" w:eastAsia="方正小标宋简体"/>
          <w:sz w:val="40"/>
        </w:rPr>
        <w:t>规划（</w:t>
      </w:r>
      <w:r>
        <w:rPr>
          <w:rFonts w:ascii="Times New Roman" w:hAnsi="Times New Roman" w:eastAsia="方正小标宋简体" w:cs="Times New Roman"/>
          <w:sz w:val="40"/>
        </w:rPr>
        <w:t>2021</w:t>
      </w:r>
      <w:r>
        <w:rPr>
          <w:rFonts w:hint="eastAsia" w:ascii="方正小标宋简体" w:eastAsia="方正小标宋简体"/>
          <w:sz w:val="40"/>
        </w:rPr>
        <w:t>—</w:t>
      </w:r>
      <w:r>
        <w:rPr>
          <w:rFonts w:ascii="Times New Roman" w:hAnsi="Times New Roman" w:eastAsia="方正小标宋简体" w:cs="Times New Roman"/>
          <w:sz w:val="40"/>
        </w:rPr>
        <w:t>2025</w:t>
      </w:r>
      <w:r>
        <w:rPr>
          <w:rFonts w:hint="eastAsia" w:ascii="方正小标宋简体" w:eastAsia="方正小标宋简体"/>
          <w:sz w:val="40"/>
        </w:rPr>
        <w:t>年）</w:t>
      </w:r>
    </w:p>
    <w:p>
      <w:pPr>
        <w:rPr>
          <w:rFonts w:ascii="仿宋" w:hAnsi="仿宋" w:eastAsia="仿宋"/>
          <w:sz w:val="32"/>
        </w:rPr>
      </w:pPr>
    </w:p>
    <w:p>
      <w:pPr>
        <w:widowControl/>
        <w:ind w:firstLine="640" w:firstLineChars="200"/>
        <w:rPr>
          <w:rFonts w:ascii="仿宋" w:hAnsi="仿宋" w:eastAsia="仿宋"/>
          <w:sz w:val="32"/>
        </w:rPr>
      </w:pPr>
      <w:r>
        <w:rPr>
          <w:rFonts w:hint="eastAsia" w:ascii="仿宋" w:hAnsi="仿宋" w:eastAsia="仿宋"/>
          <w:sz w:val="32"/>
        </w:rPr>
        <w:t>为全面落实习近平</w:t>
      </w:r>
      <w:bookmarkStart w:id="60" w:name="_GoBack"/>
      <w:bookmarkEnd w:id="60"/>
      <w:r>
        <w:rPr>
          <w:rFonts w:hint="eastAsia" w:ascii="仿宋" w:hAnsi="仿宋" w:eastAsia="仿宋"/>
          <w:sz w:val="32"/>
        </w:rPr>
        <w:t>总书记关于养老服务工作的重要讲话和指示精神，贯彻实施积极应对人口老龄化国家战略，发展养老事业和养老产业，推动实现全体老年人享有基本养老服务，根据《中华人民共和国老年人权益保障法》《国家积极应对人口老龄化中长期规划</w:t>
      </w:r>
      <w:r>
        <w:rPr>
          <w:rFonts w:ascii="仿宋" w:hAnsi="仿宋" w:eastAsia="仿宋" w:cs="方正仿宋_GBK"/>
          <w:color w:val="000000"/>
          <w:kern w:val="0"/>
          <w:sz w:val="31"/>
          <w:szCs w:val="31"/>
          <w:lang w:bidi="ar"/>
        </w:rPr>
        <w:t>（</w:t>
      </w:r>
      <w:r>
        <w:rPr>
          <w:rFonts w:ascii="Times New Roman" w:hAnsi="Times New Roman" w:eastAsia="宋体" w:cs="Times New Roman"/>
          <w:color w:val="000000"/>
          <w:kern w:val="0"/>
          <w:sz w:val="31"/>
          <w:szCs w:val="31"/>
          <w:lang w:bidi="ar"/>
        </w:rPr>
        <w:t>2020—2035</w:t>
      </w:r>
      <w:r>
        <w:rPr>
          <w:rFonts w:ascii="仿宋" w:hAnsi="仿宋" w:eastAsia="仿宋" w:cs="方正仿宋_GBK"/>
          <w:color w:val="000000"/>
          <w:kern w:val="0"/>
          <w:sz w:val="31"/>
          <w:szCs w:val="31"/>
          <w:lang w:bidi="ar"/>
        </w:rPr>
        <w:t>年）</w:t>
      </w:r>
      <w:r>
        <w:rPr>
          <w:rFonts w:hint="eastAsia" w:ascii="仿宋" w:hAnsi="仿宋" w:eastAsia="仿宋"/>
          <w:sz w:val="32"/>
        </w:rPr>
        <w:t>》《关于加强新时代老龄工作的意见》《重庆市养老服务体系建设“十四五”发展规划》《重庆市沙坪坝区国民经济和社会发展第十四个五年规划和二〇三五年远景目标纲要》等文件精神，制定本规划。</w:t>
      </w:r>
    </w:p>
    <w:p>
      <w:pPr>
        <w:ind w:firstLine="640" w:firstLineChars="200"/>
        <w:rPr>
          <w:rFonts w:ascii="仿宋" w:hAnsi="仿宋" w:eastAsia="仿宋"/>
          <w:sz w:val="32"/>
        </w:rPr>
      </w:pPr>
    </w:p>
    <w:p>
      <w:pPr>
        <w:jc w:val="center"/>
        <w:outlineLvl w:val="0"/>
        <w:rPr>
          <w:rFonts w:ascii="黑体" w:hAnsi="黑体" w:eastAsia="黑体"/>
          <w:sz w:val="32"/>
        </w:rPr>
      </w:pPr>
      <w:bookmarkStart w:id="0" w:name="_Toc118042922"/>
      <w:r>
        <w:rPr>
          <w:rFonts w:hint="eastAsia" w:ascii="黑体" w:hAnsi="黑体" w:eastAsia="黑体"/>
          <w:sz w:val="32"/>
        </w:rPr>
        <w:t xml:space="preserve">第一章 </w:t>
      </w:r>
      <w:r>
        <w:rPr>
          <w:rFonts w:ascii="黑体" w:hAnsi="黑体" w:eastAsia="黑体"/>
          <w:sz w:val="32"/>
        </w:rPr>
        <w:t xml:space="preserve"> </w:t>
      </w:r>
      <w:r>
        <w:rPr>
          <w:rFonts w:hint="eastAsia" w:ascii="黑体" w:hAnsi="黑体" w:eastAsia="黑体"/>
          <w:sz w:val="32"/>
        </w:rPr>
        <w:t>规划背景</w:t>
      </w:r>
      <w:bookmarkEnd w:id="0"/>
    </w:p>
    <w:p>
      <w:pPr>
        <w:pStyle w:val="2"/>
        <w:rPr>
          <w:rFonts w:ascii="仿宋" w:hAnsi="仿宋" w:eastAsia="仿宋"/>
          <w:sz w:val="32"/>
        </w:rPr>
      </w:pPr>
    </w:p>
    <w:p>
      <w:pPr>
        <w:jc w:val="center"/>
        <w:outlineLvl w:val="1"/>
        <w:rPr>
          <w:rFonts w:ascii="仿宋" w:hAnsi="仿宋" w:eastAsia="仿宋"/>
          <w:b/>
          <w:sz w:val="32"/>
        </w:rPr>
      </w:pPr>
      <w:bookmarkStart w:id="1" w:name="_Toc118042923"/>
      <w:r>
        <w:rPr>
          <w:rFonts w:hint="eastAsia" w:ascii="仿宋" w:hAnsi="仿宋" w:eastAsia="仿宋"/>
          <w:b/>
          <w:sz w:val="32"/>
        </w:rPr>
        <w:t xml:space="preserve">第一节 </w:t>
      </w:r>
      <w:r>
        <w:rPr>
          <w:rFonts w:ascii="仿宋" w:hAnsi="仿宋" w:eastAsia="仿宋"/>
          <w:b/>
          <w:sz w:val="32"/>
        </w:rPr>
        <w:t xml:space="preserve"> </w:t>
      </w:r>
      <w:r>
        <w:rPr>
          <w:rFonts w:hint="eastAsia" w:ascii="仿宋" w:hAnsi="仿宋" w:eastAsia="仿宋"/>
          <w:b/>
          <w:sz w:val="32"/>
        </w:rPr>
        <w:t>“十三五”时期主要成绩</w:t>
      </w:r>
      <w:bookmarkEnd w:id="1"/>
    </w:p>
    <w:p>
      <w:pPr>
        <w:ind w:firstLine="640" w:firstLineChars="200"/>
        <w:rPr>
          <w:rFonts w:ascii="仿宋" w:hAnsi="仿宋" w:eastAsia="仿宋"/>
          <w:sz w:val="32"/>
        </w:rPr>
      </w:pPr>
      <w:r>
        <w:rPr>
          <w:rFonts w:hint="eastAsia" w:ascii="仿宋" w:hAnsi="仿宋" w:eastAsia="仿宋"/>
          <w:sz w:val="32"/>
        </w:rPr>
        <w:t>“十三五”期间，沙坪坝区立足人口老龄化发展现状，坚持政策先行、加快设施建设、创新供给模式、推进医养结合，初步建立起具有沙坪坝特色的“居家社区机构相协调、医养康养相结合”的养老服务体系，养老事业发展势头良好、成效明显，先后</w:t>
      </w:r>
      <w:r>
        <w:rPr>
          <w:rFonts w:ascii="仿宋" w:hAnsi="仿宋" w:eastAsia="仿宋"/>
          <w:sz w:val="32"/>
        </w:rPr>
        <w:t>荣获</w:t>
      </w:r>
      <w:r>
        <w:rPr>
          <w:rFonts w:hint="eastAsia" w:ascii="仿宋" w:hAnsi="仿宋" w:eastAsia="仿宋"/>
          <w:sz w:val="32"/>
        </w:rPr>
        <w:t>全国老龄工作先进单位、国家首批医养结合试点区、全国第三批居家和社区养老服务改革试点区等荣誉</w:t>
      </w:r>
      <w:r>
        <w:rPr>
          <w:rFonts w:ascii="仿宋" w:hAnsi="仿宋" w:eastAsia="仿宋"/>
          <w:sz w:val="32"/>
        </w:rPr>
        <w:t>，成功创建</w:t>
      </w:r>
      <w:r>
        <w:rPr>
          <w:rFonts w:ascii="Times New Roman" w:hAnsi="Times New Roman" w:eastAsia="仿宋" w:cs="Times New Roman"/>
          <w:sz w:val="32"/>
        </w:rPr>
        <w:t>7</w:t>
      </w:r>
      <w:r>
        <w:rPr>
          <w:rFonts w:ascii="仿宋" w:hAnsi="仿宋" w:eastAsia="仿宋"/>
          <w:sz w:val="32"/>
        </w:rPr>
        <w:t>家全国敬老文明号。</w:t>
      </w:r>
    </w:p>
    <w:p>
      <w:pPr>
        <w:ind w:firstLine="643" w:firstLineChars="200"/>
        <w:rPr>
          <w:rFonts w:eastAsia="仿宋"/>
        </w:rPr>
      </w:pPr>
      <w:r>
        <w:rPr>
          <w:rFonts w:hint="eastAsia" w:ascii="仿宋" w:hAnsi="仿宋" w:eastAsia="仿宋"/>
          <w:b/>
          <w:bCs/>
          <w:sz w:val="32"/>
        </w:rPr>
        <w:t>完善政策体系，助推养老事业发展。</w:t>
      </w:r>
      <w:r>
        <w:rPr>
          <w:rFonts w:hint="eastAsia" w:ascii="仿宋" w:hAnsi="仿宋" w:eastAsia="仿宋"/>
          <w:bCs/>
          <w:sz w:val="32"/>
        </w:rPr>
        <w:t>先后</w:t>
      </w:r>
      <w:r>
        <w:rPr>
          <w:rFonts w:hint="eastAsia" w:ascii="仿宋" w:hAnsi="仿宋" w:eastAsia="仿宋"/>
          <w:sz w:val="32"/>
        </w:rPr>
        <w:t>出台《重庆市沙坪坝区关于全面放开养老服务市场提升养老服务质量的实施意见》《沙坪坝区推进养老服务发展实施方案》《沙坪坝区社区居家养老服务全覆盖实施方案》《沙坪坝区老年人居家适老化改造工程实施方案》《沙坪坝区老年人助餐服务试点工作方案》等政策文件，为养老事业全面发展、养老服务全面覆盖、养老机构提档升级提供了坚实的制度保障。在城乡养老服务发展、社区居家养老服务设施建设、养老服务质量提升、适老化改造、助餐助浴、老年人关爱等方面出台具体方案举措，基本涵盖养老服务各个领域环节，养老事业发展呈现良好势头。</w:t>
      </w:r>
    </w:p>
    <w:p>
      <w:pPr>
        <w:ind w:firstLine="643" w:firstLineChars="200"/>
        <w:rPr>
          <w:rFonts w:ascii="仿宋" w:hAnsi="仿宋" w:eastAsia="仿宋"/>
          <w:sz w:val="32"/>
        </w:rPr>
      </w:pPr>
      <w:r>
        <w:rPr>
          <w:rFonts w:hint="eastAsia" w:ascii="仿宋" w:hAnsi="仿宋" w:eastAsia="仿宋"/>
          <w:b/>
          <w:bCs/>
          <w:sz w:val="32"/>
        </w:rPr>
        <w:t>健全设施网络，扩大养老服务供给。</w:t>
      </w:r>
      <w:r>
        <w:rPr>
          <w:rFonts w:hint="eastAsia" w:ascii="仿宋" w:hAnsi="仿宋" w:eastAsia="仿宋"/>
          <w:sz w:val="32"/>
        </w:rPr>
        <w:t>强化居家养老服务基础保障能力，推动社区居家养老服务基本实现全覆盖，加强社区居家养老专业化智慧化建设，推进农村敬老院新建、改扩建工作。建成</w:t>
      </w:r>
      <w:r>
        <w:rPr>
          <w:rFonts w:ascii="Times New Roman" w:hAnsi="Times New Roman" w:eastAsia="仿宋" w:cs="Times New Roman"/>
          <w:sz w:val="32"/>
        </w:rPr>
        <w:t>1</w:t>
      </w:r>
      <w:r>
        <w:rPr>
          <w:rFonts w:hint="eastAsia" w:ascii="仿宋" w:hAnsi="仿宋" w:eastAsia="仿宋"/>
          <w:sz w:val="32"/>
        </w:rPr>
        <w:t>个区社会福利护养中心，积极整合资源推进养老机构服务提档升级。全区现有养老机构</w:t>
      </w:r>
      <w:r>
        <w:rPr>
          <w:rFonts w:ascii="Times New Roman" w:hAnsi="Times New Roman" w:eastAsia="仿宋" w:cs="Times New Roman"/>
          <w:color w:val="000000" w:themeColor="text1"/>
          <w:sz w:val="32"/>
          <w14:textFill>
            <w14:solidFill>
              <w14:schemeClr w14:val="tx1"/>
            </w14:solidFill>
          </w14:textFill>
        </w:rPr>
        <w:t>68</w:t>
      </w:r>
      <w:r>
        <w:rPr>
          <w:rFonts w:hint="eastAsia" w:ascii="Times New Roman" w:hAnsi="Times New Roman" w:eastAsia="仿宋" w:cs="Times New Roman"/>
          <w:color w:val="000000" w:themeColor="text1"/>
          <w:sz w:val="32"/>
          <w14:textFill>
            <w14:solidFill>
              <w14:schemeClr w14:val="tx1"/>
            </w14:solidFill>
          </w14:textFill>
        </w:rPr>
        <w:t>家</w:t>
      </w:r>
      <w:r>
        <w:rPr>
          <w:rFonts w:hint="eastAsia" w:ascii="仿宋" w:hAnsi="仿宋" w:eastAsia="仿宋"/>
          <w:color w:val="000000" w:themeColor="text1"/>
          <w:sz w:val="32"/>
          <w14:textFill>
            <w14:solidFill>
              <w14:schemeClr w14:val="tx1"/>
            </w14:solidFill>
          </w14:textFill>
        </w:rPr>
        <w:t>，养老床位总数</w:t>
      </w:r>
      <w:r>
        <w:rPr>
          <w:rFonts w:ascii="Times New Roman" w:hAnsi="Times New Roman" w:eastAsia="仿宋" w:cs="Times New Roman"/>
          <w:color w:val="000000" w:themeColor="text1"/>
          <w:sz w:val="32"/>
          <w14:textFill>
            <w14:solidFill>
              <w14:schemeClr w14:val="tx1"/>
            </w14:solidFill>
          </w14:textFill>
        </w:rPr>
        <w:t>7500</w:t>
      </w:r>
      <w:r>
        <w:rPr>
          <w:rFonts w:hint="eastAsia" w:ascii="仿宋" w:hAnsi="仿宋" w:eastAsia="仿宋"/>
          <w:color w:val="000000" w:themeColor="text1"/>
          <w:sz w:val="32"/>
          <w14:textFill>
            <w14:solidFill>
              <w14:schemeClr w14:val="tx1"/>
            </w14:solidFill>
          </w14:textFill>
        </w:rPr>
        <w:t>张。“十三五”时期，全区建成社区居家养老服务设施达</w:t>
      </w:r>
      <w:r>
        <w:rPr>
          <w:rFonts w:ascii="Times New Roman" w:hAnsi="Times New Roman" w:eastAsia="仿宋" w:cs="Times New Roman"/>
          <w:color w:val="000000" w:themeColor="text1"/>
          <w:sz w:val="32"/>
          <w14:textFill>
            <w14:solidFill>
              <w14:schemeClr w14:val="tx1"/>
            </w14:solidFill>
          </w14:textFill>
        </w:rPr>
        <w:t>140</w:t>
      </w:r>
      <w:r>
        <w:rPr>
          <w:rFonts w:hint="eastAsia" w:ascii="仿宋" w:hAnsi="仿宋" w:eastAsia="仿宋"/>
          <w:sz w:val="32"/>
        </w:rPr>
        <w:t>个，其中：街道（乡镇）养老服务中心</w:t>
      </w:r>
      <w:r>
        <w:rPr>
          <w:rFonts w:ascii="Times New Roman" w:hAnsi="Times New Roman" w:eastAsia="仿宋" w:cs="Times New Roman"/>
          <w:sz w:val="32"/>
        </w:rPr>
        <w:t>13</w:t>
      </w:r>
      <w:r>
        <w:rPr>
          <w:rFonts w:hint="eastAsia" w:ascii="仿宋" w:hAnsi="仿宋" w:eastAsia="仿宋"/>
          <w:sz w:val="32"/>
        </w:rPr>
        <w:t>个、社区养老服务站</w:t>
      </w:r>
      <w:r>
        <w:rPr>
          <w:rFonts w:ascii="Times New Roman" w:hAnsi="Times New Roman" w:eastAsia="仿宋" w:cs="Times New Roman"/>
          <w:sz w:val="32"/>
        </w:rPr>
        <w:t>89</w:t>
      </w:r>
      <w:r>
        <w:rPr>
          <w:rFonts w:hint="eastAsia" w:ascii="仿宋" w:hAnsi="仿宋" w:eastAsia="仿宋"/>
          <w:sz w:val="32"/>
        </w:rPr>
        <w:t>个、村级互助养老点</w:t>
      </w:r>
      <w:r>
        <w:rPr>
          <w:rFonts w:ascii="Times New Roman" w:hAnsi="Times New Roman" w:eastAsia="仿宋" w:cs="Times New Roman"/>
          <w:sz w:val="32"/>
        </w:rPr>
        <w:t>38</w:t>
      </w:r>
      <w:r>
        <w:rPr>
          <w:rFonts w:hint="eastAsia" w:ascii="仿宋" w:hAnsi="仿宋" w:eastAsia="仿宋"/>
          <w:sz w:val="32"/>
        </w:rPr>
        <w:t>个，社区居家养老服务设施网络逐步成形。</w:t>
      </w:r>
    </w:p>
    <w:p>
      <w:pPr>
        <w:pStyle w:val="2"/>
        <w:ind w:firstLine="643" w:firstLineChars="200"/>
        <w:rPr>
          <w:rFonts w:ascii="仿宋" w:hAnsi="仿宋" w:eastAsia="仿宋"/>
          <w:sz w:val="32"/>
        </w:rPr>
      </w:pPr>
      <w:r>
        <w:rPr>
          <w:rFonts w:hint="eastAsia" w:ascii="仿宋" w:hAnsi="仿宋" w:eastAsia="仿宋"/>
          <w:b/>
          <w:bCs/>
          <w:sz w:val="32"/>
        </w:rPr>
        <w:t>创新运营模式，提升养老服务质量。</w:t>
      </w:r>
      <w:r>
        <w:rPr>
          <w:rFonts w:hint="eastAsia" w:ascii="仿宋" w:hAnsi="仿宋" w:eastAsia="仿宋"/>
          <w:sz w:val="32"/>
        </w:rPr>
        <w:t>养老事业社会参与度不断提高，引导社会资本投资兴办养老机构</w:t>
      </w:r>
      <w:r>
        <w:rPr>
          <w:rFonts w:ascii="Times New Roman" w:hAnsi="Times New Roman" w:eastAsia="仿宋" w:cs="Times New Roman"/>
          <w:sz w:val="32"/>
        </w:rPr>
        <w:t>61</w:t>
      </w:r>
      <w:r>
        <w:rPr>
          <w:rFonts w:hint="eastAsia" w:ascii="仿宋" w:hAnsi="仿宋" w:eastAsia="仿宋"/>
          <w:sz w:val="32"/>
        </w:rPr>
        <w:t>所，床位</w:t>
      </w:r>
      <w:r>
        <w:rPr>
          <w:rFonts w:ascii="Times New Roman" w:hAnsi="Times New Roman" w:eastAsia="仿宋" w:cs="Times New Roman"/>
          <w:sz w:val="32"/>
        </w:rPr>
        <w:t>6855</w:t>
      </w:r>
      <w:r>
        <w:rPr>
          <w:rFonts w:hint="eastAsia" w:ascii="仿宋" w:hAnsi="仿宋" w:eastAsia="仿宋"/>
          <w:sz w:val="32"/>
        </w:rPr>
        <w:t>张，占全区总床位的</w:t>
      </w:r>
      <w:r>
        <w:rPr>
          <w:rFonts w:ascii="Times New Roman" w:hAnsi="Times New Roman" w:eastAsia="仿宋" w:cs="Times New Roman"/>
          <w:sz w:val="32"/>
        </w:rPr>
        <w:t>91</w:t>
      </w:r>
      <w:r>
        <w:rPr>
          <w:rFonts w:hint="eastAsia" w:ascii="仿宋" w:hAnsi="仿宋" w:eastAsia="仿宋"/>
          <w:sz w:val="32"/>
        </w:rPr>
        <w:t>.</w:t>
      </w:r>
      <w:r>
        <w:rPr>
          <w:rFonts w:ascii="Times New Roman" w:hAnsi="Times New Roman" w:eastAsia="仿宋" w:cs="Times New Roman"/>
          <w:sz w:val="32"/>
        </w:rPr>
        <w:t>4%</w:t>
      </w:r>
      <w:r>
        <w:rPr>
          <w:rFonts w:hint="eastAsia" w:ascii="仿宋" w:hAnsi="仿宋" w:eastAsia="仿宋"/>
          <w:sz w:val="32"/>
        </w:rPr>
        <w:t>，社会办养老机构数和床位占比均为全市第一。推动社会办养老机构规模化、连锁化、品牌化运营，不断提升服务质量和抗风险能力。实施公办养老机构能力提升行动，重点推进乡镇敬老院、养老服务中心联建提升工程。</w:t>
      </w:r>
      <w:r>
        <w:rPr>
          <w:rFonts w:hint="eastAsia" w:ascii="仿宋" w:hAnsi="仿宋" w:eastAsia="仿宋"/>
          <w:color w:val="auto"/>
          <w:sz w:val="32"/>
        </w:rPr>
        <w:t>争取市慈善总会、基金会、社工机构等慈善力量支持，开展多元化、创新性的养老服务项目。</w:t>
      </w:r>
      <w:r>
        <w:rPr>
          <w:rFonts w:hint="eastAsia" w:ascii="仿宋" w:hAnsi="仿宋" w:eastAsia="仿宋"/>
          <w:sz w:val="32"/>
        </w:rPr>
        <w:t>建立并强化养老服务多部门综合监管机制，引入第三方专业机构开展全覆盖安全巡查，督促整改问题隐患。建立健全养老服务标准体系，率先制定出台养老服务中心（站）补助实施细则、运营管理办法和评估实施细则，逐步推进养老服务标准化建设。</w:t>
      </w:r>
    </w:p>
    <w:p>
      <w:pPr>
        <w:ind w:firstLine="643" w:firstLineChars="200"/>
        <w:rPr>
          <w:rFonts w:ascii="仿宋" w:hAnsi="仿宋" w:eastAsia="仿宋"/>
          <w:sz w:val="32"/>
        </w:rPr>
      </w:pPr>
      <w:r>
        <w:rPr>
          <w:rFonts w:hint="eastAsia" w:ascii="仿宋" w:hAnsi="仿宋" w:eastAsia="仿宋"/>
          <w:b/>
          <w:bCs/>
          <w:sz w:val="32"/>
        </w:rPr>
        <w:t>深化医养结合，探索融合发展新路。</w:t>
      </w:r>
      <w:r>
        <w:rPr>
          <w:rFonts w:hint="eastAsia" w:ascii="仿宋" w:hAnsi="仿宋" w:eastAsia="仿宋"/>
          <w:sz w:val="32"/>
        </w:rPr>
        <w:t>联合卫健委等部门，充分利用辖区内优质医疗资源，建立“</w:t>
      </w:r>
      <w:r>
        <w:rPr>
          <w:rFonts w:ascii="Times New Roman" w:hAnsi="Times New Roman" w:eastAsia="仿宋" w:cs="Times New Roman"/>
          <w:sz w:val="32"/>
        </w:rPr>
        <w:t>1</w:t>
      </w:r>
      <w:r>
        <w:rPr>
          <w:rFonts w:hint="eastAsia" w:ascii="仿宋" w:hAnsi="仿宋" w:eastAsia="仿宋"/>
          <w:sz w:val="32"/>
        </w:rPr>
        <w:t>+</w:t>
      </w:r>
      <w:r>
        <w:rPr>
          <w:rFonts w:ascii="Times New Roman" w:hAnsi="Times New Roman" w:eastAsia="仿宋" w:cs="Times New Roman"/>
          <w:sz w:val="32"/>
        </w:rPr>
        <w:t>X</w:t>
      </w:r>
      <w:r>
        <w:rPr>
          <w:rFonts w:hint="eastAsia" w:ascii="仿宋" w:hAnsi="仿宋" w:eastAsia="仿宋"/>
          <w:sz w:val="32"/>
        </w:rPr>
        <w:t>”医养结合联合体服务机制，实现医养无缝对接、急救与休养无缝对接。建立健全医疗卫生机构与养老服务机构合作机制，拓展医疗卫生机构老年健康服务功能，推动养老机构开展医疗卫生服务，全区</w:t>
      </w:r>
      <w:r>
        <w:rPr>
          <w:rFonts w:ascii="Times New Roman" w:hAnsi="Times New Roman" w:eastAsia="仿宋" w:cs="Times New Roman"/>
          <w:sz w:val="32"/>
        </w:rPr>
        <w:t>68</w:t>
      </w:r>
      <w:r>
        <w:rPr>
          <w:rFonts w:hint="eastAsia" w:ascii="仿宋" w:hAnsi="仿宋" w:eastAsia="仿宋"/>
          <w:sz w:val="32"/>
        </w:rPr>
        <w:t>家养老服务机构医养结合服务覆盖率达</w:t>
      </w:r>
      <w:r>
        <w:rPr>
          <w:rFonts w:ascii="Times New Roman" w:hAnsi="Times New Roman" w:eastAsia="仿宋" w:cs="Times New Roman"/>
          <w:sz w:val="32"/>
        </w:rPr>
        <w:t>100%</w:t>
      </w:r>
      <w:r>
        <w:rPr>
          <w:rFonts w:hint="eastAsia" w:ascii="仿宋" w:hAnsi="仿宋" w:eastAsia="仿宋"/>
          <w:sz w:val="32"/>
        </w:rPr>
        <w:t>。组建以全科医生为核心，公卫、护理等人员共同参与的家庭医生服务团队</w:t>
      </w:r>
      <w:r>
        <w:rPr>
          <w:rFonts w:ascii="Times New Roman" w:hAnsi="Times New Roman" w:eastAsia="仿宋" w:cs="Times New Roman"/>
          <w:sz w:val="32"/>
        </w:rPr>
        <w:t>139</w:t>
      </w:r>
      <w:r>
        <w:rPr>
          <w:rFonts w:hint="eastAsia" w:ascii="仿宋" w:hAnsi="仿宋" w:eastAsia="仿宋"/>
          <w:sz w:val="32"/>
        </w:rPr>
        <w:t>个，累计为老年人提供健康管理、指导和体检服务</w:t>
      </w:r>
      <w:r>
        <w:rPr>
          <w:rFonts w:ascii="Times New Roman" w:hAnsi="Times New Roman" w:eastAsia="仿宋" w:cs="Times New Roman"/>
          <w:sz w:val="32"/>
        </w:rPr>
        <w:t>21</w:t>
      </w:r>
      <w:r>
        <w:rPr>
          <w:rFonts w:hint="eastAsia" w:ascii="仿宋" w:hAnsi="仿宋" w:eastAsia="仿宋"/>
          <w:sz w:val="32"/>
        </w:rPr>
        <w:t>.</w:t>
      </w:r>
      <w:r>
        <w:rPr>
          <w:rFonts w:ascii="Times New Roman" w:hAnsi="Times New Roman" w:eastAsia="仿宋" w:cs="Times New Roman"/>
          <w:sz w:val="32"/>
        </w:rPr>
        <w:t>7</w:t>
      </w:r>
      <w:r>
        <w:rPr>
          <w:rFonts w:hint="eastAsia" w:ascii="仿宋" w:hAnsi="仿宋" w:eastAsia="仿宋"/>
          <w:sz w:val="32"/>
        </w:rPr>
        <w:t>万人次。引导辖区医疗机构开通老年人就医绿色通道，</w:t>
      </w:r>
      <w:r>
        <w:rPr>
          <w:rFonts w:ascii="Times New Roman" w:hAnsi="Times New Roman" w:eastAsia="仿宋" w:cs="Times New Roman"/>
          <w:sz w:val="32"/>
        </w:rPr>
        <w:t>14</w:t>
      </w:r>
      <w:r>
        <w:rPr>
          <w:rFonts w:hint="eastAsia" w:ascii="仿宋" w:hAnsi="仿宋" w:eastAsia="仿宋"/>
          <w:sz w:val="32"/>
        </w:rPr>
        <w:t>家医疗机构成功创建老年友善医疗机构。</w:t>
      </w:r>
    </w:p>
    <w:p>
      <w:pPr>
        <w:pStyle w:val="2"/>
        <w:ind w:firstLine="643" w:firstLineChars="200"/>
        <w:rPr>
          <w:rFonts w:ascii="仿宋" w:hAnsi="仿宋" w:eastAsia="仿宋"/>
          <w:color w:val="auto"/>
          <w:sz w:val="32"/>
        </w:rPr>
      </w:pPr>
      <w:r>
        <w:rPr>
          <w:rFonts w:hint="eastAsia" w:ascii="仿宋" w:hAnsi="仿宋" w:eastAsia="仿宋"/>
          <w:b/>
          <w:bCs/>
          <w:color w:val="auto"/>
          <w:sz w:val="32"/>
        </w:rPr>
        <w:t>筑牢兜底保障，夯实老人关爱服务。</w:t>
      </w:r>
      <w:r>
        <w:rPr>
          <w:rFonts w:hint="eastAsia" w:ascii="仿宋" w:hAnsi="仿宋" w:eastAsia="仿宋"/>
          <w:color w:val="auto"/>
          <w:sz w:val="32"/>
        </w:rPr>
        <w:t>注重老年人群体人文关怀，健全“社会工作者+红岩志愿者”联动服务机制，与社会工作服务机构、心理咨询机构合作为老年人提供精神慰藉、心理疏导和生活支持等专业化服务，引导志愿服务组织和慈善组织为老年人提供身心关爱、照料支持和生活陪伴等多样化服务。推进辖区内老年大学建设，为老年人提供文体娱乐、互帮互助和老年教育等活动。扩大老年人社会参与，引导老年人发挥自身专长，参与乡村振兴、社区治理、公益慈善、文教卫生等事业。</w:t>
      </w:r>
    </w:p>
    <w:p>
      <w:pPr>
        <w:ind w:firstLine="640" w:firstLineChars="200"/>
        <w:rPr>
          <w:rFonts w:ascii="仿宋" w:hAnsi="仿宋" w:eastAsia="仿宋"/>
          <w:sz w:val="32"/>
        </w:rPr>
      </w:pPr>
    </w:p>
    <w:p>
      <w:pPr>
        <w:ind w:firstLine="643" w:firstLineChars="200"/>
        <w:jc w:val="center"/>
        <w:outlineLvl w:val="1"/>
        <w:rPr>
          <w:rFonts w:ascii="仿宋" w:hAnsi="仿宋" w:eastAsia="仿宋"/>
          <w:b/>
          <w:sz w:val="32"/>
        </w:rPr>
      </w:pPr>
      <w:bookmarkStart w:id="2" w:name="_Toc118042924"/>
      <w:r>
        <w:rPr>
          <w:rFonts w:hint="eastAsia" w:ascii="仿宋" w:hAnsi="仿宋" w:eastAsia="仿宋"/>
          <w:b/>
          <w:sz w:val="32"/>
        </w:rPr>
        <w:t>第二节  “十四五”时期发展形势</w:t>
      </w:r>
      <w:bookmarkEnd w:id="2"/>
    </w:p>
    <w:p>
      <w:pPr>
        <w:ind w:firstLine="640" w:firstLineChars="200"/>
        <w:rPr>
          <w:rFonts w:ascii="仿宋" w:hAnsi="仿宋" w:eastAsia="仿宋"/>
          <w:sz w:val="32"/>
        </w:rPr>
      </w:pPr>
      <w:r>
        <w:rPr>
          <w:rFonts w:hint="eastAsia" w:ascii="仿宋" w:hAnsi="仿宋" w:eastAsia="仿宋"/>
          <w:sz w:val="32"/>
        </w:rPr>
        <w:t>“十四五”时期是开启全面建设社会主义现代化国家新征程、向第二个百年奋斗目标进军的第一个五年，也是积极应对人口老龄化、推进养老事业改革发展、谱写养老事业高质量发展新篇章的关键五年。</w:t>
      </w:r>
      <w:r>
        <w:rPr>
          <w:rFonts w:hint="eastAsia" w:ascii="仿宋" w:hAnsi="仿宋" w:eastAsia="仿宋" w:cs="Times New Roman"/>
          <w:sz w:val="32"/>
          <w:szCs w:val="32"/>
        </w:rPr>
        <w:t>截至</w:t>
      </w:r>
      <w:r>
        <w:rPr>
          <w:rFonts w:ascii="Times New Roman" w:hAnsi="Times New Roman" w:eastAsia="仿宋" w:cs="Times New Roman"/>
          <w:sz w:val="32"/>
          <w:szCs w:val="32"/>
        </w:rPr>
        <w:t>2020</w:t>
      </w:r>
      <w:r>
        <w:rPr>
          <w:rFonts w:ascii="仿宋" w:hAnsi="仿宋" w:eastAsia="仿宋" w:cs="Times New Roman"/>
          <w:sz w:val="32"/>
          <w:szCs w:val="32"/>
        </w:rPr>
        <w:t>年底，全区户籍人口中</w:t>
      </w:r>
      <w:r>
        <w:rPr>
          <w:rFonts w:ascii="Times New Roman" w:hAnsi="Times New Roman" w:eastAsia="仿宋" w:cs="Times New Roman"/>
          <w:sz w:val="32"/>
          <w:szCs w:val="32"/>
        </w:rPr>
        <w:t>60</w:t>
      </w:r>
      <w:r>
        <w:rPr>
          <w:rFonts w:ascii="仿宋" w:hAnsi="仿宋" w:eastAsia="仿宋" w:cs="Times New Roman"/>
          <w:sz w:val="32"/>
          <w:szCs w:val="32"/>
        </w:rPr>
        <w:t>岁及以上老年人</w:t>
      </w:r>
      <w:r>
        <w:rPr>
          <w:rFonts w:ascii="Times New Roman" w:hAnsi="Times New Roman" w:eastAsia="仿宋" w:cs="Times New Roman"/>
          <w:sz w:val="32"/>
          <w:szCs w:val="32"/>
        </w:rPr>
        <w:t>28</w:t>
      </w:r>
      <w:r>
        <w:rPr>
          <w:rFonts w:ascii="仿宋" w:hAnsi="仿宋" w:eastAsia="仿宋" w:cs="Times New Roman"/>
          <w:sz w:val="32"/>
          <w:szCs w:val="32"/>
        </w:rPr>
        <w:t>.</w:t>
      </w:r>
      <w:r>
        <w:rPr>
          <w:rFonts w:ascii="Times New Roman" w:hAnsi="Times New Roman" w:eastAsia="仿宋" w:cs="Times New Roman"/>
          <w:sz w:val="32"/>
          <w:szCs w:val="32"/>
        </w:rPr>
        <w:t>91</w:t>
      </w:r>
      <w:r>
        <w:rPr>
          <w:rFonts w:ascii="仿宋" w:hAnsi="仿宋" w:eastAsia="仿宋" w:cs="Times New Roman"/>
          <w:sz w:val="32"/>
          <w:szCs w:val="32"/>
        </w:rPr>
        <w:t>万人，占比</w:t>
      </w:r>
      <w:r>
        <w:rPr>
          <w:rFonts w:ascii="Times New Roman" w:hAnsi="Times New Roman" w:eastAsia="仿宋" w:cs="Times New Roman"/>
          <w:sz w:val="32"/>
          <w:szCs w:val="32"/>
        </w:rPr>
        <w:t>24</w:t>
      </w:r>
      <w:r>
        <w:rPr>
          <w:rFonts w:ascii="仿宋" w:hAnsi="仿宋" w:eastAsia="仿宋" w:cs="Times New Roman"/>
          <w:sz w:val="32"/>
          <w:szCs w:val="32"/>
        </w:rPr>
        <w:t>.</w:t>
      </w:r>
      <w:r>
        <w:rPr>
          <w:rFonts w:ascii="Times New Roman" w:hAnsi="Times New Roman" w:eastAsia="仿宋" w:cs="Times New Roman"/>
          <w:sz w:val="32"/>
          <w:szCs w:val="32"/>
        </w:rPr>
        <w:t>6%</w:t>
      </w:r>
      <w:r>
        <w:rPr>
          <w:rFonts w:ascii="仿宋" w:hAnsi="仿宋" w:eastAsia="仿宋" w:cs="Times New Roman"/>
          <w:sz w:val="32"/>
          <w:szCs w:val="32"/>
        </w:rPr>
        <w:t>。</w:t>
      </w:r>
      <w:r>
        <w:rPr>
          <w:rFonts w:hint="eastAsia" w:ascii="仿宋" w:hAnsi="仿宋" w:eastAsia="仿宋"/>
          <w:sz w:val="32"/>
        </w:rPr>
        <w:t>“十四五”时期，全区老年人口基数大、增速快、高龄多等特征将继续维持，需求类型将不断升级，养老事业和产业发展蕴含新机遇，面临新挑战。沙坪坝区具备较为坚实的物质基础、充足的人力资本、良好的营商环境，但也要清醒地意识到，面对新形势、新要求、新任务，我区老龄事业和养老服务发展不充分不平衡的问题依然存在，建设与人口老龄化进程相适应的养老服务体系、推动养老事业高质量发展的重要性和紧迫性更加凸显，任务更加艰巨。</w:t>
      </w:r>
    </w:p>
    <w:p>
      <w:pPr>
        <w:ind w:firstLine="643" w:firstLineChars="200"/>
      </w:pPr>
      <w:r>
        <w:rPr>
          <w:rFonts w:hint="eastAsia" w:ascii="仿宋" w:hAnsi="仿宋" w:eastAsia="仿宋"/>
          <w:b/>
          <w:bCs/>
          <w:sz w:val="32"/>
        </w:rPr>
        <w:t>养老服务供给不够充分。</w:t>
      </w:r>
      <w:r>
        <w:rPr>
          <w:rFonts w:hint="eastAsia" w:ascii="仿宋" w:hAnsi="仿宋" w:eastAsia="仿宋"/>
          <w:sz w:val="32"/>
        </w:rPr>
        <w:t>传统家庭养老功能弱化，机构养老服务向家庭和社区延伸不足，现代居家养老质量不高。老旧小区配套养老设施可及性不足，新建小区配建养老设施运营效率不高。嵌入式养老机构较少，普惠性养老机构床位供不应求。养老机构与医疗机构毗邻建设规划不足，社区养老服务设施网络有待进一步织密，并向小区等服务末梢延伸。</w:t>
      </w:r>
    </w:p>
    <w:p>
      <w:pPr>
        <w:ind w:firstLine="643" w:firstLineChars="200"/>
        <w:rPr>
          <w:rFonts w:ascii="仿宋" w:hAnsi="仿宋" w:eastAsia="仿宋"/>
          <w:sz w:val="32"/>
        </w:rPr>
      </w:pPr>
      <w:r>
        <w:rPr>
          <w:rFonts w:hint="eastAsia" w:ascii="仿宋" w:hAnsi="仿宋" w:eastAsia="仿宋"/>
          <w:b/>
          <w:bCs/>
          <w:sz w:val="32"/>
        </w:rPr>
        <w:t>养老服务质量有待提升。</w:t>
      </w:r>
      <w:r>
        <w:rPr>
          <w:rFonts w:hint="eastAsia" w:ascii="仿宋" w:hAnsi="仿宋" w:eastAsia="仿宋"/>
          <w:sz w:val="32"/>
        </w:rPr>
        <w:t>街镇养老服务中心、社区养老服务站多以提供基础性的入户探访、家政服务、文娱活动为主，服务内容、服务形式较为单一，难以满足老年人日益丰富的多层次、多元化养老服务需求。“中心带站”服务模式形态还未成熟，亟需创新运营实施机制、建立考评激励机制。部分社会办养老机构运营专业化、规范化程度较低，安全生产能力存在较大提升空间。</w:t>
      </w:r>
    </w:p>
    <w:p>
      <w:pPr>
        <w:ind w:firstLine="643" w:firstLineChars="200"/>
        <w:rPr>
          <w:rFonts w:ascii="仿宋" w:hAnsi="仿宋" w:eastAsia="仿宋"/>
          <w:sz w:val="32"/>
        </w:rPr>
      </w:pPr>
      <w:r>
        <w:rPr>
          <w:rFonts w:hint="eastAsia" w:ascii="仿宋" w:hAnsi="仿宋" w:eastAsia="仿宋"/>
          <w:b/>
          <w:bCs/>
          <w:sz w:val="32"/>
        </w:rPr>
        <w:t>医养融合广度深度不足。</w:t>
      </w:r>
      <w:r>
        <w:rPr>
          <w:rFonts w:hint="eastAsia" w:ascii="仿宋" w:hAnsi="仿宋" w:eastAsia="仿宋"/>
          <w:sz w:val="32"/>
        </w:rPr>
        <w:t>养老机构医疗人员数量不够、医疗服务质量不高，医疗机构开展养老服务效率低、队伍数量不足。医养结合机构，尤其是康复医院、护理院数量不足。居家医养结合法律制度保障滞后，家庭医生有签约无服务现象突出。社区医养结合深度不足，技术水平较低、专业人员不足、服务流程有待规范。</w:t>
      </w:r>
    </w:p>
    <w:p>
      <w:pPr>
        <w:ind w:firstLine="643" w:firstLineChars="200"/>
        <w:rPr>
          <w:rFonts w:ascii="仿宋" w:hAnsi="仿宋" w:eastAsia="仿宋"/>
          <w:sz w:val="32"/>
        </w:rPr>
      </w:pPr>
      <w:r>
        <w:rPr>
          <w:rFonts w:hint="eastAsia" w:ascii="仿宋" w:hAnsi="仿宋" w:eastAsia="仿宋"/>
          <w:b/>
          <w:bCs/>
          <w:sz w:val="32"/>
        </w:rPr>
        <w:t>养老事业人才队伍短缺。</w:t>
      </w:r>
      <w:r>
        <w:rPr>
          <w:rFonts w:hint="eastAsia" w:ascii="仿宋" w:hAnsi="仿宋" w:eastAsia="仿宋"/>
          <w:sz w:val="32"/>
        </w:rPr>
        <w:t>养老服务行业人才培养体系不成熟，常态化教育培训和技能提升覆盖面较为狭窄、内容较为单一。行业关注度低，人员招不来、留不住，街镇无养老专岗，村社无养老专干，基层养老力量薄弱。从业人员专业资质亟待提升，鼓励专业人才从事养老服务的补贴政策和保障机制有待建立健全。</w:t>
      </w:r>
    </w:p>
    <w:p>
      <w:pPr>
        <w:ind w:firstLine="643" w:firstLineChars="200"/>
        <w:rPr>
          <w:rFonts w:ascii="仿宋" w:hAnsi="仿宋" w:eastAsia="仿宋"/>
          <w:sz w:val="32"/>
        </w:rPr>
      </w:pPr>
      <w:r>
        <w:rPr>
          <w:rFonts w:hint="eastAsia" w:ascii="仿宋" w:hAnsi="仿宋" w:eastAsia="仿宋"/>
          <w:b/>
          <w:sz w:val="32"/>
        </w:rPr>
        <w:t>老年关爱服务仍需强化。</w:t>
      </w:r>
      <w:r>
        <w:rPr>
          <w:rFonts w:hint="eastAsia" w:ascii="仿宋" w:hAnsi="仿宋" w:eastAsia="仿宋"/>
          <w:sz w:val="32"/>
        </w:rPr>
        <w:t>针对不同类型老年人的社区关爱服务体系仍需完善，居家养老上门服务质量仍需提高。为老年人提供的日间照料、文化娱乐等服务较为单一，老年人参与社会活动、融入智能社会的支持保障措施较为薄弱，敬老爱老助老的社会氛围还不浓厚。</w:t>
      </w:r>
    </w:p>
    <w:p>
      <w:pPr>
        <w:ind w:firstLine="643" w:firstLineChars="200"/>
        <w:rPr>
          <w:rFonts w:ascii="仿宋" w:hAnsi="仿宋" w:eastAsia="仿宋"/>
          <w:sz w:val="32"/>
        </w:rPr>
      </w:pPr>
      <w:r>
        <w:rPr>
          <w:rFonts w:hint="eastAsia" w:ascii="仿宋" w:hAnsi="仿宋" w:eastAsia="仿宋"/>
          <w:b/>
          <w:bCs/>
          <w:sz w:val="32"/>
        </w:rPr>
        <w:t>养老服务支撑保障薄弱。</w:t>
      </w:r>
      <w:r>
        <w:rPr>
          <w:rFonts w:hint="eastAsia" w:ascii="仿宋" w:hAnsi="仿宋" w:eastAsia="仿宋"/>
          <w:sz w:val="32"/>
        </w:rPr>
        <w:t>老年人消费能力和购买意愿较低，购买养老产品能力不足。养老机构扶持政策与价格优惠落地难，营商环境存在改善空间。养老服务设施建设用地、用房、资金、宣传等配套政策保障与要素支撑有待强化。</w:t>
      </w:r>
    </w:p>
    <w:p>
      <w:pPr>
        <w:pStyle w:val="2"/>
        <w:ind w:firstLine="640" w:firstLineChars="200"/>
        <w:rPr>
          <w:rFonts w:ascii="仿宋" w:hAnsi="仿宋" w:eastAsia="仿宋"/>
          <w:sz w:val="32"/>
        </w:rPr>
      </w:pPr>
      <w:r>
        <w:rPr>
          <w:rFonts w:hint="eastAsia" w:ascii="仿宋" w:hAnsi="仿宋" w:eastAsia="仿宋"/>
          <w:sz w:val="32"/>
        </w:rPr>
        <w:t>全区要牢牢把握积极应对人口老龄化的窗口机遇，聚焦事关老年人切身利益的现实需求，直面养老事业发展中的挑战，加大制度创新、政策供给、财政投入力度，深化养老服务体制机制改革，优化养老服务供需结构，促进养老服务提质增效，努力推动“十四五”时期沙坪坝区养老服务事业发展再上新台阶。</w:t>
      </w:r>
    </w:p>
    <w:p>
      <w:pPr>
        <w:rPr>
          <w:rFonts w:ascii="仿宋" w:hAnsi="仿宋" w:eastAsia="仿宋"/>
          <w:sz w:val="32"/>
        </w:rPr>
      </w:pPr>
    </w:p>
    <w:p>
      <w:pPr>
        <w:rPr>
          <w:rFonts w:ascii="仿宋" w:hAnsi="仿宋" w:eastAsia="仿宋"/>
          <w:sz w:val="32"/>
        </w:rPr>
      </w:pPr>
    </w:p>
    <w:p>
      <w:pPr>
        <w:jc w:val="center"/>
        <w:outlineLvl w:val="0"/>
        <w:rPr>
          <w:rFonts w:ascii="黑体" w:hAnsi="黑体" w:eastAsia="黑体"/>
          <w:sz w:val="32"/>
        </w:rPr>
      </w:pPr>
      <w:bookmarkStart w:id="3" w:name="_Toc118042925"/>
      <w:r>
        <w:rPr>
          <w:rFonts w:hint="eastAsia" w:ascii="黑体" w:hAnsi="黑体" w:eastAsia="黑体"/>
          <w:sz w:val="32"/>
        </w:rPr>
        <w:t xml:space="preserve">第二章 </w:t>
      </w:r>
      <w:r>
        <w:rPr>
          <w:rFonts w:ascii="黑体" w:hAnsi="黑体" w:eastAsia="黑体"/>
          <w:sz w:val="32"/>
        </w:rPr>
        <w:t xml:space="preserve"> </w:t>
      </w:r>
      <w:r>
        <w:rPr>
          <w:rFonts w:hint="eastAsia" w:ascii="黑体" w:hAnsi="黑体" w:eastAsia="黑体"/>
          <w:sz w:val="32"/>
        </w:rPr>
        <w:t>总体要求</w:t>
      </w:r>
      <w:bookmarkEnd w:id="3"/>
    </w:p>
    <w:p>
      <w:pPr>
        <w:pStyle w:val="2"/>
        <w:rPr>
          <w:rFonts w:ascii="仿宋" w:hAnsi="仿宋" w:eastAsia="仿宋"/>
          <w:sz w:val="32"/>
          <w:szCs w:val="32"/>
        </w:rPr>
      </w:pPr>
    </w:p>
    <w:p>
      <w:pPr>
        <w:jc w:val="center"/>
        <w:outlineLvl w:val="1"/>
        <w:rPr>
          <w:rFonts w:ascii="仿宋" w:hAnsi="仿宋" w:eastAsia="仿宋"/>
          <w:b/>
          <w:sz w:val="32"/>
        </w:rPr>
      </w:pPr>
      <w:bookmarkStart w:id="4" w:name="_Toc118042926"/>
      <w:r>
        <w:rPr>
          <w:rFonts w:hint="eastAsia" w:ascii="仿宋" w:hAnsi="仿宋" w:eastAsia="仿宋"/>
          <w:b/>
          <w:sz w:val="32"/>
        </w:rPr>
        <w:t xml:space="preserve">第一节 </w:t>
      </w:r>
      <w:r>
        <w:rPr>
          <w:rFonts w:ascii="仿宋" w:hAnsi="仿宋" w:eastAsia="仿宋"/>
          <w:b/>
          <w:sz w:val="32"/>
        </w:rPr>
        <w:t xml:space="preserve"> </w:t>
      </w:r>
      <w:r>
        <w:rPr>
          <w:rFonts w:hint="eastAsia" w:ascii="仿宋" w:hAnsi="仿宋" w:eastAsia="仿宋"/>
          <w:b/>
          <w:sz w:val="32"/>
        </w:rPr>
        <w:t>指导思想</w:t>
      </w:r>
      <w:bookmarkEnd w:id="4"/>
    </w:p>
    <w:p>
      <w:pPr>
        <w:ind w:firstLine="640" w:firstLineChars="200"/>
        <w:rPr>
          <w:rFonts w:ascii="仿宋" w:hAnsi="仿宋" w:eastAsia="仿宋"/>
          <w:sz w:val="32"/>
        </w:rPr>
      </w:pPr>
      <w:r>
        <w:rPr>
          <w:rFonts w:hint="eastAsia" w:ascii="仿宋" w:hAnsi="仿宋" w:eastAsia="仿宋"/>
          <w:sz w:val="32"/>
        </w:rPr>
        <w:t>以习近平新时代中国特色社会主义思想为指导，全面贯彻党的十九大和十九届历次全会精神，深入贯彻落实习近平总书记对民政工作尤其是养老工作的重要指示批示精神和视察重庆重要讲话精神，认真落实市委市政府、区委区政府决策部署，把积极老龄观、健康老龄化理念融入经济社会发展全过程，以满足老年人日益增长的多层次、多元化养老服务需求为目的，增强养老服务均衡性和可及性，加快构建与沙坪坝区经济社会发展水平相适应的综合养老服务体系。坚持事业与产业并重，让养老服务业成为老年人老有颐养、共享小康的重要保障，让养老产业作为促进消费、吸纳就业、助力经济转型升级的重要驱动，更好地积极应对人口老龄化国家战略，不断实现老年人对美好生活的向往。</w:t>
      </w:r>
    </w:p>
    <w:p>
      <w:pPr>
        <w:rPr>
          <w:rFonts w:ascii="仿宋" w:hAnsi="仿宋" w:eastAsia="仿宋"/>
          <w:sz w:val="32"/>
        </w:rPr>
      </w:pPr>
    </w:p>
    <w:p>
      <w:pPr>
        <w:jc w:val="center"/>
        <w:outlineLvl w:val="1"/>
        <w:rPr>
          <w:rFonts w:ascii="仿宋" w:hAnsi="仿宋" w:eastAsia="仿宋"/>
          <w:b/>
          <w:sz w:val="32"/>
        </w:rPr>
      </w:pPr>
      <w:bookmarkStart w:id="5" w:name="_Toc118042927"/>
      <w:r>
        <w:rPr>
          <w:rFonts w:hint="eastAsia" w:ascii="仿宋" w:hAnsi="仿宋" w:eastAsia="仿宋"/>
          <w:b/>
          <w:sz w:val="32"/>
        </w:rPr>
        <w:t xml:space="preserve">第二节 </w:t>
      </w:r>
      <w:r>
        <w:rPr>
          <w:rFonts w:ascii="仿宋" w:hAnsi="仿宋" w:eastAsia="仿宋"/>
          <w:b/>
          <w:sz w:val="32"/>
        </w:rPr>
        <w:t xml:space="preserve"> </w:t>
      </w:r>
      <w:r>
        <w:rPr>
          <w:rFonts w:hint="eastAsia" w:ascii="仿宋" w:hAnsi="仿宋" w:eastAsia="仿宋"/>
          <w:b/>
          <w:sz w:val="32"/>
        </w:rPr>
        <w:t>基本原则</w:t>
      </w:r>
      <w:bookmarkEnd w:id="5"/>
    </w:p>
    <w:p>
      <w:pPr>
        <w:ind w:firstLine="643" w:firstLineChars="200"/>
        <w:rPr>
          <w:rFonts w:ascii="仿宋" w:hAnsi="仿宋" w:eastAsia="仿宋"/>
          <w:sz w:val="32"/>
        </w:rPr>
      </w:pPr>
      <w:r>
        <w:rPr>
          <w:rFonts w:hint="eastAsia" w:ascii="仿宋" w:hAnsi="仿宋" w:eastAsia="仿宋"/>
          <w:b/>
          <w:bCs/>
          <w:sz w:val="32"/>
        </w:rPr>
        <w:t>以人为本，顺应趋势。</w:t>
      </w:r>
      <w:r>
        <w:rPr>
          <w:rFonts w:hint="eastAsia" w:ascii="仿宋" w:hAnsi="仿宋" w:eastAsia="仿宋"/>
          <w:sz w:val="32"/>
        </w:rPr>
        <w:t>坚持以人民为中心，紧紧抓住人民最关心最直接最现实的利益问题，坚持尽力而为、量力而行，加快建设符合全区经济社会发展实际、顺应人口老龄化趋势的养老服务体系，让老年人共享改革开放发展成果。</w:t>
      </w:r>
    </w:p>
    <w:p>
      <w:pPr>
        <w:ind w:firstLine="643" w:firstLineChars="200"/>
        <w:rPr>
          <w:rFonts w:ascii="仿宋" w:hAnsi="仿宋" w:eastAsia="仿宋"/>
          <w:sz w:val="32"/>
        </w:rPr>
      </w:pPr>
      <w:r>
        <w:rPr>
          <w:rFonts w:hint="eastAsia" w:ascii="仿宋" w:hAnsi="仿宋" w:eastAsia="仿宋"/>
          <w:b/>
          <w:bCs/>
          <w:sz w:val="32"/>
        </w:rPr>
        <w:t>系统谋划，统筹推进。</w:t>
      </w:r>
      <w:r>
        <w:rPr>
          <w:rFonts w:hint="eastAsia" w:ascii="仿宋" w:hAnsi="仿宋" w:eastAsia="仿宋"/>
          <w:sz w:val="32"/>
        </w:rPr>
        <w:t>坚持顶层设计与基层实践相结合，坚持积极应对人口老龄化与促进经济社会发展相结合，坚持保障基本与普惠多元相结合。统筹协调居家、社区、机构养老服务均衡发展，深入推进医养结合，以多层次养老服务体系满足老年人多元化需求。</w:t>
      </w:r>
    </w:p>
    <w:p>
      <w:pPr>
        <w:ind w:firstLine="643" w:firstLineChars="200"/>
        <w:rPr>
          <w:rFonts w:ascii="仿宋" w:hAnsi="仿宋" w:eastAsia="仿宋"/>
          <w:sz w:val="32"/>
        </w:rPr>
      </w:pPr>
      <w:r>
        <w:rPr>
          <w:rFonts w:hint="eastAsia" w:ascii="仿宋" w:hAnsi="仿宋" w:eastAsia="仿宋"/>
          <w:b/>
          <w:bCs/>
          <w:sz w:val="32"/>
        </w:rPr>
        <w:t>兜牢底线，提质增效。</w:t>
      </w:r>
      <w:r>
        <w:rPr>
          <w:rFonts w:hint="eastAsia" w:ascii="仿宋" w:hAnsi="仿宋" w:eastAsia="仿宋"/>
          <w:sz w:val="32"/>
        </w:rPr>
        <w:t>聚焦薄弱环节，补齐农村养老服务短板，重点保障特困及经济困难老年人的基本养老服务需求，加快推进村社养老服务站点有效覆盖，实现人人享有方便可及、价格可负担、质量有保障的基本养老服务。优化养老设施空间布局，完善养老服务体系结构功能，</w:t>
      </w:r>
      <w:r>
        <w:rPr>
          <w:rFonts w:ascii="仿宋" w:hAnsi="仿宋" w:eastAsia="仿宋"/>
          <w:sz w:val="32"/>
        </w:rPr>
        <w:t>提升质量效益，</w:t>
      </w:r>
      <w:r>
        <w:rPr>
          <w:rFonts w:hint="eastAsia" w:ascii="仿宋" w:hAnsi="仿宋" w:eastAsia="仿宋"/>
          <w:sz w:val="32"/>
        </w:rPr>
        <w:t>促进</w:t>
      </w:r>
      <w:r>
        <w:rPr>
          <w:rFonts w:ascii="仿宋" w:hAnsi="仿宋" w:eastAsia="仿宋"/>
          <w:sz w:val="32"/>
        </w:rPr>
        <w:t>养老服务标准化、品牌化建设，</w:t>
      </w:r>
      <w:r>
        <w:rPr>
          <w:rFonts w:hint="eastAsia" w:ascii="仿宋" w:hAnsi="仿宋" w:eastAsia="仿宋"/>
          <w:sz w:val="32"/>
        </w:rPr>
        <w:t>推动</w:t>
      </w:r>
      <w:r>
        <w:rPr>
          <w:rFonts w:ascii="仿宋" w:hAnsi="仿宋" w:eastAsia="仿宋"/>
          <w:sz w:val="32"/>
        </w:rPr>
        <w:t>养老事业</w:t>
      </w:r>
      <w:r>
        <w:rPr>
          <w:rFonts w:hint="eastAsia" w:ascii="仿宋" w:hAnsi="仿宋" w:eastAsia="仿宋"/>
          <w:sz w:val="32"/>
        </w:rPr>
        <w:t>不断迈上</w:t>
      </w:r>
      <w:r>
        <w:rPr>
          <w:rFonts w:ascii="仿宋" w:hAnsi="仿宋" w:eastAsia="仿宋"/>
          <w:sz w:val="32"/>
        </w:rPr>
        <w:t>高质量发展的新</w:t>
      </w:r>
      <w:r>
        <w:rPr>
          <w:rFonts w:hint="eastAsia" w:ascii="仿宋" w:hAnsi="仿宋" w:eastAsia="仿宋"/>
          <w:sz w:val="32"/>
        </w:rPr>
        <w:t>台阶</w:t>
      </w:r>
      <w:r>
        <w:rPr>
          <w:rFonts w:ascii="仿宋" w:hAnsi="仿宋" w:eastAsia="仿宋"/>
          <w:sz w:val="32"/>
        </w:rPr>
        <w:t>。</w:t>
      </w:r>
    </w:p>
    <w:p>
      <w:pPr>
        <w:ind w:firstLine="643" w:firstLineChars="200"/>
        <w:rPr>
          <w:rFonts w:ascii="仿宋" w:hAnsi="仿宋" w:eastAsia="仿宋"/>
          <w:sz w:val="32"/>
        </w:rPr>
      </w:pPr>
      <w:r>
        <w:rPr>
          <w:rFonts w:hint="eastAsia" w:ascii="仿宋" w:hAnsi="仿宋" w:eastAsia="仿宋"/>
          <w:b/>
          <w:bCs/>
          <w:sz w:val="32"/>
        </w:rPr>
        <w:t>改革创新，激发活力。</w:t>
      </w:r>
      <w:r>
        <w:rPr>
          <w:rFonts w:hint="eastAsia" w:ascii="仿宋" w:hAnsi="仿宋" w:eastAsia="仿宋"/>
          <w:sz w:val="32"/>
        </w:rPr>
        <w:t>全面开放养老市场，不断优化营商环境，培育新产业、新业态、新模式，推动“养老+”服务业多业态深度融合发展。强化养老事业科技支撑，促进养老服务智慧化、信息化建设。完善跨部门综合监管制度机制，推进养老领域标准化建设。创新养老服务支持政策、激励机制、供给模式、保障制度、监管体系，不断激发养老市场活力。</w:t>
      </w:r>
    </w:p>
    <w:p>
      <w:pPr>
        <w:ind w:firstLine="643" w:firstLineChars="200"/>
        <w:rPr>
          <w:rFonts w:ascii="仿宋" w:hAnsi="仿宋" w:eastAsia="仿宋"/>
          <w:sz w:val="32"/>
        </w:rPr>
      </w:pPr>
      <w:r>
        <w:rPr>
          <w:rFonts w:hint="eastAsia" w:ascii="仿宋" w:hAnsi="仿宋" w:eastAsia="仿宋"/>
          <w:b/>
          <w:bCs/>
          <w:sz w:val="32"/>
        </w:rPr>
        <w:t>多元参与，共建共享。</w:t>
      </w:r>
      <w:r>
        <w:rPr>
          <w:rFonts w:hint="eastAsia" w:ascii="仿宋" w:hAnsi="仿宋" w:eastAsia="仿宋"/>
          <w:sz w:val="32"/>
        </w:rPr>
        <w:t>努力构建政府、社会、家庭共同参与、各尽其责的基本格局，形成助推养老事业高质量发展的合力。巩固居家养老的基础地位，支持多元社会力量参与，弘扬孝老爱亲的传统美德，打造共建共治共享的老年友好型社会。</w:t>
      </w:r>
    </w:p>
    <w:p>
      <w:pPr>
        <w:pStyle w:val="2"/>
        <w:rPr>
          <w:rFonts w:ascii="仿宋" w:hAnsi="仿宋" w:eastAsia="仿宋"/>
          <w:sz w:val="32"/>
        </w:rPr>
      </w:pPr>
    </w:p>
    <w:p>
      <w:pPr>
        <w:jc w:val="center"/>
        <w:outlineLvl w:val="1"/>
        <w:rPr>
          <w:rFonts w:ascii="仿宋" w:hAnsi="仿宋" w:eastAsia="仿宋"/>
          <w:sz w:val="32"/>
        </w:rPr>
      </w:pPr>
      <w:bookmarkStart w:id="6" w:name="_Toc118042928"/>
      <w:r>
        <w:rPr>
          <w:rFonts w:hint="eastAsia" w:ascii="仿宋" w:hAnsi="仿宋" w:eastAsia="仿宋"/>
          <w:b/>
          <w:sz w:val="32"/>
        </w:rPr>
        <w:t xml:space="preserve">第三节 </w:t>
      </w:r>
      <w:r>
        <w:rPr>
          <w:rFonts w:ascii="仿宋" w:hAnsi="仿宋" w:eastAsia="仿宋"/>
          <w:b/>
          <w:sz w:val="32"/>
        </w:rPr>
        <w:t xml:space="preserve"> </w:t>
      </w:r>
      <w:r>
        <w:rPr>
          <w:rFonts w:hint="eastAsia" w:ascii="仿宋" w:hAnsi="仿宋" w:eastAsia="仿宋"/>
          <w:b/>
          <w:sz w:val="32"/>
        </w:rPr>
        <w:t>发展目标</w:t>
      </w:r>
      <w:bookmarkEnd w:id="6"/>
    </w:p>
    <w:p>
      <w:pPr>
        <w:ind w:firstLine="640" w:firstLineChars="200"/>
      </w:pPr>
      <w:r>
        <w:rPr>
          <w:rFonts w:hint="eastAsia" w:ascii="仿宋" w:hAnsi="仿宋" w:eastAsia="仿宋"/>
          <w:sz w:val="32"/>
        </w:rPr>
        <w:t>围绕沙坪坝区的形象定位与发展目标，持续推进养老事业高质量、可持续发展。力争到</w:t>
      </w:r>
      <w:r>
        <w:rPr>
          <w:rFonts w:ascii="Times New Roman" w:hAnsi="Times New Roman" w:eastAsia="仿宋" w:cs="Times New Roman"/>
          <w:sz w:val="32"/>
        </w:rPr>
        <w:t>2025</w:t>
      </w:r>
      <w:r>
        <w:rPr>
          <w:rFonts w:hint="eastAsia" w:ascii="仿宋" w:hAnsi="仿宋" w:eastAsia="仿宋"/>
          <w:sz w:val="32"/>
        </w:rPr>
        <w:t>年，养老服务制度更加完备，养老服务体系更加健全，养老产品更为丰富，养老人才队伍更加专业，养老事业支撑要素更为坚实，养老社会环境更为易居，在老有所养、老有所依、老有所乐、老有所安上不断取得新进展，让老年人共享发展成果、安度幸福晚年。</w:t>
      </w:r>
    </w:p>
    <w:p>
      <w:pPr>
        <w:ind w:firstLine="643" w:firstLineChars="200"/>
        <w:jc w:val="left"/>
        <w:rPr>
          <w:rFonts w:ascii="仿宋" w:hAnsi="仿宋" w:eastAsia="仿宋"/>
          <w:sz w:val="32"/>
        </w:rPr>
      </w:pPr>
      <w:r>
        <w:rPr>
          <w:rFonts w:hint="eastAsia" w:ascii="仿宋" w:hAnsi="仿宋" w:eastAsia="仿宋"/>
          <w:b/>
          <w:bCs/>
          <w:sz w:val="32"/>
        </w:rPr>
        <w:t>养老服务制度更加完备。</w:t>
      </w:r>
      <w:r>
        <w:rPr>
          <w:rFonts w:hint="eastAsia" w:ascii="仿宋" w:hAnsi="仿宋" w:eastAsia="仿宋"/>
          <w:sz w:val="32"/>
        </w:rPr>
        <w:t>养老事业发展的制度体系更为健全，政策措施更加成龙配套。制度与政策的前瞻性更为突出，衔接性更为顺畅。养老服务项目清单、服务指南、服务标准等</w:t>
      </w:r>
      <w:r>
        <w:rPr>
          <w:rFonts w:ascii="仿宋" w:hAnsi="仿宋" w:eastAsia="仿宋"/>
          <w:sz w:val="32"/>
        </w:rPr>
        <w:t>信息公开更为全面透明</w:t>
      </w:r>
      <w:r>
        <w:rPr>
          <w:rFonts w:hint="eastAsia" w:ascii="仿宋" w:hAnsi="仿宋" w:eastAsia="仿宋"/>
          <w:sz w:val="32"/>
        </w:rPr>
        <w:t>，养老服务领域扶持政策、优惠措施、投资指南等信息公布更加及时到位。本区养老服务通用基础、服务提供、支撑保障标准体系逐步完善。</w:t>
      </w:r>
    </w:p>
    <w:p>
      <w:pPr>
        <w:ind w:firstLine="643" w:firstLineChars="200"/>
        <w:jc w:val="left"/>
      </w:pPr>
      <w:r>
        <w:rPr>
          <w:rFonts w:hint="eastAsia" w:ascii="仿宋" w:hAnsi="仿宋" w:eastAsia="仿宋"/>
          <w:b/>
          <w:bCs/>
          <w:sz w:val="32"/>
        </w:rPr>
        <w:t>养老服务体系更加完善。</w:t>
      </w:r>
      <w:r>
        <w:rPr>
          <w:rFonts w:hint="eastAsia" w:ascii="仿宋" w:hAnsi="仿宋" w:eastAsia="仿宋"/>
          <w:sz w:val="32"/>
        </w:rPr>
        <w:t>居家社区机构相协调的养老服务设施网络布局更合理，覆盖更广泛，功能更完备。“机构建中心带站点进家庭”运营模式更成熟，社区养老服务站服务更优质，居家养老服务供给更高效，基本养老服务体系更健全。公办养老机构改革不断深化，街镇敬老院完成升级改造，社会办养老机构品牌化、连锁化、规模化程度显著提升，农村养老服务质量不断提高。医养服务深度融合，医疗资源和养老资源互联互通、老年人健康档案共建共享持续推进。养老服务内容不断拓宽，养老服务质量不断升级，养老服务供给链条不断延伸，养老服务业态不断丰富。</w:t>
      </w:r>
    </w:p>
    <w:p>
      <w:pPr>
        <w:ind w:firstLine="643" w:firstLineChars="200"/>
        <w:jc w:val="left"/>
        <w:rPr>
          <w:rFonts w:ascii="仿宋" w:hAnsi="仿宋" w:eastAsia="仿宋"/>
          <w:sz w:val="32"/>
        </w:rPr>
      </w:pPr>
      <w:r>
        <w:rPr>
          <w:rFonts w:hint="eastAsia" w:ascii="仿宋" w:hAnsi="仿宋" w:eastAsia="仿宋"/>
          <w:b/>
          <w:bCs/>
          <w:sz w:val="32"/>
        </w:rPr>
        <w:t>养老服务人才更加专业。</w:t>
      </w:r>
      <w:r>
        <w:rPr>
          <w:rFonts w:hint="eastAsia" w:ascii="仿宋" w:hAnsi="仿宋" w:eastAsia="仿宋"/>
          <w:sz w:val="32"/>
        </w:rPr>
        <w:t>养老服务人才队伍来源拓宽，规模扩大，年龄结构更趋合理，专业化、职业化程度不断提升。养老护理培训基地建设逐步推进，养老服务领域产教融合持续深入，常态化养老人才教育培训内容的针对性、培训方式的科学性、培训结果的实效性更为突出。数量充足、结构优良、专业性强的养老服务人才队伍持续壮大。养老机构负责人管理能力提升、养老服务领域高层人才培养切实见效，养老服务人员管理、评价与激励、保障机制不断完善。</w:t>
      </w:r>
    </w:p>
    <w:p>
      <w:pPr>
        <w:ind w:firstLine="643" w:firstLineChars="200"/>
        <w:jc w:val="left"/>
        <w:rPr>
          <w:rFonts w:ascii="仿宋" w:hAnsi="仿宋" w:eastAsia="仿宋"/>
          <w:b/>
          <w:bCs/>
          <w:sz w:val="32"/>
        </w:rPr>
      </w:pPr>
      <w:r>
        <w:rPr>
          <w:rFonts w:hint="eastAsia" w:ascii="仿宋" w:hAnsi="仿宋" w:eastAsia="仿宋"/>
          <w:b/>
          <w:bCs/>
          <w:sz w:val="32"/>
        </w:rPr>
        <w:t>养老服务产业更加繁荣。</w:t>
      </w:r>
      <w:r>
        <w:rPr>
          <w:rFonts w:hint="eastAsia" w:ascii="仿宋" w:hAnsi="仿宋" w:eastAsia="仿宋"/>
          <w:sz w:val="32"/>
        </w:rPr>
        <w:t>营商环境持续优化，高品质连锁化养老品牌陆续引进落地。“互联网+养老”服务不断深化，智慧养老服务平台建设持续推进，养老服务智能化、信息化程度显著提升。特色养老产业发展成势显效，医疗资源、自然生态资源和文化资源得到活化。康复辅具技术产品的推广应用扎实推进。</w:t>
      </w:r>
    </w:p>
    <w:p>
      <w:pPr>
        <w:ind w:firstLine="643" w:firstLineChars="200"/>
        <w:jc w:val="left"/>
        <w:rPr>
          <w:rFonts w:ascii="仿宋" w:hAnsi="仿宋" w:eastAsia="仿宋"/>
          <w:sz w:val="32"/>
        </w:rPr>
      </w:pPr>
      <w:r>
        <w:rPr>
          <w:rFonts w:hint="eastAsia" w:ascii="仿宋" w:hAnsi="仿宋" w:eastAsia="仿宋"/>
          <w:b/>
          <w:bCs/>
          <w:sz w:val="32"/>
        </w:rPr>
        <w:t>养老社会环境更加宜人。</w:t>
      </w:r>
      <w:r>
        <w:rPr>
          <w:rFonts w:hint="eastAsia" w:ascii="仿宋" w:hAnsi="仿宋" w:eastAsia="仿宋"/>
          <w:sz w:val="32"/>
        </w:rPr>
        <w:t>基础设施适老化、信息网络宜老化改造持续深入，居家适老化改造有序推进。老年友好型社会建设全面推进，敬老爱老助老的社会氛围日益浓厚，老年人社会参与程度不断提高。“区—镇（街道）—村（社区）”三级社区老年教育学习网络更加完善。养老服务领域安全生产与突发事件应急管理能力显著提升，老年人产品和服务消费领域侵权行为专项整治行动落地见效。</w:t>
      </w:r>
    </w:p>
    <w:p>
      <w:pPr>
        <w:ind w:firstLine="643" w:firstLineChars="200"/>
        <w:jc w:val="left"/>
        <w:rPr>
          <w:rFonts w:ascii="仿宋" w:hAnsi="仿宋" w:eastAsia="仿宋"/>
          <w:sz w:val="32"/>
        </w:rPr>
      </w:pPr>
      <w:r>
        <w:rPr>
          <w:rFonts w:hint="eastAsia" w:ascii="仿宋" w:hAnsi="仿宋" w:eastAsia="仿宋"/>
          <w:b/>
          <w:bCs/>
          <w:sz w:val="32"/>
        </w:rPr>
        <w:t>养老事业发展更加规范。</w:t>
      </w:r>
      <w:r>
        <w:rPr>
          <w:rFonts w:hint="eastAsia" w:ascii="仿宋" w:hAnsi="仿宋" w:eastAsia="仿宋"/>
          <w:sz w:val="32"/>
        </w:rPr>
        <w:t>老年人能力需求评估更为综合，老服务评估制度更为完善。养老服务质量评估更注重结果导向，评估标准更加科学统一、评估流程更为透明规范、评估结果运用更加充分。养老机构服务质量提升长效机制更为健全，智慧化手段在提升养老服务质量、完善养老行业监管等方面的作用更为突出。养老机构登记备案、信息公开、日常运营、进入退出等全流程监管机制更为健全，政府主导、机构主责、部门协同、行业自律、社会监督的养老服务综合监管制度更加完善。</w:t>
      </w:r>
    </w:p>
    <w:p>
      <w:pPr>
        <w:jc w:val="center"/>
        <w:rPr>
          <w:rFonts w:ascii="黑体" w:hAnsi="黑体" w:eastAsia="黑体"/>
          <w:sz w:val="32"/>
        </w:rPr>
      </w:pPr>
      <w:r>
        <w:rPr>
          <w:rFonts w:hint="eastAsia" w:ascii="黑体" w:hAnsi="黑体" w:eastAsia="黑体"/>
          <w:sz w:val="32"/>
        </w:rPr>
        <w:t>专栏</w:t>
      </w:r>
      <w:r>
        <w:rPr>
          <w:rFonts w:ascii="Times New Roman" w:hAnsi="Times New Roman" w:eastAsia="黑体" w:cs="Times New Roman"/>
          <w:sz w:val="32"/>
        </w:rPr>
        <w:t>1</w:t>
      </w:r>
      <w:r>
        <w:rPr>
          <w:rFonts w:hint="eastAsia" w:ascii="黑体" w:hAnsi="黑体" w:eastAsia="黑体"/>
          <w:sz w:val="32"/>
        </w:rPr>
        <w:t xml:space="preserve">  重庆市沙坪坝区养老服务体系建设主要指标</w:t>
      </w:r>
    </w:p>
    <w:tbl>
      <w:tblPr>
        <w:tblStyle w:val="13"/>
        <w:tblW w:w="5000" w:type="pct"/>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autofit"/>
        <w:tblCellMar>
          <w:top w:w="0" w:type="dxa"/>
          <w:left w:w="108" w:type="dxa"/>
          <w:bottom w:w="0" w:type="dxa"/>
          <w:right w:w="108" w:type="dxa"/>
        </w:tblCellMar>
      </w:tblPr>
      <w:tblGrid>
        <w:gridCol w:w="786"/>
        <w:gridCol w:w="5185"/>
        <w:gridCol w:w="1704"/>
        <w:gridCol w:w="1283"/>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98" w:hRule="atLeast"/>
          <w:tblHeader/>
          <w:jc w:val="center"/>
        </w:trPr>
        <w:tc>
          <w:tcPr>
            <w:tcW w:w="439" w:type="pct"/>
            <w:tcMar>
              <w:left w:w="57" w:type="dxa"/>
              <w:right w:w="57" w:type="dxa"/>
            </w:tcMar>
            <w:vAlign w:val="center"/>
          </w:tcPr>
          <w:p>
            <w:pPr>
              <w:snapToGrid w:val="0"/>
              <w:jc w:val="center"/>
              <w:rPr>
                <w:rFonts w:ascii="仿宋" w:hAnsi="仿宋" w:eastAsia="仿宋"/>
                <w:b/>
                <w:sz w:val="24"/>
                <w:szCs w:val="24"/>
              </w:rPr>
            </w:pPr>
            <w:r>
              <w:rPr>
                <w:rFonts w:hint="eastAsia" w:ascii="仿宋" w:hAnsi="仿宋" w:eastAsia="仿宋"/>
                <w:b/>
                <w:sz w:val="24"/>
                <w:szCs w:val="24"/>
              </w:rPr>
              <w:t>序号</w:t>
            </w:r>
          </w:p>
        </w:tc>
        <w:tc>
          <w:tcPr>
            <w:tcW w:w="2894" w:type="pct"/>
            <w:tcMar>
              <w:left w:w="57" w:type="dxa"/>
              <w:right w:w="57" w:type="dxa"/>
            </w:tcMar>
            <w:vAlign w:val="center"/>
          </w:tcPr>
          <w:p>
            <w:pPr>
              <w:snapToGrid w:val="0"/>
              <w:jc w:val="center"/>
              <w:rPr>
                <w:rFonts w:ascii="仿宋" w:hAnsi="仿宋" w:eastAsia="仿宋"/>
                <w:b/>
                <w:sz w:val="24"/>
                <w:szCs w:val="24"/>
              </w:rPr>
            </w:pPr>
            <w:r>
              <w:rPr>
                <w:rFonts w:hint="eastAsia" w:ascii="仿宋" w:hAnsi="仿宋" w:eastAsia="仿宋"/>
                <w:b/>
                <w:sz w:val="24"/>
                <w:szCs w:val="24"/>
              </w:rPr>
              <w:t>指标名称</w:t>
            </w:r>
          </w:p>
        </w:tc>
        <w:tc>
          <w:tcPr>
            <w:tcW w:w="951" w:type="pct"/>
            <w:tcMar>
              <w:left w:w="57" w:type="dxa"/>
              <w:right w:w="57" w:type="dxa"/>
            </w:tcMar>
            <w:vAlign w:val="center"/>
          </w:tcPr>
          <w:p>
            <w:pPr>
              <w:snapToGrid w:val="0"/>
              <w:jc w:val="center"/>
              <w:rPr>
                <w:rFonts w:ascii="仿宋" w:hAnsi="仿宋" w:eastAsia="仿宋"/>
                <w:b/>
                <w:sz w:val="24"/>
                <w:szCs w:val="24"/>
              </w:rPr>
            </w:pPr>
            <w:r>
              <w:rPr>
                <w:rFonts w:ascii="Times New Roman" w:hAnsi="Times New Roman" w:eastAsia="仿宋" w:cs="Times New Roman"/>
                <w:b/>
                <w:sz w:val="24"/>
                <w:szCs w:val="24"/>
              </w:rPr>
              <w:t>2025</w:t>
            </w:r>
            <w:r>
              <w:rPr>
                <w:rFonts w:hint="eastAsia" w:ascii="仿宋" w:hAnsi="仿宋" w:eastAsia="仿宋"/>
                <w:b/>
                <w:sz w:val="24"/>
                <w:szCs w:val="24"/>
              </w:rPr>
              <w:t>年目标</w:t>
            </w:r>
          </w:p>
        </w:tc>
        <w:tc>
          <w:tcPr>
            <w:tcW w:w="716" w:type="pct"/>
            <w:tcMar>
              <w:left w:w="57" w:type="dxa"/>
              <w:right w:w="57" w:type="dxa"/>
            </w:tcMar>
            <w:vAlign w:val="center"/>
          </w:tcPr>
          <w:p>
            <w:pPr>
              <w:snapToGrid w:val="0"/>
              <w:jc w:val="center"/>
              <w:rPr>
                <w:rFonts w:ascii="仿宋" w:hAnsi="仿宋" w:eastAsia="仿宋"/>
                <w:b/>
                <w:sz w:val="24"/>
                <w:szCs w:val="24"/>
              </w:rPr>
            </w:pPr>
            <w:r>
              <w:rPr>
                <w:rFonts w:hint="eastAsia" w:ascii="仿宋" w:hAnsi="仿宋" w:eastAsia="仿宋"/>
                <w:b/>
                <w:sz w:val="24"/>
                <w:szCs w:val="24"/>
              </w:rPr>
              <w:t>指标属性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39" w:hRule="atLeast"/>
          <w:jc w:val="center"/>
        </w:trPr>
        <w:tc>
          <w:tcPr>
            <w:tcW w:w="439" w:type="pct"/>
            <w:tcMar>
              <w:left w:w="57" w:type="dxa"/>
              <w:right w:w="57" w:type="dxa"/>
            </w:tcMar>
            <w:vAlign w:val="center"/>
          </w:tcPr>
          <w:p>
            <w:pPr>
              <w:snapToGrid w:val="0"/>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2894" w:type="pct"/>
            <w:tcMar>
              <w:left w:w="57" w:type="dxa"/>
              <w:right w:w="57" w:type="dxa"/>
            </w:tcMar>
            <w:vAlign w:val="center"/>
          </w:tcPr>
          <w:p>
            <w:pPr>
              <w:snapToGrid w:val="0"/>
              <w:spacing w:line="400" w:lineRule="exact"/>
              <w:jc w:val="left"/>
              <w:rPr>
                <w:rFonts w:ascii="仿宋" w:hAnsi="仿宋" w:eastAsia="仿宋"/>
                <w:sz w:val="24"/>
                <w:szCs w:val="24"/>
              </w:rPr>
            </w:pPr>
            <w:r>
              <w:rPr>
                <w:rFonts w:hint="eastAsia" w:ascii="仿宋" w:hAnsi="仿宋" w:eastAsia="仿宋"/>
                <w:sz w:val="24"/>
                <w:szCs w:val="24"/>
              </w:rPr>
              <w:t>养老服务床位总量</w:t>
            </w:r>
          </w:p>
        </w:tc>
        <w:tc>
          <w:tcPr>
            <w:tcW w:w="951" w:type="pct"/>
            <w:tcMar>
              <w:left w:w="57" w:type="dxa"/>
              <w:right w:w="57" w:type="dxa"/>
            </w:tcMar>
            <w:vAlign w:val="center"/>
          </w:tcPr>
          <w:p>
            <w:pPr>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10000</w:t>
            </w:r>
            <w:r>
              <w:rPr>
                <w:rFonts w:hint="eastAsia" w:ascii="Times New Roman" w:hAnsi="Times New Roman" w:eastAsia="仿宋" w:cs="Times New Roman"/>
                <w:sz w:val="24"/>
                <w:szCs w:val="24"/>
              </w:rPr>
              <w:t>张</w:t>
            </w:r>
          </w:p>
        </w:tc>
        <w:tc>
          <w:tcPr>
            <w:tcW w:w="716" w:type="pct"/>
            <w:tcMar>
              <w:left w:w="57" w:type="dxa"/>
              <w:right w:w="57" w:type="dxa"/>
            </w:tcMar>
            <w:vAlign w:val="center"/>
          </w:tcPr>
          <w:p>
            <w:pPr>
              <w:snapToGrid w:val="0"/>
              <w:spacing w:line="400" w:lineRule="exact"/>
              <w:jc w:val="center"/>
              <w:rPr>
                <w:rFonts w:ascii="仿宋" w:hAnsi="仿宋" w:eastAsia="仿宋"/>
                <w:sz w:val="24"/>
                <w:szCs w:val="24"/>
              </w:rPr>
            </w:pPr>
            <w:r>
              <w:rPr>
                <w:rFonts w:hint="eastAsia" w:ascii="仿宋" w:hAnsi="仿宋" w:eastAsia="仿宋"/>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39" w:hRule="atLeast"/>
          <w:jc w:val="center"/>
        </w:trPr>
        <w:tc>
          <w:tcPr>
            <w:tcW w:w="439" w:type="pct"/>
            <w:tcMar>
              <w:left w:w="57" w:type="dxa"/>
              <w:right w:w="57" w:type="dxa"/>
            </w:tcMar>
            <w:vAlign w:val="center"/>
          </w:tcPr>
          <w:p>
            <w:pPr>
              <w:snapToGrid w:val="0"/>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2894" w:type="pct"/>
            <w:tcMar>
              <w:left w:w="57" w:type="dxa"/>
              <w:right w:w="57" w:type="dxa"/>
            </w:tcMar>
            <w:vAlign w:val="center"/>
          </w:tcPr>
          <w:p>
            <w:pPr>
              <w:snapToGrid w:val="0"/>
              <w:spacing w:line="400" w:lineRule="exact"/>
              <w:jc w:val="left"/>
              <w:rPr>
                <w:rFonts w:ascii="仿宋" w:hAnsi="仿宋" w:eastAsia="仿宋"/>
                <w:sz w:val="24"/>
                <w:szCs w:val="24"/>
              </w:rPr>
            </w:pPr>
            <w:r>
              <w:rPr>
                <w:rFonts w:hint="eastAsia" w:ascii="仿宋" w:hAnsi="仿宋" w:eastAsia="仿宋"/>
                <w:sz w:val="24"/>
                <w:szCs w:val="24"/>
              </w:rPr>
              <w:t>养老机构护理型养老床位占比</w:t>
            </w:r>
          </w:p>
        </w:tc>
        <w:tc>
          <w:tcPr>
            <w:tcW w:w="951" w:type="pct"/>
            <w:tcMar>
              <w:left w:w="57" w:type="dxa"/>
              <w:right w:w="57" w:type="dxa"/>
            </w:tcMar>
            <w:vAlign w:val="center"/>
          </w:tcPr>
          <w:p>
            <w:pPr>
              <w:widowControl/>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w:t>
            </w:r>
            <w:r>
              <w:rPr>
                <w:rFonts w:ascii="Times New Roman" w:hAnsi="Times New Roman" w:eastAsia="仿宋" w:cs="Times New Roman"/>
                <w:sz w:val="24"/>
                <w:szCs w:val="24"/>
              </w:rPr>
              <w:t>60%</w:t>
            </w:r>
          </w:p>
        </w:tc>
        <w:tc>
          <w:tcPr>
            <w:tcW w:w="716" w:type="pct"/>
            <w:tcMar>
              <w:left w:w="57" w:type="dxa"/>
              <w:right w:w="57" w:type="dxa"/>
            </w:tcMar>
            <w:vAlign w:val="center"/>
          </w:tcPr>
          <w:p>
            <w:pPr>
              <w:snapToGrid w:val="0"/>
              <w:spacing w:line="400" w:lineRule="exact"/>
              <w:jc w:val="center"/>
              <w:rPr>
                <w:rFonts w:ascii="仿宋" w:hAnsi="仿宋" w:eastAsia="仿宋"/>
                <w:sz w:val="24"/>
                <w:szCs w:val="24"/>
              </w:rPr>
            </w:pPr>
            <w:r>
              <w:rPr>
                <w:rFonts w:hint="eastAsia" w:ascii="仿宋" w:hAnsi="仿宋" w:eastAsia="仿宋"/>
                <w:sz w:val="24"/>
                <w:szCs w:val="24"/>
              </w:rPr>
              <w:t>约束性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39" w:hRule="atLeast"/>
          <w:jc w:val="center"/>
        </w:trPr>
        <w:tc>
          <w:tcPr>
            <w:tcW w:w="439" w:type="pct"/>
            <w:tcMar>
              <w:left w:w="57" w:type="dxa"/>
              <w:right w:w="57" w:type="dxa"/>
            </w:tcMar>
            <w:vAlign w:val="center"/>
          </w:tcPr>
          <w:p>
            <w:pPr>
              <w:snapToGrid w:val="0"/>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2894" w:type="pct"/>
            <w:tcMar>
              <w:left w:w="57" w:type="dxa"/>
              <w:right w:w="57" w:type="dxa"/>
            </w:tcMar>
            <w:vAlign w:val="center"/>
          </w:tcPr>
          <w:p>
            <w:pPr>
              <w:snapToGrid w:val="0"/>
              <w:spacing w:line="400" w:lineRule="exact"/>
              <w:jc w:val="left"/>
              <w:rPr>
                <w:rFonts w:ascii="仿宋" w:hAnsi="仿宋" w:eastAsia="仿宋"/>
                <w:sz w:val="24"/>
                <w:szCs w:val="24"/>
              </w:rPr>
            </w:pPr>
            <w:r>
              <w:rPr>
                <w:rFonts w:hint="eastAsia" w:ascii="仿宋" w:hAnsi="仿宋" w:eastAsia="仿宋"/>
                <w:sz w:val="24"/>
                <w:szCs w:val="24"/>
              </w:rPr>
              <w:t>街道（社区）养老服务覆盖率</w:t>
            </w:r>
          </w:p>
        </w:tc>
        <w:tc>
          <w:tcPr>
            <w:tcW w:w="951" w:type="pct"/>
            <w:tcMar>
              <w:left w:w="57" w:type="dxa"/>
              <w:right w:w="57" w:type="dxa"/>
            </w:tcMar>
            <w:vAlign w:val="center"/>
          </w:tcPr>
          <w:p>
            <w:pPr>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100</w:t>
            </w:r>
            <w:r>
              <w:rPr>
                <w:rFonts w:hint="eastAsia" w:ascii="Times New Roman" w:hAnsi="Times New Roman" w:eastAsia="仿宋" w:cs="Times New Roman"/>
                <w:sz w:val="24"/>
                <w:szCs w:val="24"/>
              </w:rPr>
              <w:t>%</w:t>
            </w:r>
          </w:p>
        </w:tc>
        <w:tc>
          <w:tcPr>
            <w:tcW w:w="716" w:type="pct"/>
            <w:tcMar>
              <w:left w:w="57" w:type="dxa"/>
              <w:right w:w="57" w:type="dxa"/>
            </w:tcMar>
            <w:vAlign w:val="center"/>
          </w:tcPr>
          <w:p>
            <w:pPr>
              <w:snapToGrid w:val="0"/>
              <w:spacing w:line="400" w:lineRule="exact"/>
              <w:jc w:val="center"/>
              <w:rPr>
                <w:rFonts w:ascii="仿宋" w:hAnsi="仿宋" w:eastAsia="仿宋"/>
                <w:sz w:val="24"/>
                <w:szCs w:val="24"/>
              </w:rPr>
            </w:pPr>
            <w:r>
              <w:rPr>
                <w:rFonts w:hint="eastAsia" w:ascii="仿宋" w:hAnsi="仿宋" w:eastAsia="仿宋"/>
                <w:sz w:val="24"/>
                <w:szCs w:val="24"/>
              </w:rPr>
              <w:t>约束性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39" w:hRule="atLeast"/>
          <w:jc w:val="center"/>
        </w:trPr>
        <w:tc>
          <w:tcPr>
            <w:tcW w:w="439" w:type="pct"/>
            <w:tcMar>
              <w:left w:w="57" w:type="dxa"/>
              <w:right w:w="57" w:type="dxa"/>
            </w:tcMar>
            <w:vAlign w:val="center"/>
          </w:tcPr>
          <w:p>
            <w:pPr>
              <w:snapToGrid w:val="0"/>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2894" w:type="pct"/>
            <w:tcMar>
              <w:left w:w="57" w:type="dxa"/>
              <w:right w:w="57" w:type="dxa"/>
            </w:tcMar>
            <w:vAlign w:val="center"/>
          </w:tcPr>
          <w:p>
            <w:pPr>
              <w:snapToGrid w:val="0"/>
              <w:spacing w:line="400" w:lineRule="exact"/>
              <w:jc w:val="left"/>
              <w:rPr>
                <w:rFonts w:ascii="仿宋" w:hAnsi="仿宋" w:eastAsia="仿宋"/>
                <w:sz w:val="24"/>
                <w:szCs w:val="24"/>
              </w:rPr>
            </w:pPr>
            <w:r>
              <w:rPr>
                <w:rFonts w:hint="eastAsia" w:ascii="仿宋" w:hAnsi="仿宋" w:eastAsia="仿宋"/>
                <w:sz w:val="24"/>
                <w:szCs w:val="24"/>
              </w:rPr>
              <w:t>乡镇（村）养老服务覆盖率</w:t>
            </w:r>
          </w:p>
        </w:tc>
        <w:tc>
          <w:tcPr>
            <w:tcW w:w="951" w:type="pct"/>
            <w:tcMar>
              <w:left w:w="57" w:type="dxa"/>
              <w:right w:w="57" w:type="dxa"/>
            </w:tcMar>
            <w:vAlign w:val="center"/>
          </w:tcPr>
          <w:p>
            <w:pPr>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100</w:t>
            </w:r>
            <w:r>
              <w:rPr>
                <w:rFonts w:hint="eastAsia" w:ascii="Times New Roman" w:hAnsi="Times New Roman" w:eastAsia="仿宋" w:cs="Times New Roman"/>
                <w:sz w:val="24"/>
                <w:szCs w:val="24"/>
              </w:rPr>
              <w:t>%</w:t>
            </w:r>
          </w:p>
        </w:tc>
        <w:tc>
          <w:tcPr>
            <w:tcW w:w="716" w:type="pct"/>
            <w:tcMar>
              <w:left w:w="57" w:type="dxa"/>
              <w:right w:w="57" w:type="dxa"/>
            </w:tcMar>
            <w:vAlign w:val="center"/>
          </w:tcPr>
          <w:p>
            <w:pPr>
              <w:snapToGrid w:val="0"/>
              <w:spacing w:line="400" w:lineRule="exact"/>
              <w:jc w:val="center"/>
              <w:rPr>
                <w:rFonts w:ascii="仿宋" w:hAnsi="仿宋" w:eastAsia="仿宋"/>
                <w:sz w:val="24"/>
                <w:szCs w:val="24"/>
              </w:rPr>
            </w:pPr>
            <w:r>
              <w:rPr>
                <w:rFonts w:hint="eastAsia" w:ascii="仿宋" w:hAnsi="仿宋" w:eastAsia="仿宋"/>
                <w:sz w:val="24"/>
                <w:szCs w:val="24"/>
              </w:rPr>
              <w:t>约束性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39" w:hRule="atLeast"/>
          <w:jc w:val="center"/>
        </w:trPr>
        <w:tc>
          <w:tcPr>
            <w:tcW w:w="439" w:type="pct"/>
            <w:tcMar>
              <w:left w:w="57" w:type="dxa"/>
              <w:right w:w="57" w:type="dxa"/>
            </w:tcMar>
            <w:vAlign w:val="center"/>
          </w:tcPr>
          <w:p>
            <w:pPr>
              <w:snapToGrid w:val="0"/>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2894" w:type="pct"/>
            <w:tcMar>
              <w:left w:w="57" w:type="dxa"/>
              <w:right w:w="57" w:type="dxa"/>
            </w:tcMar>
            <w:vAlign w:val="center"/>
          </w:tcPr>
          <w:p>
            <w:pPr>
              <w:snapToGrid w:val="0"/>
              <w:spacing w:line="400" w:lineRule="exact"/>
              <w:jc w:val="left"/>
              <w:rPr>
                <w:rFonts w:ascii="仿宋" w:hAnsi="仿宋" w:eastAsia="仿宋"/>
                <w:sz w:val="24"/>
                <w:szCs w:val="24"/>
              </w:rPr>
            </w:pPr>
            <w:r>
              <w:rPr>
                <w:rFonts w:hint="eastAsia" w:ascii="仿宋" w:hAnsi="仿宋" w:eastAsia="仿宋"/>
                <w:sz w:val="24"/>
                <w:szCs w:val="24"/>
              </w:rPr>
              <w:t>养老机构服务基本质量达标率</w:t>
            </w:r>
          </w:p>
        </w:tc>
        <w:tc>
          <w:tcPr>
            <w:tcW w:w="951" w:type="pct"/>
            <w:tcMar>
              <w:left w:w="57" w:type="dxa"/>
              <w:right w:w="57" w:type="dxa"/>
            </w:tcMar>
            <w:vAlign w:val="center"/>
          </w:tcPr>
          <w:p>
            <w:pPr>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100</w:t>
            </w:r>
            <w:r>
              <w:rPr>
                <w:rFonts w:hint="eastAsia" w:ascii="Times New Roman" w:hAnsi="Times New Roman" w:eastAsia="仿宋" w:cs="Times New Roman"/>
                <w:sz w:val="24"/>
                <w:szCs w:val="24"/>
              </w:rPr>
              <w:t>%</w:t>
            </w:r>
          </w:p>
        </w:tc>
        <w:tc>
          <w:tcPr>
            <w:tcW w:w="716" w:type="pct"/>
            <w:tcMar>
              <w:left w:w="57" w:type="dxa"/>
              <w:right w:w="57" w:type="dxa"/>
            </w:tcMar>
            <w:vAlign w:val="center"/>
          </w:tcPr>
          <w:p>
            <w:pPr>
              <w:snapToGrid w:val="0"/>
              <w:spacing w:line="400" w:lineRule="exact"/>
              <w:jc w:val="center"/>
              <w:rPr>
                <w:rFonts w:ascii="仿宋" w:hAnsi="仿宋" w:eastAsia="仿宋"/>
                <w:sz w:val="24"/>
                <w:szCs w:val="24"/>
              </w:rPr>
            </w:pPr>
            <w:r>
              <w:rPr>
                <w:rFonts w:hint="eastAsia" w:ascii="仿宋" w:hAnsi="仿宋" w:eastAsia="仿宋"/>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39" w:hRule="atLeast"/>
          <w:jc w:val="center"/>
        </w:trPr>
        <w:tc>
          <w:tcPr>
            <w:tcW w:w="439" w:type="pct"/>
            <w:tcMar>
              <w:left w:w="57" w:type="dxa"/>
              <w:right w:w="57" w:type="dxa"/>
            </w:tcMar>
            <w:vAlign w:val="center"/>
          </w:tcPr>
          <w:p>
            <w:pPr>
              <w:snapToGrid w:val="0"/>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2894" w:type="pct"/>
            <w:tcMar>
              <w:left w:w="57" w:type="dxa"/>
              <w:right w:w="57" w:type="dxa"/>
            </w:tcMar>
            <w:vAlign w:val="center"/>
          </w:tcPr>
          <w:p>
            <w:pPr>
              <w:snapToGrid w:val="0"/>
              <w:spacing w:line="400" w:lineRule="exact"/>
              <w:jc w:val="left"/>
              <w:rPr>
                <w:rFonts w:ascii="仿宋" w:hAnsi="仿宋" w:eastAsia="仿宋"/>
                <w:sz w:val="24"/>
                <w:szCs w:val="24"/>
              </w:rPr>
            </w:pPr>
            <w:r>
              <w:rPr>
                <w:rFonts w:hint="eastAsia" w:ascii="仿宋" w:hAnsi="仿宋" w:eastAsia="仿宋"/>
                <w:sz w:val="24"/>
                <w:szCs w:val="24"/>
              </w:rPr>
              <w:t>新建城区、新建居住区配套建设养老服务设施达标率</w:t>
            </w:r>
          </w:p>
        </w:tc>
        <w:tc>
          <w:tcPr>
            <w:tcW w:w="951" w:type="pct"/>
            <w:tcMar>
              <w:left w:w="57" w:type="dxa"/>
              <w:right w:w="57" w:type="dxa"/>
            </w:tcMar>
            <w:vAlign w:val="center"/>
          </w:tcPr>
          <w:p>
            <w:pPr>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100%</w:t>
            </w:r>
          </w:p>
        </w:tc>
        <w:tc>
          <w:tcPr>
            <w:tcW w:w="716" w:type="pct"/>
            <w:tcMar>
              <w:left w:w="57" w:type="dxa"/>
              <w:right w:w="57" w:type="dxa"/>
            </w:tcMar>
            <w:vAlign w:val="center"/>
          </w:tcPr>
          <w:p>
            <w:pPr>
              <w:snapToGrid w:val="0"/>
              <w:spacing w:line="400" w:lineRule="exact"/>
              <w:jc w:val="center"/>
              <w:rPr>
                <w:rFonts w:ascii="仿宋" w:hAnsi="仿宋" w:eastAsia="仿宋"/>
                <w:sz w:val="24"/>
                <w:szCs w:val="24"/>
              </w:rPr>
            </w:pPr>
            <w:r>
              <w:rPr>
                <w:rFonts w:hint="eastAsia" w:ascii="仿宋" w:hAnsi="仿宋" w:eastAsia="仿宋"/>
                <w:sz w:val="24"/>
                <w:szCs w:val="24"/>
              </w:rPr>
              <w:t>约束性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39" w:hRule="atLeast"/>
          <w:jc w:val="center"/>
        </w:trPr>
        <w:tc>
          <w:tcPr>
            <w:tcW w:w="439" w:type="pct"/>
            <w:tcMar>
              <w:left w:w="57" w:type="dxa"/>
              <w:right w:w="57" w:type="dxa"/>
            </w:tcMar>
            <w:vAlign w:val="center"/>
          </w:tcPr>
          <w:p>
            <w:pPr>
              <w:snapToGrid w:val="0"/>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7</w:t>
            </w:r>
          </w:p>
        </w:tc>
        <w:tc>
          <w:tcPr>
            <w:tcW w:w="2894" w:type="pct"/>
            <w:tcMar>
              <w:left w:w="57" w:type="dxa"/>
              <w:right w:w="57" w:type="dxa"/>
            </w:tcMar>
            <w:vAlign w:val="center"/>
          </w:tcPr>
          <w:p>
            <w:pPr>
              <w:snapToGrid w:val="0"/>
              <w:spacing w:line="400" w:lineRule="exact"/>
              <w:jc w:val="left"/>
              <w:rPr>
                <w:rFonts w:ascii="仿宋" w:hAnsi="仿宋" w:eastAsia="仿宋"/>
                <w:sz w:val="24"/>
                <w:szCs w:val="24"/>
              </w:rPr>
            </w:pPr>
            <w:r>
              <w:rPr>
                <w:rFonts w:hint="eastAsia" w:ascii="仿宋" w:hAnsi="仿宋" w:eastAsia="仿宋"/>
                <w:sz w:val="24"/>
                <w:szCs w:val="24"/>
              </w:rPr>
              <w:t>居家养老服务覆盖率</w:t>
            </w:r>
          </w:p>
        </w:tc>
        <w:tc>
          <w:tcPr>
            <w:tcW w:w="951" w:type="pct"/>
            <w:tcMar>
              <w:left w:w="57" w:type="dxa"/>
              <w:right w:w="57" w:type="dxa"/>
            </w:tcMar>
            <w:vAlign w:val="center"/>
          </w:tcPr>
          <w:p>
            <w:pPr>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80%</w:t>
            </w:r>
          </w:p>
        </w:tc>
        <w:tc>
          <w:tcPr>
            <w:tcW w:w="716" w:type="pct"/>
            <w:tcMar>
              <w:left w:w="57" w:type="dxa"/>
              <w:right w:w="57" w:type="dxa"/>
            </w:tcMar>
            <w:vAlign w:val="center"/>
          </w:tcPr>
          <w:p>
            <w:pPr>
              <w:snapToGrid w:val="0"/>
              <w:spacing w:line="400" w:lineRule="exact"/>
              <w:jc w:val="center"/>
              <w:rPr>
                <w:rFonts w:ascii="仿宋" w:hAnsi="仿宋" w:eastAsia="仿宋"/>
                <w:sz w:val="24"/>
                <w:szCs w:val="24"/>
              </w:rPr>
            </w:pPr>
            <w:r>
              <w:rPr>
                <w:rFonts w:hint="eastAsia" w:ascii="仿宋" w:hAnsi="仿宋" w:eastAsia="仿宋"/>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39" w:hRule="atLeast"/>
          <w:jc w:val="center"/>
        </w:trPr>
        <w:tc>
          <w:tcPr>
            <w:tcW w:w="439" w:type="pct"/>
            <w:tcMar>
              <w:left w:w="57" w:type="dxa"/>
              <w:right w:w="57" w:type="dxa"/>
            </w:tcMar>
            <w:vAlign w:val="center"/>
          </w:tcPr>
          <w:p>
            <w:pPr>
              <w:snapToGrid w:val="0"/>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8</w:t>
            </w:r>
          </w:p>
        </w:tc>
        <w:tc>
          <w:tcPr>
            <w:tcW w:w="2894" w:type="pct"/>
            <w:tcMar>
              <w:left w:w="57" w:type="dxa"/>
              <w:right w:w="57" w:type="dxa"/>
            </w:tcMar>
            <w:vAlign w:val="center"/>
          </w:tcPr>
          <w:p>
            <w:pPr>
              <w:snapToGrid w:val="0"/>
              <w:spacing w:line="400" w:lineRule="exact"/>
              <w:jc w:val="left"/>
              <w:rPr>
                <w:rFonts w:ascii="仿宋" w:hAnsi="仿宋" w:eastAsia="仿宋"/>
                <w:sz w:val="24"/>
                <w:szCs w:val="24"/>
              </w:rPr>
            </w:pPr>
            <w:r>
              <w:rPr>
                <w:rFonts w:hint="eastAsia" w:ascii="仿宋" w:hAnsi="仿宋" w:eastAsia="仿宋"/>
                <w:sz w:val="24"/>
                <w:szCs w:val="24"/>
              </w:rPr>
              <w:t>居家老年人家庭医生签约服务覆盖率</w:t>
            </w:r>
          </w:p>
        </w:tc>
        <w:tc>
          <w:tcPr>
            <w:tcW w:w="951" w:type="pct"/>
            <w:tcMar>
              <w:left w:w="57" w:type="dxa"/>
              <w:right w:w="57" w:type="dxa"/>
            </w:tcMar>
            <w:vAlign w:val="center"/>
          </w:tcPr>
          <w:p>
            <w:pPr>
              <w:snapToGrid w:val="0"/>
              <w:spacing w:line="40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w:t>
            </w:r>
            <w:r>
              <w:rPr>
                <w:rFonts w:ascii="Times New Roman" w:hAnsi="Times New Roman" w:eastAsia="仿宋" w:cs="Times New Roman"/>
                <w:sz w:val="24"/>
                <w:szCs w:val="24"/>
              </w:rPr>
              <w:t>80%</w:t>
            </w:r>
          </w:p>
        </w:tc>
        <w:tc>
          <w:tcPr>
            <w:tcW w:w="716" w:type="pct"/>
            <w:tcMar>
              <w:left w:w="57" w:type="dxa"/>
              <w:right w:w="57" w:type="dxa"/>
            </w:tcMar>
            <w:vAlign w:val="center"/>
          </w:tcPr>
          <w:p>
            <w:pPr>
              <w:snapToGrid w:val="0"/>
              <w:spacing w:line="400" w:lineRule="exact"/>
              <w:jc w:val="center"/>
              <w:rPr>
                <w:rFonts w:ascii="仿宋" w:hAnsi="仿宋" w:eastAsia="仿宋"/>
                <w:sz w:val="24"/>
                <w:szCs w:val="24"/>
              </w:rPr>
            </w:pPr>
            <w:r>
              <w:rPr>
                <w:rFonts w:hint="eastAsia" w:ascii="仿宋" w:hAnsi="仿宋" w:eastAsia="仿宋"/>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39" w:hRule="atLeast"/>
          <w:jc w:val="center"/>
        </w:trPr>
        <w:tc>
          <w:tcPr>
            <w:tcW w:w="439" w:type="pct"/>
            <w:tcMar>
              <w:left w:w="57" w:type="dxa"/>
              <w:right w:w="57" w:type="dxa"/>
            </w:tcMar>
            <w:vAlign w:val="center"/>
          </w:tcPr>
          <w:p>
            <w:pPr>
              <w:snapToGrid w:val="0"/>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9</w:t>
            </w:r>
          </w:p>
        </w:tc>
        <w:tc>
          <w:tcPr>
            <w:tcW w:w="2894" w:type="pct"/>
            <w:tcMar>
              <w:left w:w="57" w:type="dxa"/>
              <w:right w:w="57" w:type="dxa"/>
            </w:tcMar>
            <w:vAlign w:val="center"/>
          </w:tcPr>
          <w:p>
            <w:pPr>
              <w:snapToGrid w:val="0"/>
              <w:spacing w:line="400" w:lineRule="exact"/>
              <w:jc w:val="left"/>
              <w:rPr>
                <w:rFonts w:ascii="仿宋" w:hAnsi="仿宋" w:eastAsia="仿宋"/>
                <w:sz w:val="24"/>
                <w:szCs w:val="24"/>
              </w:rPr>
            </w:pPr>
            <w:r>
              <w:rPr>
                <w:rFonts w:hint="eastAsia" w:ascii="仿宋" w:hAnsi="仿宋" w:eastAsia="仿宋"/>
                <w:sz w:val="24"/>
                <w:szCs w:val="24"/>
              </w:rPr>
              <w:t>二级以上综合医院设老年医学科比例</w:t>
            </w:r>
          </w:p>
        </w:tc>
        <w:tc>
          <w:tcPr>
            <w:tcW w:w="951" w:type="pct"/>
            <w:tcMar>
              <w:left w:w="57" w:type="dxa"/>
              <w:right w:w="57" w:type="dxa"/>
            </w:tcMar>
            <w:vAlign w:val="center"/>
          </w:tcPr>
          <w:p>
            <w:pPr>
              <w:snapToGrid w:val="0"/>
              <w:spacing w:line="40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w:t>
            </w:r>
            <w:r>
              <w:rPr>
                <w:rFonts w:ascii="Times New Roman" w:hAnsi="Times New Roman" w:eastAsia="仿宋" w:cs="Times New Roman"/>
                <w:sz w:val="24"/>
                <w:szCs w:val="24"/>
              </w:rPr>
              <w:t>65%</w:t>
            </w:r>
          </w:p>
        </w:tc>
        <w:tc>
          <w:tcPr>
            <w:tcW w:w="716" w:type="pct"/>
            <w:tcMar>
              <w:left w:w="57" w:type="dxa"/>
              <w:right w:w="57" w:type="dxa"/>
            </w:tcMar>
            <w:vAlign w:val="center"/>
          </w:tcPr>
          <w:p>
            <w:pPr>
              <w:snapToGrid w:val="0"/>
              <w:spacing w:line="400" w:lineRule="exact"/>
              <w:jc w:val="center"/>
              <w:rPr>
                <w:rFonts w:ascii="仿宋" w:hAnsi="仿宋" w:eastAsia="仿宋"/>
                <w:sz w:val="24"/>
                <w:szCs w:val="24"/>
              </w:rPr>
            </w:pPr>
            <w:r>
              <w:rPr>
                <w:rFonts w:hint="eastAsia" w:ascii="仿宋" w:hAnsi="仿宋" w:eastAsia="仿宋"/>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39" w:hRule="atLeast"/>
          <w:jc w:val="center"/>
        </w:trPr>
        <w:tc>
          <w:tcPr>
            <w:tcW w:w="439" w:type="pct"/>
            <w:tcMar>
              <w:left w:w="57" w:type="dxa"/>
              <w:right w:w="57" w:type="dxa"/>
            </w:tcMar>
            <w:vAlign w:val="center"/>
          </w:tcPr>
          <w:p>
            <w:pPr>
              <w:snapToGrid w:val="0"/>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10</w:t>
            </w:r>
          </w:p>
        </w:tc>
        <w:tc>
          <w:tcPr>
            <w:tcW w:w="2894" w:type="pct"/>
            <w:tcMar>
              <w:left w:w="57" w:type="dxa"/>
              <w:right w:w="57" w:type="dxa"/>
            </w:tcMar>
            <w:vAlign w:val="center"/>
          </w:tcPr>
          <w:p>
            <w:pPr>
              <w:snapToGrid w:val="0"/>
              <w:spacing w:line="400" w:lineRule="exact"/>
              <w:jc w:val="left"/>
              <w:rPr>
                <w:rFonts w:ascii="仿宋" w:hAnsi="仿宋" w:eastAsia="仿宋"/>
                <w:sz w:val="24"/>
                <w:szCs w:val="24"/>
              </w:rPr>
            </w:pPr>
            <w:r>
              <w:rPr>
                <w:rFonts w:hint="eastAsia" w:ascii="仿宋" w:hAnsi="仿宋" w:eastAsia="仿宋"/>
                <w:sz w:val="24"/>
                <w:szCs w:val="24"/>
              </w:rPr>
              <w:t>医疗机构与养老机构签约率</w:t>
            </w:r>
          </w:p>
        </w:tc>
        <w:tc>
          <w:tcPr>
            <w:tcW w:w="951" w:type="pct"/>
            <w:tcMar>
              <w:left w:w="57" w:type="dxa"/>
              <w:right w:w="57" w:type="dxa"/>
            </w:tcMar>
            <w:vAlign w:val="center"/>
          </w:tcPr>
          <w:p>
            <w:pPr>
              <w:snapToGrid w:val="0"/>
              <w:spacing w:line="40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w:t>
            </w:r>
            <w:r>
              <w:rPr>
                <w:rFonts w:ascii="Times New Roman" w:hAnsi="Times New Roman" w:eastAsia="仿宋" w:cs="Times New Roman"/>
                <w:sz w:val="24"/>
                <w:szCs w:val="24"/>
              </w:rPr>
              <w:t>90%</w:t>
            </w:r>
          </w:p>
        </w:tc>
        <w:tc>
          <w:tcPr>
            <w:tcW w:w="716" w:type="pct"/>
            <w:tcMar>
              <w:left w:w="57" w:type="dxa"/>
              <w:right w:w="57" w:type="dxa"/>
            </w:tcMar>
            <w:vAlign w:val="center"/>
          </w:tcPr>
          <w:p>
            <w:pPr>
              <w:snapToGrid w:val="0"/>
              <w:spacing w:line="400" w:lineRule="exact"/>
              <w:jc w:val="center"/>
              <w:rPr>
                <w:rFonts w:ascii="仿宋" w:hAnsi="仿宋" w:eastAsia="仿宋"/>
                <w:sz w:val="24"/>
                <w:szCs w:val="24"/>
              </w:rPr>
            </w:pPr>
            <w:r>
              <w:rPr>
                <w:rFonts w:hint="eastAsia" w:ascii="仿宋" w:hAnsi="仿宋" w:eastAsia="仿宋"/>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39" w:hRule="atLeast"/>
          <w:jc w:val="center"/>
        </w:trPr>
        <w:tc>
          <w:tcPr>
            <w:tcW w:w="439" w:type="pct"/>
            <w:tcMar>
              <w:left w:w="57" w:type="dxa"/>
              <w:right w:w="57" w:type="dxa"/>
            </w:tcMar>
            <w:vAlign w:val="center"/>
          </w:tcPr>
          <w:p>
            <w:pPr>
              <w:snapToGrid w:val="0"/>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11</w:t>
            </w:r>
          </w:p>
        </w:tc>
        <w:tc>
          <w:tcPr>
            <w:tcW w:w="2894" w:type="pct"/>
            <w:tcMar>
              <w:left w:w="57" w:type="dxa"/>
              <w:right w:w="57" w:type="dxa"/>
            </w:tcMar>
            <w:vAlign w:val="center"/>
          </w:tcPr>
          <w:p>
            <w:pPr>
              <w:snapToGrid w:val="0"/>
              <w:spacing w:line="400" w:lineRule="exact"/>
              <w:jc w:val="left"/>
              <w:rPr>
                <w:rFonts w:ascii="仿宋" w:hAnsi="仿宋" w:eastAsia="仿宋"/>
                <w:sz w:val="24"/>
                <w:szCs w:val="24"/>
              </w:rPr>
            </w:pPr>
            <w:r>
              <w:rPr>
                <w:rFonts w:hint="eastAsia" w:ascii="仿宋" w:hAnsi="仿宋" w:eastAsia="仿宋"/>
                <w:sz w:val="24"/>
                <w:szCs w:val="24"/>
              </w:rPr>
              <w:t>区级老年大学覆盖率</w:t>
            </w:r>
          </w:p>
        </w:tc>
        <w:tc>
          <w:tcPr>
            <w:tcW w:w="951" w:type="pct"/>
            <w:tcMar>
              <w:left w:w="57" w:type="dxa"/>
              <w:right w:w="57" w:type="dxa"/>
            </w:tcMar>
            <w:vAlign w:val="center"/>
          </w:tcPr>
          <w:p>
            <w:pPr>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100%</w:t>
            </w:r>
          </w:p>
        </w:tc>
        <w:tc>
          <w:tcPr>
            <w:tcW w:w="716" w:type="pct"/>
            <w:tcMar>
              <w:left w:w="57" w:type="dxa"/>
              <w:right w:w="57" w:type="dxa"/>
            </w:tcMar>
            <w:vAlign w:val="center"/>
          </w:tcPr>
          <w:p>
            <w:pPr>
              <w:snapToGrid w:val="0"/>
              <w:spacing w:line="400" w:lineRule="exact"/>
              <w:jc w:val="center"/>
              <w:rPr>
                <w:rFonts w:ascii="仿宋" w:hAnsi="仿宋" w:eastAsia="仿宋"/>
                <w:sz w:val="24"/>
                <w:szCs w:val="24"/>
              </w:rPr>
            </w:pPr>
            <w:r>
              <w:rPr>
                <w:rFonts w:hint="eastAsia" w:ascii="仿宋" w:hAnsi="仿宋" w:eastAsia="仿宋"/>
                <w:sz w:val="24"/>
                <w:szCs w:val="24"/>
              </w:rPr>
              <w:t>约束性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39" w:hRule="atLeast"/>
          <w:jc w:val="center"/>
        </w:trPr>
        <w:tc>
          <w:tcPr>
            <w:tcW w:w="439" w:type="pct"/>
            <w:tcMar>
              <w:left w:w="57" w:type="dxa"/>
              <w:right w:w="57" w:type="dxa"/>
            </w:tcMar>
            <w:vAlign w:val="center"/>
          </w:tcPr>
          <w:p>
            <w:pPr>
              <w:snapToGrid w:val="0"/>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12</w:t>
            </w:r>
          </w:p>
        </w:tc>
        <w:tc>
          <w:tcPr>
            <w:tcW w:w="2894" w:type="pct"/>
            <w:tcMar>
              <w:left w:w="57" w:type="dxa"/>
              <w:right w:w="57" w:type="dxa"/>
            </w:tcMar>
            <w:vAlign w:val="center"/>
          </w:tcPr>
          <w:p>
            <w:pPr>
              <w:snapToGrid w:val="0"/>
              <w:spacing w:line="400" w:lineRule="exact"/>
              <w:jc w:val="left"/>
              <w:rPr>
                <w:rFonts w:ascii="仿宋" w:hAnsi="仿宋" w:eastAsia="仿宋"/>
                <w:sz w:val="24"/>
                <w:szCs w:val="24"/>
              </w:rPr>
            </w:pPr>
            <w:r>
              <w:rPr>
                <w:rFonts w:hint="eastAsia" w:ascii="仿宋" w:hAnsi="仿宋" w:eastAsia="仿宋"/>
                <w:sz w:val="24"/>
                <w:szCs w:val="24"/>
              </w:rPr>
              <w:t>街道（社区）级老年大学教学点覆盖率</w:t>
            </w:r>
          </w:p>
        </w:tc>
        <w:tc>
          <w:tcPr>
            <w:tcW w:w="951" w:type="pct"/>
            <w:tcMar>
              <w:left w:w="57" w:type="dxa"/>
              <w:right w:w="57" w:type="dxa"/>
            </w:tcMar>
            <w:vAlign w:val="center"/>
          </w:tcPr>
          <w:p>
            <w:pPr>
              <w:snapToGrid w:val="0"/>
              <w:spacing w:line="40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w:t>
            </w:r>
            <w:r>
              <w:rPr>
                <w:rFonts w:ascii="Times New Roman" w:hAnsi="Times New Roman" w:eastAsia="仿宋" w:cs="Times New Roman"/>
                <w:sz w:val="24"/>
                <w:szCs w:val="24"/>
              </w:rPr>
              <w:t>70%</w:t>
            </w:r>
          </w:p>
        </w:tc>
        <w:tc>
          <w:tcPr>
            <w:tcW w:w="716" w:type="pct"/>
            <w:tcMar>
              <w:left w:w="57" w:type="dxa"/>
              <w:right w:w="57" w:type="dxa"/>
            </w:tcMar>
            <w:vAlign w:val="center"/>
          </w:tcPr>
          <w:p>
            <w:pPr>
              <w:snapToGrid w:val="0"/>
              <w:spacing w:line="400" w:lineRule="exact"/>
              <w:jc w:val="center"/>
              <w:rPr>
                <w:rFonts w:ascii="仿宋" w:hAnsi="仿宋" w:eastAsia="仿宋"/>
                <w:sz w:val="24"/>
                <w:szCs w:val="24"/>
              </w:rPr>
            </w:pPr>
            <w:r>
              <w:rPr>
                <w:rFonts w:hint="eastAsia" w:ascii="仿宋" w:hAnsi="仿宋" w:eastAsia="仿宋"/>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39" w:hRule="atLeast"/>
          <w:jc w:val="center"/>
        </w:trPr>
        <w:tc>
          <w:tcPr>
            <w:tcW w:w="439" w:type="pct"/>
            <w:tcMar>
              <w:left w:w="57" w:type="dxa"/>
              <w:right w:w="57" w:type="dxa"/>
            </w:tcMar>
            <w:vAlign w:val="center"/>
          </w:tcPr>
          <w:p>
            <w:pPr>
              <w:snapToGrid w:val="0"/>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13</w:t>
            </w:r>
          </w:p>
        </w:tc>
        <w:tc>
          <w:tcPr>
            <w:tcW w:w="2894" w:type="pct"/>
            <w:tcMar>
              <w:left w:w="57" w:type="dxa"/>
              <w:right w:w="57" w:type="dxa"/>
            </w:tcMar>
            <w:vAlign w:val="center"/>
          </w:tcPr>
          <w:p>
            <w:pPr>
              <w:snapToGrid w:val="0"/>
              <w:spacing w:line="400" w:lineRule="exact"/>
              <w:jc w:val="left"/>
              <w:rPr>
                <w:rFonts w:ascii="仿宋" w:hAnsi="仿宋" w:eastAsia="仿宋"/>
                <w:sz w:val="24"/>
                <w:szCs w:val="24"/>
              </w:rPr>
            </w:pPr>
            <w:r>
              <w:rPr>
                <w:rFonts w:hint="eastAsia" w:ascii="仿宋" w:hAnsi="仿宋" w:eastAsia="仿宋"/>
                <w:sz w:val="24"/>
                <w:szCs w:val="24"/>
              </w:rPr>
              <w:t>城乡基层老年协会覆盖率</w:t>
            </w:r>
          </w:p>
        </w:tc>
        <w:tc>
          <w:tcPr>
            <w:tcW w:w="951" w:type="pct"/>
            <w:tcMar>
              <w:left w:w="57" w:type="dxa"/>
              <w:right w:w="57" w:type="dxa"/>
            </w:tcMar>
            <w:vAlign w:val="center"/>
          </w:tcPr>
          <w:p>
            <w:pPr>
              <w:snapToGrid w:val="0"/>
              <w:spacing w:line="40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w:t>
            </w:r>
            <w:r>
              <w:rPr>
                <w:rFonts w:ascii="Times New Roman" w:hAnsi="Times New Roman" w:eastAsia="仿宋" w:cs="Times New Roman"/>
                <w:sz w:val="24"/>
                <w:szCs w:val="24"/>
              </w:rPr>
              <w:t>95%</w:t>
            </w:r>
          </w:p>
        </w:tc>
        <w:tc>
          <w:tcPr>
            <w:tcW w:w="716" w:type="pct"/>
            <w:tcMar>
              <w:left w:w="57" w:type="dxa"/>
              <w:right w:w="57" w:type="dxa"/>
            </w:tcMar>
            <w:vAlign w:val="center"/>
          </w:tcPr>
          <w:p>
            <w:pPr>
              <w:snapToGrid w:val="0"/>
              <w:spacing w:line="400" w:lineRule="exact"/>
              <w:jc w:val="center"/>
              <w:rPr>
                <w:rFonts w:ascii="仿宋" w:hAnsi="仿宋" w:eastAsia="仿宋"/>
                <w:sz w:val="24"/>
                <w:szCs w:val="24"/>
              </w:rPr>
            </w:pPr>
            <w:r>
              <w:rPr>
                <w:rFonts w:hint="eastAsia" w:ascii="仿宋" w:hAnsi="仿宋" w:eastAsia="仿宋"/>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39" w:hRule="atLeast"/>
          <w:jc w:val="center"/>
        </w:trPr>
        <w:tc>
          <w:tcPr>
            <w:tcW w:w="439" w:type="pct"/>
            <w:tcMar>
              <w:left w:w="57" w:type="dxa"/>
              <w:right w:w="57" w:type="dxa"/>
            </w:tcMar>
            <w:vAlign w:val="center"/>
          </w:tcPr>
          <w:p>
            <w:pPr>
              <w:snapToGrid w:val="0"/>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14</w:t>
            </w:r>
          </w:p>
        </w:tc>
        <w:tc>
          <w:tcPr>
            <w:tcW w:w="2894" w:type="pct"/>
            <w:tcMar>
              <w:left w:w="57" w:type="dxa"/>
              <w:right w:w="57" w:type="dxa"/>
            </w:tcMar>
            <w:vAlign w:val="center"/>
          </w:tcPr>
          <w:p>
            <w:pPr>
              <w:snapToGrid w:val="0"/>
              <w:spacing w:line="400" w:lineRule="exact"/>
              <w:jc w:val="left"/>
              <w:rPr>
                <w:rFonts w:ascii="仿宋" w:hAnsi="仿宋" w:eastAsia="仿宋"/>
                <w:sz w:val="24"/>
                <w:szCs w:val="24"/>
              </w:rPr>
            </w:pPr>
            <w:r>
              <w:rPr>
                <w:rFonts w:hint="eastAsia" w:ascii="仿宋" w:hAnsi="仿宋" w:eastAsia="仿宋"/>
                <w:sz w:val="24"/>
                <w:szCs w:val="24"/>
              </w:rPr>
              <w:t>老年志愿者注册人数占老年人口比例</w:t>
            </w:r>
          </w:p>
        </w:tc>
        <w:tc>
          <w:tcPr>
            <w:tcW w:w="951" w:type="pct"/>
            <w:tcMar>
              <w:left w:w="57" w:type="dxa"/>
              <w:right w:w="57" w:type="dxa"/>
            </w:tcMar>
            <w:vAlign w:val="center"/>
          </w:tcPr>
          <w:p>
            <w:pPr>
              <w:snapToGrid w:val="0"/>
              <w:spacing w:line="40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w:t>
            </w:r>
            <w:r>
              <w:rPr>
                <w:rFonts w:ascii="Times New Roman" w:hAnsi="Times New Roman" w:eastAsia="仿宋" w:cs="Times New Roman"/>
                <w:sz w:val="24"/>
                <w:szCs w:val="24"/>
              </w:rPr>
              <w:t>15%</w:t>
            </w:r>
          </w:p>
        </w:tc>
        <w:tc>
          <w:tcPr>
            <w:tcW w:w="716" w:type="pct"/>
            <w:tcMar>
              <w:left w:w="57" w:type="dxa"/>
              <w:right w:w="57" w:type="dxa"/>
            </w:tcMar>
            <w:vAlign w:val="center"/>
          </w:tcPr>
          <w:p>
            <w:pPr>
              <w:snapToGrid w:val="0"/>
              <w:spacing w:line="400" w:lineRule="exact"/>
              <w:jc w:val="center"/>
              <w:rPr>
                <w:rFonts w:ascii="仿宋" w:hAnsi="仿宋" w:eastAsia="仿宋"/>
                <w:sz w:val="24"/>
                <w:szCs w:val="24"/>
              </w:rPr>
            </w:pPr>
            <w:r>
              <w:rPr>
                <w:rFonts w:hint="eastAsia" w:ascii="仿宋" w:hAnsi="仿宋" w:eastAsia="仿宋"/>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39" w:hRule="atLeast"/>
          <w:jc w:val="center"/>
        </w:trPr>
        <w:tc>
          <w:tcPr>
            <w:tcW w:w="439" w:type="pct"/>
            <w:tcMar>
              <w:left w:w="57" w:type="dxa"/>
              <w:right w:w="57" w:type="dxa"/>
            </w:tcMar>
            <w:vAlign w:val="center"/>
          </w:tcPr>
          <w:p>
            <w:pPr>
              <w:snapToGrid w:val="0"/>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15</w:t>
            </w:r>
          </w:p>
        </w:tc>
        <w:tc>
          <w:tcPr>
            <w:tcW w:w="2894" w:type="pct"/>
            <w:tcMar>
              <w:left w:w="57" w:type="dxa"/>
              <w:right w:w="57" w:type="dxa"/>
            </w:tcMar>
            <w:vAlign w:val="center"/>
          </w:tcPr>
          <w:p>
            <w:pPr>
              <w:snapToGrid w:val="0"/>
              <w:spacing w:line="400" w:lineRule="exact"/>
              <w:jc w:val="left"/>
              <w:rPr>
                <w:rFonts w:ascii="仿宋" w:hAnsi="仿宋" w:eastAsia="仿宋"/>
                <w:sz w:val="24"/>
                <w:szCs w:val="24"/>
              </w:rPr>
            </w:pPr>
            <w:r>
              <w:rPr>
                <w:rFonts w:hint="eastAsia" w:ascii="仿宋" w:hAnsi="仿宋" w:eastAsia="仿宋"/>
                <w:sz w:val="24"/>
                <w:szCs w:val="24"/>
              </w:rPr>
              <w:t>每千名老年人配备社会工作者人数或每百张养老床位配备社会工作者人数</w:t>
            </w:r>
          </w:p>
        </w:tc>
        <w:tc>
          <w:tcPr>
            <w:tcW w:w="951" w:type="pct"/>
            <w:tcMar>
              <w:left w:w="57" w:type="dxa"/>
              <w:right w:w="57" w:type="dxa"/>
            </w:tcMar>
            <w:vAlign w:val="center"/>
          </w:tcPr>
          <w:p>
            <w:pPr>
              <w:snapToGrid w:val="0"/>
              <w:spacing w:line="40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w:t>
            </w:r>
            <w:r>
              <w:rPr>
                <w:rFonts w:ascii="Times New Roman" w:hAnsi="Times New Roman" w:eastAsia="仿宋" w:cs="Times New Roman"/>
                <w:sz w:val="24"/>
                <w:szCs w:val="24"/>
              </w:rPr>
              <w:t>1</w:t>
            </w:r>
          </w:p>
        </w:tc>
        <w:tc>
          <w:tcPr>
            <w:tcW w:w="716" w:type="pct"/>
            <w:tcMar>
              <w:left w:w="57" w:type="dxa"/>
              <w:right w:w="57" w:type="dxa"/>
            </w:tcMar>
            <w:vAlign w:val="center"/>
          </w:tcPr>
          <w:p>
            <w:pPr>
              <w:snapToGrid w:val="0"/>
              <w:spacing w:line="400" w:lineRule="exact"/>
              <w:jc w:val="center"/>
              <w:rPr>
                <w:rFonts w:ascii="仿宋" w:hAnsi="仿宋" w:eastAsia="仿宋"/>
                <w:sz w:val="24"/>
                <w:szCs w:val="24"/>
              </w:rPr>
            </w:pPr>
            <w:r>
              <w:rPr>
                <w:rFonts w:hint="eastAsia" w:ascii="仿宋" w:hAnsi="仿宋" w:eastAsia="仿宋"/>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39" w:hRule="atLeast"/>
          <w:jc w:val="center"/>
        </w:trPr>
        <w:tc>
          <w:tcPr>
            <w:tcW w:w="439" w:type="pct"/>
            <w:tcMar>
              <w:left w:w="57" w:type="dxa"/>
              <w:right w:w="57" w:type="dxa"/>
            </w:tcMar>
            <w:vAlign w:val="center"/>
          </w:tcPr>
          <w:p>
            <w:pPr>
              <w:snapToGrid w:val="0"/>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16</w:t>
            </w:r>
          </w:p>
        </w:tc>
        <w:tc>
          <w:tcPr>
            <w:tcW w:w="2894" w:type="pct"/>
            <w:tcMar>
              <w:left w:w="57" w:type="dxa"/>
              <w:right w:w="57" w:type="dxa"/>
            </w:tcMar>
            <w:vAlign w:val="center"/>
          </w:tcPr>
          <w:p>
            <w:pPr>
              <w:snapToGrid w:val="0"/>
              <w:spacing w:line="400" w:lineRule="exact"/>
              <w:jc w:val="left"/>
              <w:rPr>
                <w:rFonts w:ascii="仿宋" w:hAnsi="仿宋" w:eastAsia="仿宋"/>
                <w:sz w:val="24"/>
                <w:szCs w:val="24"/>
              </w:rPr>
            </w:pPr>
            <w:r>
              <w:rPr>
                <w:rFonts w:hint="eastAsia" w:ascii="仿宋" w:hAnsi="仿宋" w:eastAsia="仿宋"/>
                <w:sz w:val="24"/>
                <w:szCs w:val="24"/>
              </w:rPr>
              <w:t>各级福彩公益金用于养老服务业的比例</w:t>
            </w:r>
          </w:p>
        </w:tc>
        <w:tc>
          <w:tcPr>
            <w:tcW w:w="951" w:type="pct"/>
            <w:tcMar>
              <w:left w:w="57" w:type="dxa"/>
              <w:right w:w="57" w:type="dxa"/>
            </w:tcMar>
            <w:vAlign w:val="center"/>
          </w:tcPr>
          <w:p>
            <w:pPr>
              <w:snapToGrid w:val="0"/>
              <w:spacing w:line="400" w:lineRule="exact"/>
              <w:jc w:val="center"/>
              <w:rPr>
                <w:rFonts w:ascii="Times New Roman" w:hAnsi="Times New Roman" w:eastAsia="仿宋" w:cs="Times New Roman"/>
                <w:sz w:val="24"/>
                <w:szCs w:val="24"/>
              </w:rPr>
            </w:pPr>
            <w:r>
              <w:rPr>
                <w:rFonts w:hint="eastAsia" w:ascii="Times New Roman" w:hAnsi="Times New Roman" w:eastAsia="仿宋" w:cs="Times New Roman"/>
                <w:sz w:val="24"/>
                <w:szCs w:val="24"/>
              </w:rPr>
              <w:t>≥</w:t>
            </w:r>
            <w:r>
              <w:rPr>
                <w:rFonts w:ascii="Times New Roman" w:hAnsi="Times New Roman" w:eastAsia="仿宋" w:cs="Times New Roman"/>
                <w:sz w:val="24"/>
                <w:szCs w:val="24"/>
              </w:rPr>
              <w:t>80%</w:t>
            </w:r>
          </w:p>
        </w:tc>
        <w:tc>
          <w:tcPr>
            <w:tcW w:w="716" w:type="pct"/>
            <w:tcMar>
              <w:left w:w="57" w:type="dxa"/>
              <w:right w:w="57" w:type="dxa"/>
            </w:tcMar>
            <w:vAlign w:val="center"/>
          </w:tcPr>
          <w:p>
            <w:pPr>
              <w:snapToGrid w:val="0"/>
              <w:spacing w:line="400" w:lineRule="exact"/>
              <w:jc w:val="center"/>
              <w:rPr>
                <w:rFonts w:ascii="仿宋" w:hAnsi="仿宋" w:eastAsia="仿宋"/>
                <w:sz w:val="24"/>
                <w:szCs w:val="24"/>
              </w:rPr>
            </w:pPr>
            <w:r>
              <w:rPr>
                <w:rFonts w:hint="eastAsia" w:ascii="仿宋" w:hAnsi="仿宋" w:eastAsia="仿宋"/>
                <w:sz w:val="24"/>
                <w:szCs w:val="24"/>
              </w:rPr>
              <w:t>约束性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39" w:hRule="atLeast"/>
          <w:jc w:val="center"/>
        </w:trPr>
        <w:tc>
          <w:tcPr>
            <w:tcW w:w="439" w:type="pct"/>
            <w:tcMar>
              <w:left w:w="57" w:type="dxa"/>
              <w:right w:w="57" w:type="dxa"/>
            </w:tcMar>
            <w:vAlign w:val="center"/>
          </w:tcPr>
          <w:p>
            <w:pPr>
              <w:snapToGrid w:val="0"/>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17</w:t>
            </w:r>
          </w:p>
        </w:tc>
        <w:tc>
          <w:tcPr>
            <w:tcW w:w="2894" w:type="pct"/>
            <w:tcMar>
              <w:left w:w="57" w:type="dxa"/>
              <w:right w:w="57" w:type="dxa"/>
            </w:tcMar>
            <w:vAlign w:val="center"/>
          </w:tcPr>
          <w:p>
            <w:pPr>
              <w:snapToGrid w:val="0"/>
              <w:spacing w:line="400" w:lineRule="exact"/>
              <w:jc w:val="left"/>
              <w:rPr>
                <w:rFonts w:ascii="仿宋" w:hAnsi="仿宋" w:eastAsia="仿宋"/>
                <w:sz w:val="24"/>
                <w:szCs w:val="24"/>
              </w:rPr>
            </w:pPr>
            <w:r>
              <w:rPr>
                <w:rFonts w:hint="eastAsia" w:ascii="仿宋" w:hAnsi="仿宋" w:eastAsia="仿宋"/>
                <w:sz w:val="24"/>
                <w:szCs w:val="24"/>
              </w:rPr>
              <w:t>居家社区探访制度覆盖率</w:t>
            </w:r>
          </w:p>
        </w:tc>
        <w:tc>
          <w:tcPr>
            <w:tcW w:w="951" w:type="pct"/>
            <w:tcMar>
              <w:left w:w="57" w:type="dxa"/>
              <w:right w:w="57" w:type="dxa"/>
            </w:tcMar>
            <w:vAlign w:val="center"/>
          </w:tcPr>
          <w:p>
            <w:pPr>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100</w:t>
            </w:r>
            <w:r>
              <w:rPr>
                <w:rFonts w:hint="eastAsia" w:ascii="Times New Roman" w:hAnsi="Times New Roman" w:eastAsia="仿宋" w:cs="Times New Roman"/>
                <w:sz w:val="24"/>
                <w:szCs w:val="24"/>
              </w:rPr>
              <w:t>%</w:t>
            </w:r>
          </w:p>
        </w:tc>
        <w:tc>
          <w:tcPr>
            <w:tcW w:w="716" w:type="pct"/>
            <w:tcMar>
              <w:left w:w="57" w:type="dxa"/>
              <w:right w:w="57" w:type="dxa"/>
            </w:tcMar>
            <w:vAlign w:val="center"/>
          </w:tcPr>
          <w:p>
            <w:pPr>
              <w:snapToGrid w:val="0"/>
              <w:spacing w:line="400" w:lineRule="exact"/>
              <w:jc w:val="center"/>
              <w:rPr>
                <w:rFonts w:ascii="仿宋" w:hAnsi="仿宋" w:eastAsia="仿宋"/>
                <w:sz w:val="24"/>
                <w:szCs w:val="24"/>
              </w:rPr>
            </w:pPr>
            <w:r>
              <w:rPr>
                <w:rFonts w:hint="eastAsia" w:ascii="仿宋" w:hAnsi="仿宋" w:eastAsia="仿宋"/>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39" w:hRule="atLeast"/>
          <w:jc w:val="center"/>
        </w:trPr>
        <w:tc>
          <w:tcPr>
            <w:tcW w:w="439" w:type="pct"/>
            <w:tcMar>
              <w:left w:w="57" w:type="dxa"/>
              <w:right w:w="57" w:type="dxa"/>
            </w:tcMar>
            <w:vAlign w:val="center"/>
          </w:tcPr>
          <w:p>
            <w:pPr>
              <w:snapToGrid w:val="0"/>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18</w:t>
            </w:r>
          </w:p>
        </w:tc>
        <w:tc>
          <w:tcPr>
            <w:tcW w:w="2894" w:type="pct"/>
            <w:tcMar>
              <w:left w:w="57" w:type="dxa"/>
              <w:right w:w="57" w:type="dxa"/>
            </w:tcMar>
            <w:vAlign w:val="center"/>
          </w:tcPr>
          <w:p>
            <w:pPr>
              <w:snapToGrid w:val="0"/>
              <w:spacing w:line="400" w:lineRule="exact"/>
              <w:jc w:val="left"/>
              <w:rPr>
                <w:rFonts w:ascii="仿宋" w:hAnsi="仿宋" w:eastAsia="仿宋"/>
                <w:sz w:val="24"/>
                <w:szCs w:val="24"/>
              </w:rPr>
            </w:pPr>
            <w:r>
              <w:rPr>
                <w:rFonts w:hint="eastAsia" w:ascii="仿宋" w:hAnsi="仿宋" w:eastAsia="仿宋"/>
                <w:sz w:val="24"/>
                <w:szCs w:val="24"/>
              </w:rPr>
              <w:t>乡镇（街道）区域养老服务中心覆盖率</w:t>
            </w:r>
          </w:p>
        </w:tc>
        <w:tc>
          <w:tcPr>
            <w:tcW w:w="951" w:type="pct"/>
            <w:tcMar>
              <w:left w:w="57" w:type="dxa"/>
              <w:right w:w="57" w:type="dxa"/>
            </w:tcMar>
            <w:vAlign w:val="center"/>
          </w:tcPr>
          <w:p>
            <w:pPr>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100%</w:t>
            </w:r>
          </w:p>
        </w:tc>
        <w:tc>
          <w:tcPr>
            <w:tcW w:w="716" w:type="pct"/>
            <w:tcMar>
              <w:left w:w="57" w:type="dxa"/>
              <w:right w:w="57" w:type="dxa"/>
            </w:tcMar>
            <w:vAlign w:val="center"/>
          </w:tcPr>
          <w:p>
            <w:pPr>
              <w:snapToGrid w:val="0"/>
              <w:spacing w:line="400" w:lineRule="exact"/>
              <w:jc w:val="center"/>
              <w:rPr>
                <w:rFonts w:ascii="仿宋" w:hAnsi="仿宋" w:eastAsia="仿宋"/>
                <w:sz w:val="24"/>
                <w:szCs w:val="24"/>
              </w:rPr>
            </w:pPr>
            <w:r>
              <w:rPr>
                <w:rFonts w:hint="eastAsia" w:ascii="仿宋" w:hAnsi="仿宋" w:eastAsia="仿宋"/>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39" w:hRule="atLeast"/>
          <w:jc w:val="center"/>
        </w:trPr>
        <w:tc>
          <w:tcPr>
            <w:tcW w:w="439" w:type="pct"/>
            <w:tcMar>
              <w:left w:w="57" w:type="dxa"/>
              <w:right w:w="57" w:type="dxa"/>
            </w:tcMar>
            <w:vAlign w:val="center"/>
          </w:tcPr>
          <w:p>
            <w:pPr>
              <w:snapToGrid w:val="0"/>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19</w:t>
            </w:r>
          </w:p>
        </w:tc>
        <w:tc>
          <w:tcPr>
            <w:tcW w:w="2894" w:type="pct"/>
            <w:tcMar>
              <w:left w:w="57" w:type="dxa"/>
              <w:right w:w="57" w:type="dxa"/>
            </w:tcMar>
            <w:vAlign w:val="center"/>
          </w:tcPr>
          <w:p>
            <w:pPr>
              <w:snapToGrid w:val="0"/>
              <w:spacing w:line="400" w:lineRule="exact"/>
              <w:jc w:val="left"/>
              <w:rPr>
                <w:rFonts w:ascii="仿宋" w:hAnsi="仿宋" w:eastAsia="仿宋"/>
                <w:sz w:val="24"/>
                <w:szCs w:val="24"/>
              </w:rPr>
            </w:pPr>
            <w:r>
              <w:rPr>
                <w:rFonts w:hint="eastAsia" w:ascii="仿宋" w:hAnsi="仿宋" w:eastAsia="仿宋"/>
                <w:sz w:val="24"/>
                <w:szCs w:val="24"/>
              </w:rPr>
              <w:t>家庭养老床位总量</w:t>
            </w:r>
          </w:p>
        </w:tc>
        <w:tc>
          <w:tcPr>
            <w:tcW w:w="951" w:type="pct"/>
            <w:tcMar>
              <w:left w:w="57" w:type="dxa"/>
              <w:right w:w="57" w:type="dxa"/>
            </w:tcMar>
            <w:vAlign w:val="center"/>
          </w:tcPr>
          <w:p>
            <w:pPr>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2000</w:t>
            </w:r>
            <w:r>
              <w:rPr>
                <w:rFonts w:hint="eastAsia" w:ascii="Times New Roman" w:hAnsi="Times New Roman" w:eastAsia="仿宋" w:cs="Times New Roman"/>
                <w:sz w:val="24"/>
                <w:szCs w:val="24"/>
              </w:rPr>
              <w:t>张</w:t>
            </w:r>
          </w:p>
        </w:tc>
        <w:tc>
          <w:tcPr>
            <w:tcW w:w="716" w:type="pct"/>
            <w:tcMar>
              <w:left w:w="57" w:type="dxa"/>
              <w:right w:w="57" w:type="dxa"/>
            </w:tcMar>
            <w:vAlign w:val="center"/>
          </w:tcPr>
          <w:p>
            <w:pPr>
              <w:snapToGrid w:val="0"/>
              <w:spacing w:line="400" w:lineRule="exact"/>
              <w:jc w:val="center"/>
              <w:rPr>
                <w:rFonts w:ascii="仿宋" w:hAnsi="仿宋" w:eastAsia="仿宋"/>
                <w:sz w:val="24"/>
                <w:szCs w:val="24"/>
              </w:rPr>
            </w:pPr>
            <w:r>
              <w:rPr>
                <w:rFonts w:hint="eastAsia" w:ascii="仿宋" w:hAnsi="仿宋" w:eastAsia="仿宋"/>
                <w:sz w:val="24"/>
                <w:szCs w:val="24"/>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39" w:hRule="atLeast"/>
          <w:jc w:val="center"/>
        </w:trPr>
        <w:tc>
          <w:tcPr>
            <w:tcW w:w="439" w:type="pct"/>
            <w:tcMar>
              <w:left w:w="57" w:type="dxa"/>
              <w:right w:w="57" w:type="dxa"/>
            </w:tcMar>
            <w:vAlign w:val="center"/>
          </w:tcPr>
          <w:p>
            <w:pPr>
              <w:snapToGrid w:val="0"/>
              <w:spacing w:line="400" w:lineRule="exact"/>
              <w:jc w:val="center"/>
              <w:rPr>
                <w:rFonts w:ascii="Times New Roman" w:hAnsi="Times New Roman" w:eastAsia="宋体" w:cs="Times New Roman"/>
                <w:sz w:val="24"/>
                <w:szCs w:val="24"/>
              </w:rPr>
            </w:pPr>
            <w:r>
              <w:rPr>
                <w:rFonts w:ascii="Times New Roman" w:hAnsi="Times New Roman" w:eastAsia="宋体" w:cs="Times New Roman"/>
                <w:sz w:val="24"/>
                <w:szCs w:val="24"/>
              </w:rPr>
              <w:t>20</w:t>
            </w:r>
          </w:p>
        </w:tc>
        <w:tc>
          <w:tcPr>
            <w:tcW w:w="2894" w:type="pct"/>
            <w:tcMar>
              <w:left w:w="57" w:type="dxa"/>
              <w:right w:w="57" w:type="dxa"/>
            </w:tcMar>
            <w:vAlign w:val="center"/>
          </w:tcPr>
          <w:p>
            <w:pPr>
              <w:snapToGrid w:val="0"/>
              <w:spacing w:line="400" w:lineRule="exact"/>
              <w:jc w:val="left"/>
              <w:rPr>
                <w:rFonts w:ascii="仿宋" w:hAnsi="仿宋" w:eastAsia="仿宋"/>
                <w:sz w:val="24"/>
                <w:szCs w:val="24"/>
              </w:rPr>
            </w:pPr>
            <w:r>
              <w:rPr>
                <w:rFonts w:hint="eastAsia" w:ascii="仿宋" w:hAnsi="仿宋" w:eastAsia="仿宋"/>
                <w:sz w:val="24"/>
                <w:szCs w:val="24"/>
              </w:rPr>
              <w:t>小区养老服务点建成数量</w:t>
            </w:r>
          </w:p>
        </w:tc>
        <w:tc>
          <w:tcPr>
            <w:tcW w:w="951" w:type="pct"/>
            <w:tcMar>
              <w:left w:w="57" w:type="dxa"/>
              <w:right w:w="57" w:type="dxa"/>
            </w:tcMar>
            <w:vAlign w:val="center"/>
          </w:tcPr>
          <w:p>
            <w:pPr>
              <w:snapToGrid w:val="0"/>
              <w:spacing w:line="400" w:lineRule="exact"/>
              <w:jc w:val="center"/>
              <w:rPr>
                <w:rFonts w:ascii="Times New Roman" w:hAnsi="Times New Roman" w:eastAsia="仿宋" w:cs="Times New Roman"/>
                <w:sz w:val="24"/>
                <w:szCs w:val="24"/>
              </w:rPr>
            </w:pPr>
            <w:r>
              <w:rPr>
                <w:rFonts w:ascii="Times New Roman" w:hAnsi="Times New Roman" w:eastAsia="仿宋" w:cs="Times New Roman"/>
                <w:sz w:val="24"/>
                <w:szCs w:val="24"/>
              </w:rPr>
              <w:t>200</w:t>
            </w:r>
            <w:r>
              <w:rPr>
                <w:rFonts w:hint="eastAsia" w:ascii="Times New Roman" w:hAnsi="Times New Roman" w:eastAsia="仿宋" w:cs="Times New Roman"/>
                <w:sz w:val="24"/>
                <w:szCs w:val="24"/>
              </w:rPr>
              <w:t>个</w:t>
            </w:r>
          </w:p>
        </w:tc>
        <w:tc>
          <w:tcPr>
            <w:tcW w:w="716" w:type="pct"/>
            <w:tcMar>
              <w:left w:w="57" w:type="dxa"/>
              <w:right w:w="57" w:type="dxa"/>
            </w:tcMar>
            <w:vAlign w:val="center"/>
          </w:tcPr>
          <w:p>
            <w:pPr>
              <w:snapToGrid w:val="0"/>
              <w:spacing w:line="400" w:lineRule="exact"/>
              <w:jc w:val="center"/>
              <w:rPr>
                <w:rFonts w:ascii="仿宋" w:hAnsi="仿宋" w:eastAsia="仿宋"/>
                <w:sz w:val="24"/>
                <w:szCs w:val="24"/>
              </w:rPr>
            </w:pPr>
            <w:r>
              <w:rPr>
                <w:rFonts w:hint="eastAsia" w:ascii="仿宋" w:hAnsi="仿宋" w:eastAsia="仿宋"/>
                <w:sz w:val="24"/>
                <w:szCs w:val="24"/>
              </w:rPr>
              <w:t>预期性</w:t>
            </w:r>
          </w:p>
        </w:tc>
      </w:tr>
    </w:tbl>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rPr>
          <w:rFonts w:ascii="仿宋" w:hAnsi="仿宋" w:eastAsia="仿宋"/>
          <w:sz w:val="32"/>
        </w:rPr>
      </w:pPr>
    </w:p>
    <w:p>
      <w:pPr>
        <w:jc w:val="center"/>
        <w:outlineLvl w:val="0"/>
        <w:rPr>
          <w:rFonts w:ascii="黑体" w:hAnsi="黑体" w:eastAsia="黑体"/>
          <w:sz w:val="32"/>
        </w:rPr>
      </w:pPr>
      <w:bookmarkStart w:id="7" w:name="_Toc118042929"/>
      <w:r>
        <w:rPr>
          <w:rFonts w:hint="eastAsia" w:ascii="黑体" w:hAnsi="黑体" w:eastAsia="黑体"/>
          <w:sz w:val="32"/>
        </w:rPr>
        <w:t xml:space="preserve">第三章 </w:t>
      </w:r>
      <w:r>
        <w:rPr>
          <w:rFonts w:ascii="黑体" w:hAnsi="黑体" w:eastAsia="黑体"/>
          <w:sz w:val="32"/>
        </w:rPr>
        <w:t xml:space="preserve"> </w:t>
      </w:r>
      <w:r>
        <w:rPr>
          <w:rFonts w:hint="eastAsia" w:ascii="黑体" w:hAnsi="黑体" w:eastAsia="黑体"/>
          <w:sz w:val="32"/>
        </w:rPr>
        <w:t>推进养老服务制度体系建设</w:t>
      </w:r>
      <w:bookmarkEnd w:id="7"/>
    </w:p>
    <w:p>
      <w:pPr>
        <w:jc w:val="center"/>
        <w:rPr>
          <w:rFonts w:ascii="仿宋" w:hAnsi="仿宋" w:eastAsia="仿宋"/>
          <w:sz w:val="32"/>
        </w:rPr>
      </w:pPr>
    </w:p>
    <w:p>
      <w:pPr>
        <w:jc w:val="center"/>
        <w:outlineLvl w:val="1"/>
        <w:rPr>
          <w:rFonts w:ascii="仿宋" w:hAnsi="仿宋" w:eastAsia="仿宋"/>
          <w:b/>
          <w:sz w:val="32"/>
        </w:rPr>
      </w:pPr>
      <w:bookmarkStart w:id="8" w:name="_Toc118042930"/>
      <w:bookmarkStart w:id="9" w:name="_Hlk114129195"/>
      <w:r>
        <w:rPr>
          <w:rFonts w:hint="eastAsia" w:ascii="仿宋" w:hAnsi="仿宋" w:eastAsia="仿宋"/>
          <w:b/>
          <w:sz w:val="32"/>
        </w:rPr>
        <w:t xml:space="preserve">第一节 </w:t>
      </w:r>
      <w:r>
        <w:rPr>
          <w:rFonts w:ascii="仿宋" w:hAnsi="仿宋" w:eastAsia="仿宋"/>
          <w:b/>
          <w:sz w:val="32"/>
        </w:rPr>
        <w:t xml:space="preserve"> </w:t>
      </w:r>
      <w:r>
        <w:rPr>
          <w:rFonts w:hint="eastAsia" w:ascii="仿宋" w:hAnsi="仿宋" w:eastAsia="仿宋"/>
          <w:b/>
          <w:sz w:val="32"/>
        </w:rPr>
        <w:t>加快创新养老服务支持政策</w:t>
      </w:r>
      <w:bookmarkEnd w:id="8"/>
    </w:p>
    <w:p>
      <w:pPr>
        <w:ind w:firstLine="640" w:firstLineChars="200"/>
        <w:rPr>
          <w:rFonts w:ascii="仿宋" w:hAnsi="仿宋" w:eastAsia="仿宋"/>
          <w:sz w:val="32"/>
        </w:rPr>
      </w:pPr>
      <w:r>
        <w:rPr>
          <w:rFonts w:hint="eastAsia" w:ascii="仿宋" w:hAnsi="仿宋" w:eastAsia="仿宋"/>
          <w:sz w:val="32"/>
        </w:rPr>
        <w:t>健全以基本养老保险为基础，企业</w:t>
      </w:r>
      <w:r>
        <w:rPr>
          <w:rFonts w:ascii="仿宋" w:hAnsi="仿宋" w:eastAsia="仿宋"/>
          <w:sz w:val="32"/>
        </w:rPr>
        <w:t>(职业)年金、个人养老金为补充的多支柱、多层次养老保险制度</w:t>
      </w:r>
      <w:r>
        <w:rPr>
          <w:rFonts w:hint="eastAsia" w:ascii="仿宋" w:hAnsi="仿宋" w:eastAsia="仿宋"/>
          <w:sz w:val="32"/>
        </w:rPr>
        <w:t>，推动个人养老金制度落地和专属商业养老保险试点。持续完善基本医疗保险制度，推进补充医疗保险、商业健康保险、慈善捐赠等各类医疗保障协调发展、有效衔接。完善高龄津贴和经济困难的高龄失能老年人养老服务补贴制度，保障特困老年人基本生活需求。健全养老服务设施建设与运营管理制度，科学编制沙坪坝区养老服务设施“十四五”专项规划，对养老服务设施建设予以支持，完善养老服务设施运营管理机制及养老服务标准化评估体系，根据评估结果调节补助，提升养老服务供给质量。研究制定养老服务人才培训提升行动计划，</w:t>
      </w:r>
      <w:r>
        <w:rPr>
          <w:rFonts w:ascii="仿宋" w:hAnsi="仿宋" w:eastAsia="仿宋"/>
          <w:sz w:val="32"/>
        </w:rPr>
        <w:t>不断提升从业人员服务水平</w:t>
      </w:r>
      <w:r>
        <w:rPr>
          <w:rFonts w:hint="eastAsia" w:ascii="仿宋" w:hAnsi="仿宋" w:eastAsia="仿宋"/>
          <w:sz w:val="32"/>
        </w:rPr>
        <w:t>，推动养老服务人才培训、培养和引进，建立职业技能等级与养老服务人员薪酬待遇挂钩机制，完善养老服务人员的补贴补助制度。</w:t>
      </w:r>
      <w:bookmarkEnd w:id="9"/>
    </w:p>
    <w:p>
      <w:pPr>
        <w:rPr>
          <w:rFonts w:ascii="仿宋" w:hAnsi="仿宋" w:eastAsia="仿宋"/>
          <w:sz w:val="32"/>
          <w:szCs w:val="32"/>
        </w:rPr>
      </w:pPr>
    </w:p>
    <w:p>
      <w:pPr>
        <w:jc w:val="center"/>
        <w:outlineLvl w:val="1"/>
        <w:rPr>
          <w:rFonts w:ascii="仿宋" w:hAnsi="仿宋" w:eastAsia="仿宋" w:cs="Times New Roman"/>
          <w:b/>
          <w:sz w:val="32"/>
        </w:rPr>
      </w:pPr>
      <w:bookmarkStart w:id="10" w:name="_Toc118042931"/>
      <w:r>
        <w:rPr>
          <w:rFonts w:hint="eastAsia" w:ascii="仿宋" w:hAnsi="仿宋" w:eastAsia="仿宋" w:cs="Times New Roman"/>
          <w:b/>
          <w:sz w:val="32"/>
        </w:rPr>
        <w:t xml:space="preserve">第二节 </w:t>
      </w:r>
      <w:r>
        <w:rPr>
          <w:rFonts w:ascii="仿宋" w:hAnsi="仿宋" w:eastAsia="仿宋" w:cs="Times New Roman"/>
          <w:b/>
          <w:sz w:val="32"/>
        </w:rPr>
        <w:t xml:space="preserve"> </w:t>
      </w:r>
      <w:r>
        <w:rPr>
          <w:rFonts w:hint="eastAsia" w:ascii="仿宋" w:hAnsi="仿宋" w:eastAsia="仿宋" w:cs="Times New Roman"/>
          <w:b/>
          <w:sz w:val="32"/>
        </w:rPr>
        <w:t>完善基本养老服务清单制度</w:t>
      </w:r>
      <w:bookmarkEnd w:id="10"/>
    </w:p>
    <w:p>
      <w:pPr>
        <w:ind w:firstLine="640" w:firstLineChars="200"/>
        <w:rPr>
          <w:rFonts w:ascii="仿宋" w:hAnsi="仿宋" w:eastAsia="仿宋" w:cs="Times New Roman"/>
          <w:sz w:val="32"/>
        </w:rPr>
      </w:pPr>
      <w:r>
        <w:rPr>
          <w:rFonts w:hint="eastAsia" w:ascii="仿宋" w:hAnsi="仿宋" w:eastAsia="仿宋" w:cs="Times New Roman"/>
          <w:sz w:val="32"/>
        </w:rPr>
        <w:t>完善基本养老服务的对象、内容和标准，将基本养老服务清单内容纳入基本公共服务范畴，建立沙坪坝区基本养老服务清单动态调整机制。健全老年人能力综合评估制度，探索建立老年人能力与需求综合评估体系，通过政府购买服务等方式，组织开展老年人能力综合评估，到</w:t>
      </w:r>
      <w:r>
        <w:rPr>
          <w:rFonts w:ascii="Times New Roman" w:hAnsi="Times New Roman" w:eastAsia="仿宋" w:cs="Times New Roman"/>
          <w:sz w:val="32"/>
        </w:rPr>
        <w:t>2025</w:t>
      </w:r>
      <w:r>
        <w:rPr>
          <w:rFonts w:hint="eastAsia" w:ascii="仿宋" w:hAnsi="仿宋" w:eastAsia="仿宋" w:cs="Times New Roman"/>
          <w:sz w:val="32"/>
        </w:rPr>
        <w:t>年，实现</w:t>
      </w:r>
      <w:r>
        <w:rPr>
          <w:rFonts w:ascii="Times New Roman" w:hAnsi="Times New Roman" w:eastAsia="仿宋" w:cs="Times New Roman"/>
          <w:sz w:val="32"/>
        </w:rPr>
        <w:t>80</w:t>
      </w:r>
      <w:r>
        <w:rPr>
          <w:rFonts w:hint="eastAsia" w:ascii="仿宋" w:hAnsi="仿宋" w:eastAsia="仿宋" w:cs="Times New Roman"/>
          <w:sz w:val="32"/>
        </w:rPr>
        <w:t>周岁以上老年人能力综合评估全覆盖，推动评估结果跨部门互认、各部门按需使用。推动培育一批综合评估机构和评估队伍，加强能力建设和规范管理，将评估结果作为老年人享受各项福利政策的重要依据。针对健康、失能、经济困难等不同老年人群体，分类提供生活照料、康复照护、社会救助等适宜服务。优先将经济困难的空巢、留守、失能、残疾、高龄老年人以及计划生育特殊困难家庭老年人等纳入基本养老服务保障对象，加大服务供给力度。</w:t>
      </w:r>
    </w:p>
    <w:p>
      <w:pPr>
        <w:pStyle w:val="2"/>
        <w:rPr>
          <w:rFonts w:ascii="仿宋" w:hAnsi="仿宋" w:eastAsia="仿宋"/>
          <w:sz w:val="32"/>
        </w:rPr>
      </w:pPr>
    </w:p>
    <w:p>
      <w:pPr>
        <w:jc w:val="center"/>
        <w:outlineLvl w:val="1"/>
        <w:rPr>
          <w:rFonts w:ascii="仿宋" w:hAnsi="仿宋" w:eastAsia="仿宋" w:cs="Times New Roman"/>
          <w:b/>
          <w:sz w:val="32"/>
        </w:rPr>
      </w:pPr>
      <w:bookmarkStart w:id="11" w:name="_Toc118042932"/>
      <w:r>
        <w:rPr>
          <w:rFonts w:hint="eastAsia" w:ascii="仿宋" w:hAnsi="仿宋" w:eastAsia="仿宋" w:cs="Times New Roman"/>
          <w:b/>
          <w:sz w:val="32"/>
        </w:rPr>
        <w:t xml:space="preserve">第三节 </w:t>
      </w:r>
      <w:r>
        <w:rPr>
          <w:rFonts w:ascii="仿宋" w:hAnsi="仿宋" w:eastAsia="仿宋" w:cs="Times New Roman"/>
          <w:b/>
          <w:sz w:val="32"/>
        </w:rPr>
        <w:t xml:space="preserve"> </w:t>
      </w:r>
      <w:r>
        <w:rPr>
          <w:rFonts w:hint="eastAsia" w:ascii="仿宋" w:hAnsi="仿宋" w:eastAsia="仿宋" w:cs="Times New Roman"/>
          <w:b/>
          <w:sz w:val="32"/>
        </w:rPr>
        <w:t>提升养老服务兜底保障能力</w:t>
      </w:r>
      <w:bookmarkEnd w:id="11"/>
    </w:p>
    <w:p>
      <w:pPr>
        <w:ind w:firstLine="640" w:firstLineChars="200"/>
        <w:rPr>
          <w:rFonts w:ascii="仿宋" w:hAnsi="仿宋" w:eastAsia="仿宋" w:cs="Times New Roman"/>
          <w:sz w:val="32"/>
        </w:rPr>
      </w:pPr>
      <w:r>
        <w:rPr>
          <w:rFonts w:hint="eastAsia" w:ascii="仿宋" w:hAnsi="仿宋" w:eastAsia="仿宋" w:cs="Times New Roman"/>
          <w:sz w:val="32"/>
        </w:rPr>
        <w:t>聚焦老年人兜底保障服务，健全城乡特困老年人供养服务制度，完善基础供养金动态调整机制，保障特困老年人基本生活需求，健全高龄津贴和经济困难高龄失能老年人养老服务补贴制度。完善特困老年人探访关爱机制，推广“土洋结合”形式，通过网格员、楼栋长、党小组长、社区工作者、社区志愿者等为老年人提供常态化关怀，运用现代智能手段、智能设备提升老年人照护质量。强化公办养老机构兜底保障功能，根据失能特困老年人的数量和集中照护意愿，依托区社会福利护养中心集中供养全区失能特困老年人，充分发挥公办养老机构的兜底作用，做到“应护尽护”。</w:t>
      </w:r>
      <w:bookmarkStart w:id="12" w:name="_Hlk114497774"/>
      <w:r>
        <w:rPr>
          <w:rFonts w:hint="eastAsia" w:ascii="仿宋" w:hAnsi="仿宋" w:eastAsia="仿宋" w:cs="Times New Roman"/>
          <w:sz w:val="32"/>
        </w:rPr>
        <w:t>鼓励公办养老机构优先接收经</w:t>
      </w:r>
      <w:r>
        <w:rPr>
          <w:rFonts w:ascii="仿宋" w:hAnsi="仿宋" w:eastAsia="仿宋" w:cs="Times New Roman"/>
          <w:sz w:val="32"/>
        </w:rPr>
        <w:t>济困难的失能、孤寡、残疾、高龄老年人以及特殊家庭老年人、为社会作出重要贡献的老年人，并提供符合质量和安全标准的养老服务</w:t>
      </w:r>
      <w:r>
        <w:rPr>
          <w:rFonts w:hint="eastAsia" w:ascii="仿宋" w:hAnsi="仿宋" w:eastAsia="仿宋" w:cs="Times New Roman"/>
          <w:sz w:val="32"/>
        </w:rPr>
        <w:t>。</w:t>
      </w:r>
      <w:bookmarkEnd w:id="12"/>
      <w:r>
        <w:rPr>
          <w:rFonts w:hint="eastAsia" w:ascii="仿宋" w:hAnsi="仿宋" w:eastAsia="仿宋" w:cs="Times New Roman"/>
          <w:sz w:val="32"/>
        </w:rPr>
        <w:t>建立公办养老机构入住评估轮候制度，明确社会老年人轮候条件和排序入住原则。</w:t>
      </w:r>
    </w:p>
    <w:p>
      <w:pPr>
        <w:pStyle w:val="2"/>
        <w:rPr>
          <w:rFonts w:ascii="仿宋" w:hAnsi="仿宋" w:eastAsia="仿宋"/>
          <w:sz w:val="32"/>
        </w:rPr>
      </w:pPr>
    </w:p>
    <w:p>
      <w:pPr>
        <w:jc w:val="center"/>
        <w:outlineLvl w:val="1"/>
        <w:rPr>
          <w:rFonts w:ascii="仿宋" w:hAnsi="仿宋" w:eastAsia="仿宋" w:cs="Times New Roman"/>
          <w:b/>
          <w:sz w:val="32"/>
        </w:rPr>
      </w:pPr>
      <w:bookmarkStart w:id="13" w:name="_Toc118042933"/>
      <w:r>
        <w:rPr>
          <w:rFonts w:hint="eastAsia" w:ascii="仿宋" w:hAnsi="仿宋" w:eastAsia="仿宋" w:cs="Times New Roman"/>
          <w:b/>
          <w:sz w:val="32"/>
        </w:rPr>
        <w:t xml:space="preserve">第四节 </w:t>
      </w:r>
      <w:r>
        <w:rPr>
          <w:rFonts w:ascii="仿宋" w:hAnsi="仿宋" w:eastAsia="仿宋" w:cs="Times New Roman"/>
          <w:b/>
          <w:sz w:val="32"/>
        </w:rPr>
        <w:t xml:space="preserve"> </w:t>
      </w:r>
      <w:r>
        <w:rPr>
          <w:rFonts w:hint="eastAsia" w:ascii="仿宋" w:hAnsi="仿宋" w:eastAsia="仿宋" w:cs="Times New Roman"/>
          <w:b/>
          <w:sz w:val="32"/>
        </w:rPr>
        <w:t>健全长期护理保险制度</w:t>
      </w:r>
      <w:bookmarkEnd w:id="13"/>
    </w:p>
    <w:p>
      <w:pPr>
        <w:ind w:firstLine="640" w:firstLineChars="200"/>
        <w:rPr>
          <w:rFonts w:ascii="仿宋" w:hAnsi="仿宋" w:eastAsia="仿宋" w:cs="Times New Roman"/>
          <w:sz w:val="32"/>
        </w:rPr>
      </w:pPr>
      <w:r>
        <w:rPr>
          <w:rFonts w:hint="eastAsia" w:ascii="仿宋" w:hAnsi="仿宋" w:eastAsia="仿宋" w:cs="Times New Roman"/>
          <w:sz w:val="32"/>
        </w:rPr>
        <w:t>稳妥推进</w:t>
      </w:r>
      <w:r>
        <w:rPr>
          <w:rFonts w:ascii="仿宋" w:hAnsi="仿宋" w:eastAsia="仿宋" w:cs="Times New Roman"/>
          <w:sz w:val="32"/>
        </w:rPr>
        <w:t>长期护理保险制度试点，完善相关政策和管理机制，制定长期护理保险基本保障项目清单，合理确定待遇保障范围和基金支付水平，推动将护理院（中心、站）纳入长期护理保险服务机构定点范围</w:t>
      </w:r>
      <w:r>
        <w:rPr>
          <w:rFonts w:hint="eastAsia" w:ascii="仿宋" w:hAnsi="仿宋" w:eastAsia="仿宋" w:cs="Times New Roman"/>
          <w:sz w:val="32"/>
        </w:rPr>
        <w:t>。健全老年人长期护理保险与老年人服务补贴、社会救助、社会福利等制度的衔接，提高老年人长期护理支付能力。优化长期护理保险资金筹措、评估体系和服务享受政策举措，加大对重度失能、中度失能和失智老年人的长期护理支持力度。发展商业护理保险市场，鼓励商业保险机构开发商业性长期护理保险产品，支持商业护理保险与长</w:t>
      </w:r>
      <w:r>
        <w:rPr>
          <w:rFonts w:ascii="仿宋" w:hAnsi="仿宋" w:eastAsia="仿宋" w:cs="Times New Roman"/>
          <w:sz w:val="32"/>
        </w:rPr>
        <w:t>期</w:t>
      </w:r>
      <w:r>
        <w:rPr>
          <w:rFonts w:hint="eastAsia" w:ascii="仿宋" w:hAnsi="仿宋" w:eastAsia="仿宋" w:cs="Times New Roman"/>
          <w:sz w:val="32"/>
        </w:rPr>
        <w:t>护理</w:t>
      </w:r>
      <w:r>
        <w:rPr>
          <w:rFonts w:ascii="仿宋" w:hAnsi="仿宋" w:eastAsia="仿宋" w:cs="Times New Roman"/>
          <w:sz w:val="32"/>
        </w:rPr>
        <w:t>保险相结合，满足老年人多样化</w:t>
      </w:r>
      <w:r>
        <w:rPr>
          <w:rFonts w:hint="eastAsia" w:ascii="仿宋" w:hAnsi="仿宋" w:eastAsia="仿宋" w:cs="Times New Roman"/>
          <w:sz w:val="32"/>
        </w:rPr>
        <w:t>、</w:t>
      </w:r>
      <w:r>
        <w:rPr>
          <w:rFonts w:ascii="仿宋" w:hAnsi="仿宋" w:eastAsia="仿宋" w:cs="Times New Roman"/>
          <w:sz w:val="32"/>
        </w:rPr>
        <w:t>多层次的长期护理保障需求。</w:t>
      </w:r>
    </w:p>
    <w:p>
      <w:pPr>
        <w:jc w:val="center"/>
        <w:rPr>
          <w:rFonts w:ascii="黑体" w:hAnsi="黑体" w:eastAsia="黑体"/>
          <w:sz w:val="32"/>
        </w:rPr>
      </w:pPr>
      <w:r>
        <w:rPr>
          <w:rFonts w:hint="eastAsia" w:ascii="黑体" w:hAnsi="黑体" w:eastAsia="黑体"/>
          <w:sz w:val="32"/>
        </w:rPr>
        <w:t>专栏</w:t>
      </w:r>
      <w:r>
        <w:rPr>
          <w:rFonts w:ascii="Times New Roman" w:hAnsi="Times New Roman" w:eastAsia="黑体" w:cs="Times New Roman"/>
          <w:sz w:val="32"/>
        </w:rPr>
        <w:t>2</w:t>
      </w:r>
      <w:r>
        <w:rPr>
          <w:rFonts w:ascii="黑体" w:hAnsi="黑体" w:eastAsia="黑体" w:cs="Times New Roman"/>
          <w:sz w:val="32"/>
        </w:rPr>
        <w:t xml:space="preserve"> </w:t>
      </w:r>
      <w:r>
        <w:rPr>
          <w:rFonts w:hint="eastAsia" w:ascii="黑体" w:hAnsi="黑体" w:eastAsia="黑体"/>
          <w:sz w:val="32"/>
        </w:rPr>
        <w:t>养老服务制度体系建设重点内容</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spacing w:line="400" w:lineRule="exact"/>
              <w:ind w:firstLine="482" w:firstLineChars="200"/>
              <w:rPr>
                <w:rFonts w:ascii="仿宋" w:hAnsi="仿宋" w:eastAsia="仿宋"/>
                <w:bCs/>
                <w:sz w:val="24"/>
              </w:rPr>
            </w:pPr>
            <w:r>
              <w:rPr>
                <w:rFonts w:hint="eastAsia" w:ascii="仿宋" w:hAnsi="仿宋" w:eastAsia="仿宋"/>
                <w:b/>
                <w:sz w:val="24"/>
              </w:rPr>
              <w:t>养老服务设施规范制度。</w:t>
            </w:r>
            <w:r>
              <w:rPr>
                <w:rFonts w:hint="eastAsia" w:ascii="仿宋" w:hAnsi="仿宋" w:eastAsia="仿宋"/>
                <w:bCs/>
                <w:sz w:val="24"/>
              </w:rPr>
              <w:t>拟出台《养老服务设施和养老服务标准化评估体系》《沙坪坝区小区养老服务点建设及管理运营机制》，修订《沙坪坝区养老服务中心（站）运营管理办法》《沙坪坝区养老服务中心（站）运营评估实施细则》，完善养老服务设施建设与运营管理评估制度，尤其是街道养老服务中心与社区养老服务站的运营与评估机制，提升养老服务供给质量。</w:t>
            </w:r>
          </w:p>
          <w:p>
            <w:pPr>
              <w:spacing w:line="400" w:lineRule="exact"/>
              <w:ind w:firstLine="482" w:firstLineChars="200"/>
              <w:rPr>
                <w:rFonts w:ascii="仿宋" w:hAnsi="仿宋" w:eastAsia="仿宋"/>
                <w:bCs/>
                <w:sz w:val="24"/>
              </w:rPr>
            </w:pPr>
            <w:r>
              <w:rPr>
                <w:rFonts w:hint="eastAsia" w:ascii="仿宋" w:hAnsi="仿宋" w:eastAsia="仿宋"/>
                <w:b/>
                <w:sz w:val="24"/>
              </w:rPr>
              <w:t>居家养老服务质量管理制度。</w:t>
            </w:r>
            <w:r>
              <w:rPr>
                <w:rFonts w:hint="eastAsia" w:ascii="仿宋" w:hAnsi="仿宋" w:eastAsia="仿宋"/>
                <w:bCs/>
                <w:sz w:val="24"/>
              </w:rPr>
              <w:t>拟出台《沙坪坝区居家养老上门服务质量管理流程规范》《沙坪坝区居家养老服务管理指南》，支持提供心理咨询、精神慰藉、助餐、助洁、助浴、助医等</w:t>
            </w:r>
            <w:r>
              <w:rPr>
                <w:rFonts w:ascii="Times New Roman" w:hAnsi="Times New Roman" w:eastAsia="仿宋" w:cs="Times New Roman"/>
                <w:bCs/>
                <w:sz w:val="24"/>
              </w:rPr>
              <w:t>23</w:t>
            </w:r>
            <w:r>
              <w:rPr>
                <w:rFonts w:ascii="仿宋" w:hAnsi="仿宋" w:eastAsia="仿宋"/>
                <w:bCs/>
                <w:sz w:val="24"/>
              </w:rPr>
              <w:t>项专业化服务</w:t>
            </w:r>
            <w:r>
              <w:rPr>
                <w:rFonts w:hint="eastAsia" w:ascii="仿宋" w:hAnsi="仿宋" w:eastAsia="仿宋"/>
                <w:bCs/>
                <w:sz w:val="24"/>
              </w:rPr>
              <w:t>，</w:t>
            </w:r>
            <w:r>
              <w:rPr>
                <w:rFonts w:ascii="仿宋" w:hAnsi="仿宋" w:eastAsia="仿宋"/>
                <w:bCs/>
                <w:sz w:val="24"/>
              </w:rPr>
              <w:t>严格落实特困、低保、残疾、重病等重点独居老年人“一人一策”关爱计划，</w:t>
            </w:r>
            <w:r>
              <w:rPr>
                <w:rFonts w:hint="eastAsia" w:ascii="仿宋" w:hAnsi="仿宋" w:eastAsia="仿宋"/>
                <w:bCs/>
                <w:sz w:val="24"/>
              </w:rPr>
              <w:t>促进居家养老服务规范化与专业化</w:t>
            </w:r>
            <w:r>
              <w:rPr>
                <w:rFonts w:ascii="仿宋" w:hAnsi="仿宋" w:eastAsia="仿宋"/>
                <w:bCs/>
                <w:sz w:val="24"/>
              </w:rPr>
              <w:t>。</w:t>
            </w:r>
          </w:p>
          <w:p>
            <w:pPr>
              <w:spacing w:line="400" w:lineRule="exact"/>
              <w:ind w:firstLine="482" w:firstLineChars="200"/>
              <w:rPr>
                <w:rFonts w:ascii="仿宋" w:hAnsi="仿宋" w:eastAsia="仿宋"/>
                <w:bCs/>
                <w:sz w:val="24"/>
              </w:rPr>
            </w:pPr>
            <w:r>
              <w:rPr>
                <w:rFonts w:hint="eastAsia" w:ascii="仿宋" w:hAnsi="仿宋" w:eastAsia="仿宋"/>
                <w:b/>
                <w:sz w:val="24"/>
              </w:rPr>
              <w:t>老年人能力评估制度。</w:t>
            </w:r>
            <w:r>
              <w:rPr>
                <w:rFonts w:hint="eastAsia" w:ascii="仿宋" w:hAnsi="仿宋" w:eastAsia="仿宋"/>
                <w:bCs/>
                <w:sz w:val="24"/>
              </w:rPr>
              <w:t>拟订《老年人能力与需求综合评估体系》《老年人家庭照护能力和支付能力等评估体系》，对老年人综合能力及家庭情况进行评估，为不同老年人群体分类提供生活照料、康复护理、文化娱乐等服务。</w:t>
            </w:r>
          </w:p>
          <w:p>
            <w:pPr>
              <w:spacing w:line="400" w:lineRule="exact"/>
              <w:ind w:firstLine="482" w:firstLineChars="200"/>
              <w:rPr>
                <w:rFonts w:ascii="仿宋" w:hAnsi="仿宋" w:eastAsia="仿宋"/>
                <w:bCs/>
                <w:sz w:val="24"/>
              </w:rPr>
            </w:pPr>
            <w:r>
              <w:rPr>
                <w:rFonts w:hint="eastAsia" w:ascii="仿宋" w:hAnsi="仿宋" w:eastAsia="仿宋"/>
                <w:b/>
                <w:sz w:val="24"/>
              </w:rPr>
              <w:t>养老服务人才队伍培育制度。</w:t>
            </w:r>
            <w:r>
              <w:rPr>
                <w:rFonts w:hint="eastAsia" w:ascii="仿宋" w:hAnsi="仿宋" w:eastAsia="仿宋"/>
                <w:bCs/>
                <w:sz w:val="24"/>
              </w:rPr>
              <w:t>拟订《沙坪坝区养老服务人才培训提升行动计划》《沙坪坝区加强养老服务人才队伍建设的实施意见》《沙坪坝区养老服务培训专家库管理及补助机制》《沙坪坝区养老服务人才促进就业机制》《沙坪坝区养老护理员就业补贴和岗位补贴实施方案（试行）》，完善养老服务人才培养</w:t>
            </w:r>
            <w:r>
              <w:rPr>
                <w:rFonts w:ascii="仿宋" w:hAnsi="仿宋" w:eastAsia="仿宋"/>
                <w:bCs/>
                <w:sz w:val="24"/>
              </w:rPr>
              <w:t>与</w:t>
            </w:r>
            <w:r>
              <w:rPr>
                <w:rFonts w:hint="eastAsia" w:ascii="仿宋" w:hAnsi="仿宋" w:eastAsia="仿宋"/>
                <w:bCs/>
                <w:sz w:val="24"/>
              </w:rPr>
              <w:t>激励机制。</w:t>
            </w:r>
          </w:p>
        </w:tc>
      </w:tr>
    </w:tbl>
    <w:p>
      <w:pPr>
        <w:rPr>
          <w:rFonts w:ascii="仿宋" w:hAnsi="仿宋" w:eastAsia="仿宋"/>
          <w:sz w:val="32"/>
        </w:rPr>
      </w:pPr>
    </w:p>
    <w:p>
      <w:pPr>
        <w:rPr>
          <w:rFonts w:ascii="仿宋" w:hAnsi="仿宋" w:eastAsia="仿宋"/>
          <w:sz w:val="32"/>
        </w:rPr>
      </w:pPr>
    </w:p>
    <w:p>
      <w:pPr>
        <w:jc w:val="center"/>
        <w:outlineLvl w:val="0"/>
        <w:rPr>
          <w:rFonts w:ascii="黑体" w:hAnsi="黑体" w:eastAsia="黑体" w:cs="Times New Roman"/>
          <w:sz w:val="32"/>
        </w:rPr>
      </w:pPr>
      <w:bookmarkStart w:id="14" w:name="_Toc118042934"/>
      <w:r>
        <w:rPr>
          <w:rFonts w:hint="eastAsia" w:ascii="黑体" w:hAnsi="黑体" w:eastAsia="黑体" w:cs="Times New Roman"/>
          <w:sz w:val="32"/>
        </w:rPr>
        <w:t xml:space="preserve">第四章 </w:t>
      </w:r>
      <w:r>
        <w:rPr>
          <w:rFonts w:ascii="黑体" w:hAnsi="黑体" w:eastAsia="黑体" w:cs="Times New Roman"/>
          <w:sz w:val="32"/>
        </w:rPr>
        <w:t xml:space="preserve"> </w:t>
      </w:r>
      <w:r>
        <w:rPr>
          <w:rFonts w:hint="eastAsia" w:ascii="黑体" w:hAnsi="黑体" w:eastAsia="黑体" w:cs="Times New Roman"/>
          <w:sz w:val="32"/>
        </w:rPr>
        <w:t>增强社区居家养老服务能力</w:t>
      </w:r>
      <w:bookmarkEnd w:id="14"/>
    </w:p>
    <w:p>
      <w:pPr>
        <w:tabs>
          <w:tab w:val="right" w:leader="dot" w:pos="8834"/>
        </w:tabs>
        <w:spacing w:line="579" w:lineRule="exact"/>
        <w:textAlignment w:val="center"/>
        <w:rPr>
          <w:rFonts w:ascii="仿宋" w:hAnsi="仿宋" w:eastAsia="仿宋" w:cs="Times New Roman"/>
          <w:color w:val="000000"/>
          <w:sz w:val="32"/>
        </w:rPr>
      </w:pPr>
    </w:p>
    <w:p>
      <w:pPr>
        <w:jc w:val="center"/>
        <w:outlineLvl w:val="1"/>
        <w:rPr>
          <w:rFonts w:ascii="仿宋" w:hAnsi="仿宋" w:eastAsia="仿宋" w:cs="Times New Roman"/>
          <w:b/>
          <w:sz w:val="32"/>
        </w:rPr>
      </w:pPr>
      <w:bookmarkStart w:id="15" w:name="_Toc118042935"/>
      <w:r>
        <w:rPr>
          <w:rFonts w:hint="eastAsia" w:ascii="仿宋" w:hAnsi="仿宋" w:eastAsia="仿宋" w:cs="Times New Roman"/>
          <w:b/>
          <w:sz w:val="32"/>
        </w:rPr>
        <w:t xml:space="preserve">第一节 </w:t>
      </w:r>
      <w:r>
        <w:rPr>
          <w:rFonts w:ascii="仿宋" w:hAnsi="仿宋" w:eastAsia="仿宋" w:cs="Times New Roman"/>
          <w:b/>
          <w:sz w:val="32"/>
        </w:rPr>
        <w:t xml:space="preserve"> </w:t>
      </w:r>
      <w:r>
        <w:rPr>
          <w:rFonts w:hint="eastAsia" w:ascii="仿宋" w:hAnsi="仿宋" w:eastAsia="仿宋" w:cs="Times New Roman"/>
          <w:b/>
          <w:sz w:val="32"/>
        </w:rPr>
        <w:t>织密社区居家养老服务网络</w:t>
      </w:r>
      <w:bookmarkEnd w:id="15"/>
    </w:p>
    <w:p>
      <w:pPr>
        <w:ind w:firstLine="640" w:firstLineChars="200"/>
        <w:rPr>
          <w:rFonts w:ascii="仿宋" w:hAnsi="仿宋" w:eastAsia="仿宋" w:cs="Times New Roman"/>
          <w:bCs/>
          <w:sz w:val="32"/>
        </w:rPr>
      </w:pPr>
      <w:r>
        <w:rPr>
          <w:rFonts w:hint="eastAsia" w:ascii="仿宋" w:hAnsi="仿宋" w:eastAsia="仿宋" w:cs="Times New Roman"/>
          <w:bCs/>
          <w:sz w:val="32"/>
        </w:rPr>
        <w:t>增强社区养老设施运营能力。促进街道养老服务中心、社区养老服务站等社区养老服务设施的规范化、适老化、实用化，提升社区养老服务设施使用率，促进社区居家养老服务有效覆盖</w:t>
      </w:r>
      <w:r>
        <w:rPr>
          <w:rFonts w:ascii="仿宋" w:hAnsi="仿宋" w:eastAsia="仿宋" w:cs="Times New Roman"/>
          <w:bCs/>
          <w:sz w:val="32"/>
        </w:rPr>
        <w:t>。</w:t>
      </w:r>
      <w:bookmarkStart w:id="16" w:name="_Hlk114410634"/>
      <w:r>
        <w:rPr>
          <w:rFonts w:hint="eastAsia" w:ascii="仿宋" w:hAnsi="仿宋" w:eastAsia="仿宋" w:cs="Times New Roman"/>
          <w:bCs/>
          <w:sz w:val="32"/>
        </w:rPr>
        <w:t>健全养老服务联席会议机制，与国土空间规划充分衔接</w:t>
      </w:r>
      <w:bookmarkEnd w:id="16"/>
      <w:r>
        <w:rPr>
          <w:rFonts w:hint="eastAsia" w:ascii="仿宋" w:hAnsi="仿宋" w:eastAsia="仿宋" w:cs="Times New Roman"/>
          <w:bCs/>
          <w:sz w:val="32"/>
        </w:rPr>
        <w:t>，严格落实新建小区配套建设养老服务设施规划、建设、验收、交付“四同步”，通过政府租赁、委托管理等方式加强老旧小区设施保障。探索在有条件的城市住宅小区，依托小区配套用房、物业服务用房等设施，新建</w:t>
      </w:r>
      <w:r>
        <w:rPr>
          <w:rFonts w:ascii="Times New Roman" w:hAnsi="Times New Roman" w:eastAsia="仿宋" w:cs="Times New Roman"/>
          <w:bCs/>
          <w:sz w:val="32"/>
        </w:rPr>
        <w:t>200</w:t>
      </w:r>
      <w:r>
        <w:rPr>
          <w:rFonts w:ascii="仿宋" w:hAnsi="仿宋" w:eastAsia="仿宋" w:cs="Times New Roman"/>
          <w:bCs/>
          <w:sz w:val="32"/>
        </w:rPr>
        <w:t>个小区养老服务点</w:t>
      </w:r>
      <w:r>
        <w:rPr>
          <w:rFonts w:hint="eastAsia" w:ascii="仿宋" w:hAnsi="仿宋" w:eastAsia="仿宋" w:cs="Times New Roman"/>
          <w:bCs/>
          <w:sz w:val="32"/>
        </w:rPr>
        <w:t>，建立健全小区养老服务点管理运营机制</w:t>
      </w:r>
      <w:r>
        <w:rPr>
          <w:rFonts w:ascii="仿宋" w:hAnsi="仿宋" w:eastAsia="仿宋" w:cs="Times New Roman"/>
          <w:bCs/>
          <w:sz w:val="32"/>
        </w:rPr>
        <w:t>。</w:t>
      </w:r>
      <w:r>
        <w:rPr>
          <w:rFonts w:hint="eastAsia" w:ascii="仿宋" w:hAnsi="仿宋" w:eastAsia="仿宋" w:cs="Times New Roman"/>
          <w:bCs/>
          <w:sz w:val="32"/>
        </w:rPr>
        <w:t>推动居家、社区和机构养老融合发展，强化家庭养老基础性作用，突出站点的枢纽功能，完善“街道养老服务中心</w:t>
      </w:r>
      <w:r>
        <w:rPr>
          <w:rFonts w:ascii="仿宋" w:hAnsi="仿宋" w:eastAsia="仿宋" w:cs="Times New Roman"/>
          <w:bCs/>
          <w:sz w:val="32"/>
        </w:rPr>
        <w:t>+社区养老服务站+小区养老服务点”三级服务网络。</w:t>
      </w:r>
      <w:r>
        <w:rPr>
          <w:rFonts w:hint="eastAsia" w:ascii="仿宋" w:hAnsi="仿宋" w:eastAsia="仿宋" w:cs="Times New Roman"/>
          <w:bCs/>
          <w:sz w:val="32"/>
        </w:rPr>
        <w:t>继续打造“一网双在三有”特色化养老服务体系，编织“一张网”，实现“硬件布局”全覆盖，紧盯“在社区在乡村”的“双在”目标，聚焦“政策有力、安全监管有力、慈善公益有力”的“三有”举措。</w:t>
      </w:r>
    </w:p>
    <w:p>
      <w:pPr>
        <w:ind w:firstLine="640" w:firstLineChars="200"/>
        <w:rPr>
          <w:rFonts w:ascii="仿宋" w:hAnsi="仿宋" w:eastAsia="仿宋" w:cs="Times New Roman"/>
          <w:bCs/>
          <w:sz w:val="32"/>
        </w:rPr>
      </w:pPr>
      <w:r>
        <w:rPr>
          <w:rFonts w:hint="eastAsia" w:ascii="仿宋" w:hAnsi="仿宋" w:eastAsia="仿宋" w:cs="Times New Roman"/>
          <w:bCs/>
          <w:sz w:val="32"/>
        </w:rPr>
        <w:t>提升社区居家养老服务质量。完善社区养老服务设施生活照料、文化教育、精神慰藉、短期托养等功能，为老年人提供专业化、亲情化、全方位的社区居家养老服务。健全特殊困难老年人关爱体系，分类分级做好摸排建档、入户探访、生活照料等关爱照护服务。创新“专享、乐享、优享”三档居家养老服务包，“菜单式”罗列养老服务项目、市场收费、中心（站）收费、优惠方式等，推广社区居家养老“点菜式”“组织式”等嵌入式服务方式。推行“八助”养老服务，大力发展助餐、助浴、助洁、助娱、助智、助行、助购、助息等服务，探索开展“中央厨房</w:t>
      </w:r>
      <w:r>
        <w:rPr>
          <w:rFonts w:ascii="仿宋" w:hAnsi="仿宋" w:eastAsia="仿宋" w:cs="Times New Roman"/>
          <w:bCs/>
          <w:sz w:val="32"/>
        </w:rPr>
        <w:t>+社区配送+集中就餐”助餐服务</w:t>
      </w:r>
      <w:r>
        <w:rPr>
          <w:rFonts w:hint="eastAsia" w:ascii="仿宋" w:hAnsi="仿宋" w:eastAsia="仿宋" w:cs="Times New Roman"/>
          <w:bCs/>
          <w:sz w:val="32"/>
        </w:rPr>
        <w:t>模式。加强“五社联动”，大力培养养老志愿者队伍，积极探索“时间银行”、互助养老、“物业服务+养老”等形式多样的养老服务模式。继续推进“互联网</w:t>
      </w:r>
      <w:r>
        <w:rPr>
          <w:rFonts w:ascii="仿宋" w:hAnsi="仿宋" w:eastAsia="仿宋" w:cs="Times New Roman"/>
          <w:bCs/>
          <w:sz w:val="32"/>
        </w:rPr>
        <w:t>+养老”服务，开发应用社区居家“养老服务地图”，</w:t>
      </w:r>
      <w:r>
        <w:rPr>
          <w:rFonts w:hint="eastAsia" w:ascii="仿宋" w:hAnsi="仿宋" w:eastAsia="仿宋" w:cs="Times New Roman"/>
          <w:bCs/>
          <w:sz w:val="32"/>
        </w:rPr>
        <w:t>完善社区养老紧急救援系统，</w:t>
      </w:r>
      <w:r>
        <w:rPr>
          <w:rFonts w:ascii="仿宋" w:hAnsi="仿宋" w:eastAsia="仿宋" w:cs="Times New Roman"/>
          <w:bCs/>
          <w:sz w:val="32"/>
        </w:rPr>
        <w:t>打造“一网覆盖、一体服务”社区居家智慧养老服务生活圈</w:t>
      </w:r>
      <w:r>
        <w:rPr>
          <w:rFonts w:hint="eastAsia" w:ascii="仿宋" w:hAnsi="仿宋" w:eastAsia="仿宋" w:cs="Times New Roman"/>
          <w:bCs/>
          <w:sz w:val="32"/>
        </w:rPr>
        <w:t>。</w:t>
      </w:r>
    </w:p>
    <w:p>
      <w:pPr>
        <w:rPr>
          <w:rFonts w:ascii="仿宋" w:hAnsi="仿宋" w:eastAsia="仿宋" w:cs="Times New Roman"/>
          <w:sz w:val="32"/>
        </w:rPr>
      </w:pPr>
    </w:p>
    <w:p>
      <w:pPr>
        <w:jc w:val="center"/>
        <w:outlineLvl w:val="1"/>
        <w:rPr>
          <w:rFonts w:ascii="仿宋" w:hAnsi="仿宋" w:eastAsia="仿宋" w:cs="Times New Roman"/>
          <w:b/>
          <w:sz w:val="32"/>
        </w:rPr>
      </w:pPr>
      <w:bookmarkStart w:id="17" w:name="_Toc118042936"/>
      <w:r>
        <w:rPr>
          <w:rFonts w:hint="eastAsia" w:ascii="仿宋" w:hAnsi="仿宋" w:eastAsia="仿宋" w:cs="Times New Roman"/>
          <w:b/>
          <w:sz w:val="32"/>
        </w:rPr>
        <w:t xml:space="preserve">第二节 </w:t>
      </w:r>
      <w:r>
        <w:rPr>
          <w:rFonts w:ascii="仿宋" w:hAnsi="仿宋" w:eastAsia="仿宋" w:cs="Times New Roman"/>
          <w:b/>
          <w:sz w:val="32"/>
        </w:rPr>
        <w:t xml:space="preserve"> </w:t>
      </w:r>
      <w:r>
        <w:rPr>
          <w:rFonts w:hint="eastAsia" w:ascii="仿宋" w:hAnsi="仿宋" w:eastAsia="仿宋" w:cs="Times New Roman"/>
          <w:b/>
          <w:sz w:val="32"/>
        </w:rPr>
        <w:t>推动社区养老服务设施社会化运营</w:t>
      </w:r>
      <w:bookmarkEnd w:id="17"/>
    </w:p>
    <w:p>
      <w:pPr>
        <w:ind w:firstLine="640" w:firstLineChars="200"/>
        <w:rPr>
          <w:rFonts w:ascii="仿宋" w:hAnsi="仿宋" w:eastAsia="仿宋" w:cs="Times New Roman"/>
          <w:sz w:val="32"/>
        </w:rPr>
      </w:pPr>
      <w:r>
        <w:rPr>
          <w:rFonts w:hint="eastAsia" w:ascii="仿宋" w:hAnsi="仿宋" w:eastAsia="仿宋" w:cs="Times New Roman"/>
          <w:sz w:val="32"/>
        </w:rPr>
        <w:t>继续推进养老服务市场化，鼓励采取贷款贴息、以奖代补、投资入股、小额贷款、项目补贴等方式，撬动社会资本增加建设营运资金投入，吸引社会专业力量参与社区居家养老服务，形成“政府主导、市场运作、社会参与”的保障格局。严格落实社区养老服务设施补助实施细则、运营管理办法和评估实施细则，规范社区养老服务设施社会化运营管理。原则上所有城市养老服务中心应由养老机构运营，采取“中心带站”运营模式，提供“机构进社区、服务进家庭”全链条标准化服务。创新推动公建民营、民办公助等运营方式，促进养老机构专业化发展，实现养老服务质量提档升级。支持鼓励社区养老服务设施承接主体整合服务资源，不断延伸养老服务供给链条，向家庭提供生活照护、康复护理、精神慰藉、紧急救援等专业服务，提升社区居家养老服务质量。出台社区居家养老服务可持续发展扶持优惠政策、运营管理制度，打造社区居家养老服务本土品牌，引导养老服务设施专业化、综合化、连锁化、品牌化运行。</w:t>
      </w:r>
    </w:p>
    <w:p>
      <w:pPr>
        <w:rPr>
          <w:rFonts w:ascii="仿宋" w:hAnsi="仿宋" w:eastAsia="仿宋" w:cs="Times New Roman"/>
          <w:sz w:val="32"/>
        </w:rPr>
      </w:pPr>
    </w:p>
    <w:p>
      <w:pPr>
        <w:jc w:val="center"/>
        <w:outlineLvl w:val="1"/>
        <w:rPr>
          <w:rFonts w:ascii="仿宋" w:hAnsi="仿宋" w:eastAsia="仿宋" w:cs="Times New Roman"/>
          <w:b/>
          <w:sz w:val="32"/>
        </w:rPr>
      </w:pPr>
      <w:bookmarkStart w:id="18" w:name="_Toc118042937"/>
      <w:r>
        <w:rPr>
          <w:rFonts w:hint="eastAsia" w:ascii="仿宋" w:hAnsi="仿宋" w:eastAsia="仿宋" w:cs="Times New Roman"/>
          <w:b/>
          <w:sz w:val="32"/>
        </w:rPr>
        <w:t xml:space="preserve">第三节 </w:t>
      </w:r>
      <w:r>
        <w:rPr>
          <w:rFonts w:ascii="仿宋" w:hAnsi="仿宋" w:eastAsia="仿宋" w:cs="Times New Roman"/>
          <w:b/>
          <w:sz w:val="32"/>
        </w:rPr>
        <w:t xml:space="preserve"> </w:t>
      </w:r>
      <w:r>
        <w:rPr>
          <w:rFonts w:hint="eastAsia" w:ascii="仿宋" w:hAnsi="仿宋" w:eastAsia="仿宋" w:cs="Times New Roman"/>
          <w:b/>
          <w:sz w:val="32"/>
        </w:rPr>
        <w:t>积极发展家庭养老照护床位</w:t>
      </w:r>
      <w:bookmarkEnd w:id="18"/>
    </w:p>
    <w:p>
      <w:pPr>
        <w:ind w:firstLine="640" w:firstLineChars="200"/>
        <w:rPr>
          <w:rFonts w:ascii="仿宋" w:hAnsi="仿宋" w:eastAsia="仿宋" w:cs="Times New Roman"/>
          <w:sz w:val="32"/>
        </w:rPr>
      </w:pPr>
      <w:r>
        <w:rPr>
          <w:rFonts w:hint="eastAsia" w:ascii="仿宋" w:hAnsi="仿宋" w:eastAsia="仿宋" w:cs="Times New Roman"/>
          <w:sz w:val="32"/>
        </w:rPr>
        <w:t>继续推动落实《沙坪坝区开展家庭养老床位服务试点实施方案》，通过对老年人家庭进行适老化改造、智能化改造、床位实时监测，将专业照护服务延伸至失能、部分失能老年人家中。实施智能呼叫设备、烟感气感探测器必建，护理床、适老化改造等选建的“</w:t>
      </w:r>
      <w:r>
        <w:rPr>
          <w:rFonts w:ascii="Times New Roman" w:hAnsi="Times New Roman" w:eastAsia="仿宋" w:cs="Times New Roman"/>
          <w:sz w:val="32"/>
        </w:rPr>
        <w:t>3</w:t>
      </w:r>
      <w:r>
        <w:rPr>
          <w:rFonts w:ascii="仿宋" w:hAnsi="仿宋" w:eastAsia="仿宋" w:cs="Times New Roman"/>
          <w:sz w:val="32"/>
        </w:rPr>
        <w:t>+</w:t>
      </w:r>
      <w:r>
        <w:rPr>
          <w:rFonts w:ascii="Times New Roman" w:hAnsi="Times New Roman" w:eastAsia="仿宋" w:cs="Times New Roman"/>
          <w:sz w:val="32"/>
        </w:rPr>
        <w:t>N</w:t>
      </w:r>
      <w:r>
        <w:rPr>
          <w:rFonts w:ascii="仿宋" w:hAnsi="仿宋" w:eastAsia="仿宋" w:cs="Times New Roman"/>
          <w:sz w:val="32"/>
        </w:rPr>
        <w:t>”建设模式，推行建设及服务费用“自付一成、补助九成”，探索推进补助退坡机制</w:t>
      </w:r>
      <w:r>
        <w:rPr>
          <w:rFonts w:hint="eastAsia" w:ascii="仿宋" w:hAnsi="仿宋" w:eastAsia="仿宋" w:cs="Times New Roman"/>
          <w:sz w:val="32"/>
        </w:rPr>
        <w:t>，引导居家养老服务市场化、大众化、规模化。依托养老服务中心统筹辖区内社区养老服务站或托养机构开展“喘息式服务”，根据老年人的实际服务需求定制个性化服务包，为老年人提供生活照料、康复护理、精神慰藉、文化娱乐等服务。家庭养老床位服务按照“申请、家访、评估、签约、建设及验收、服务及评估、互转互认”</w:t>
      </w:r>
      <w:r>
        <w:rPr>
          <w:rFonts w:hint="eastAsia" w:ascii="Times New Roman" w:hAnsi="Times New Roman" w:eastAsia="仿宋" w:cs="Times New Roman"/>
          <w:sz w:val="32"/>
        </w:rPr>
        <w:t>七</w:t>
      </w:r>
      <w:r>
        <w:rPr>
          <w:rFonts w:hint="eastAsia" w:ascii="仿宋" w:hAnsi="仿宋" w:eastAsia="仿宋" w:cs="Times New Roman"/>
          <w:sz w:val="32"/>
        </w:rPr>
        <w:t>项流程开展，分类别建立“服务机构”“服务对象”两个基础台账，日常记录入户服务、调查评价等情况，规范床位建设和服务质量管理。按照床位数给予服务机构建设补助及服务补助，依据“低保老年人”“一般老年人”两类标准给予服务对象建设补助及服务补助。</w:t>
      </w:r>
    </w:p>
    <w:p>
      <w:pPr>
        <w:rPr>
          <w:rFonts w:ascii="仿宋" w:hAnsi="仿宋" w:eastAsia="仿宋"/>
          <w:sz w:val="32"/>
        </w:rPr>
      </w:pPr>
    </w:p>
    <w:p>
      <w:pPr>
        <w:jc w:val="center"/>
        <w:outlineLvl w:val="1"/>
        <w:rPr>
          <w:rFonts w:ascii="仿宋" w:hAnsi="仿宋" w:eastAsia="仿宋" w:cs="Times New Roman"/>
          <w:b/>
          <w:sz w:val="32"/>
        </w:rPr>
      </w:pPr>
      <w:bookmarkStart w:id="19" w:name="_Toc118042938"/>
      <w:r>
        <w:rPr>
          <w:rFonts w:hint="eastAsia" w:ascii="仿宋" w:hAnsi="仿宋" w:eastAsia="仿宋" w:cs="Times New Roman"/>
          <w:b/>
          <w:sz w:val="32"/>
        </w:rPr>
        <w:t xml:space="preserve">第四节 </w:t>
      </w:r>
      <w:r>
        <w:rPr>
          <w:rFonts w:ascii="仿宋" w:hAnsi="仿宋" w:eastAsia="仿宋" w:cs="Times New Roman"/>
          <w:b/>
          <w:sz w:val="32"/>
        </w:rPr>
        <w:t xml:space="preserve"> </w:t>
      </w:r>
      <w:r>
        <w:rPr>
          <w:rFonts w:hint="eastAsia" w:ascii="仿宋" w:hAnsi="仿宋" w:eastAsia="仿宋" w:cs="Times New Roman"/>
          <w:b/>
          <w:sz w:val="32"/>
        </w:rPr>
        <w:t>有序推进居家适老化改造</w:t>
      </w:r>
      <w:bookmarkEnd w:id="19"/>
    </w:p>
    <w:p>
      <w:pPr>
        <w:ind w:firstLine="640" w:firstLineChars="200"/>
        <w:rPr>
          <w:rFonts w:ascii="仿宋" w:hAnsi="仿宋" w:eastAsia="仿宋" w:cs="Times New Roman"/>
          <w:sz w:val="32"/>
        </w:rPr>
      </w:pPr>
      <w:r>
        <w:rPr>
          <w:rFonts w:hint="eastAsia" w:ascii="仿宋" w:hAnsi="仿宋" w:eastAsia="仿宋" w:cs="Times New Roman"/>
          <w:sz w:val="32"/>
        </w:rPr>
        <w:t>将居家适老化改造纳入基本公共服务范畴，力争将改造对象范围扩大到城乡低保对象中的高龄、失能、残疾等老年人，鼓励有条件和有需求的老年人家庭自主付费改造。健全居家适老化改造项目和老年用品配置推荐清单，提供“地面改造、门改造、卧室改造、如厕洗浴设备改造、厨房设备改造、物理环境改造、老年用品配置”</w:t>
      </w:r>
      <w:r>
        <w:rPr>
          <w:rFonts w:ascii="Times New Roman" w:hAnsi="Times New Roman" w:eastAsia="仿宋" w:cs="Times New Roman"/>
          <w:sz w:val="32"/>
        </w:rPr>
        <w:t>7</w:t>
      </w:r>
      <w:r>
        <w:rPr>
          <w:rFonts w:ascii="仿宋" w:hAnsi="仿宋" w:eastAsia="仿宋" w:cs="Times New Roman"/>
          <w:sz w:val="32"/>
        </w:rPr>
        <w:t>个类别</w:t>
      </w:r>
      <w:r>
        <w:rPr>
          <w:rFonts w:ascii="Times New Roman" w:hAnsi="Times New Roman" w:eastAsia="仿宋" w:cs="Times New Roman"/>
          <w:sz w:val="32"/>
        </w:rPr>
        <w:t>30</w:t>
      </w:r>
      <w:r>
        <w:rPr>
          <w:rFonts w:ascii="仿宋" w:hAnsi="仿宋" w:eastAsia="仿宋" w:cs="Times New Roman"/>
          <w:sz w:val="32"/>
        </w:rPr>
        <w:t>个项目</w:t>
      </w:r>
      <w:r>
        <w:rPr>
          <w:rFonts w:hint="eastAsia" w:ascii="仿宋" w:hAnsi="仿宋" w:eastAsia="仿宋" w:cs="Times New Roman"/>
          <w:sz w:val="32"/>
        </w:rPr>
        <w:t>的改造服务，继续推进“基础类</w:t>
      </w:r>
      <w:r>
        <w:rPr>
          <w:rFonts w:ascii="仿宋" w:hAnsi="仿宋" w:eastAsia="仿宋" w:cs="Times New Roman"/>
          <w:sz w:val="32"/>
        </w:rPr>
        <w:t>+可选类”的</w:t>
      </w:r>
      <w:r>
        <w:rPr>
          <w:rFonts w:hint="eastAsia" w:ascii="仿宋" w:hAnsi="仿宋" w:eastAsia="仿宋" w:cs="Times New Roman"/>
          <w:sz w:val="32"/>
        </w:rPr>
        <w:t>建设</w:t>
      </w:r>
      <w:r>
        <w:rPr>
          <w:rFonts w:ascii="仿宋" w:hAnsi="仿宋" w:eastAsia="仿宋" w:cs="Times New Roman"/>
          <w:sz w:val="32"/>
        </w:rPr>
        <w:t>模式。</w:t>
      </w:r>
      <w:r>
        <w:rPr>
          <w:rFonts w:hint="eastAsia" w:ascii="仿宋" w:hAnsi="仿宋" w:eastAsia="仿宋" w:cs="Times New Roman"/>
          <w:sz w:val="32"/>
        </w:rPr>
        <w:t>围绕施工改造、设施配备、老年用品配置等方面推进住宅及家具设施适老化改造，按照申请、评估、改造、验收、监管等工作步骤实施。做好与城镇老旧小区改造的统筹衔接，改善小区坡道、电梯等与老年人日常生活密切相关的公共设施，为老年人提供安全、便利和舒适的宜居环境。</w:t>
      </w:r>
    </w:p>
    <w:p>
      <w:pPr>
        <w:rPr>
          <w:rFonts w:ascii="仿宋" w:hAnsi="仿宋" w:eastAsia="仿宋" w:cs="Times New Roman"/>
          <w:sz w:val="32"/>
        </w:rPr>
      </w:pPr>
    </w:p>
    <w:p>
      <w:pPr>
        <w:jc w:val="center"/>
        <w:outlineLvl w:val="1"/>
        <w:rPr>
          <w:rFonts w:ascii="仿宋" w:hAnsi="仿宋" w:eastAsia="仿宋" w:cs="Times New Roman"/>
          <w:b/>
          <w:sz w:val="32"/>
        </w:rPr>
      </w:pPr>
      <w:bookmarkStart w:id="20" w:name="_Toc118042939"/>
      <w:r>
        <w:rPr>
          <w:rFonts w:hint="eastAsia" w:ascii="仿宋" w:hAnsi="仿宋" w:eastAsia="仿宋" w:cs="Times New Roman"/>
          <w:b/>
          <w:sz w:val="32"/>
        </w:rPr>
        <w:t xml:space="preserve">第五节 </w:t>
      </w:r>
      <w:r>
        <w:rPr>
          <w:rFonts w:ascii="仿宋" w:hAnsi="仿宋" w:eastAsia="仿宋" w:cs="Times New Roman"/>
          <w:b/>
          <w:sz w:val="32"/>
        </w:rPr>
        <w:t xml:space="preserve"> </w:t>
      </w:r>
      <w:r>
        <w:rPr>
          <w:rFonts w:hint="eastAsia" w:ascii="仿宋" w:hAnsi="仿宋" w:eastAsia="仿宋" w:cs="Times New Roman"/>
          <w:b/>
          <w:sz w:val="32"/>
        </w:rPr>
        <w:t>构建农村互助式养老服务体系</w:t>
      </w:r>
      <w:bookmarkEnd w:id="20"/>
    </w:p>
    <w:p>
      <w:pPr>
        <w:ind w:firstLine="640" w:firstLineChars="200"/>
        <w:rPr>
          <w:rFonts w:ascii="仿宋" w:hAnsi="仿宋" w:eastAsia="仿宋" w:cs="Times New Roman"/>
          <w:sz w:val="32"/>
        </w:rPr>
      </w:pPr>
      <w:r>
        <w:rPr>
          <w:rFonts w:hint="eastAsia" w:ascii="仿宋" w:hAnsi="仿宋" w:eastAsia="仿宋" w:cs="Times New Roman"/>
          <w:sz w:val="32"/>
        </w:rPr>
        <w:t>统筹推进城乡养老均衡发展。升级区、镇、村衔接的三级养老服务网络，补齐农村养老短板，从“登记备案、业务管理、财务制度、安全生产、服务质量”等五个方面规范镇敬老院运营管理，推行区级护养中心辐射镇养老服务中心、带动村级互助养老点的模式，创新</w:t>
      </w:r>
      <w:bookmarkStart w:id="21" w:name="_Hlk114411885"/>
      <w:r>
        <w:rPr>
          <w:rFonts w:hint="eastAsia" w:ascii="仿宋" w:hAnsi="仿宋" w:eastAsia="仿宋" w:cs="Times New Roman"/>
          <w:sz w:val="32"/>
        </w:rPr>
        <w:t>农村养老服务三级联动运营</w:t>
      </w:r>
      <w:bookmarkEnd w:id="21"/>
      <w:r>
        <w:rPr>
          <w:rFonts w:hint="eastAsia" w:ascii="仿宋" w:hAnsi="仿宋" w:eastAsia="仿宋" w:cs="Times New Roman"/>
          <w:sz w:val="32"/>
        </w:rPr>
        <w:t>机制。区级护养中心全域带动农村养老服务，集中供养失能特困人员；镇养老服务中心提供区域养老服务，分流发展乡村生态“特色养老”和精神残疾“错位养老”等服务；村级互助养老点依托镇养老服务中心开展邻里互助式服务。衔接社会工作三级服务体系建设，促进社会工作人才队伍建设，提升农村养老服务专业化水平。协同推进城乡养老服务，促进城市优质养老服务资源下沉，完善兜底性养老服务，提升农村养老服务供给质量。</w:t>
      </w:r>
    </w:p>
    <w:p>
      <w:pPr>
        <w:ind w:firstLine="640" w:firstLineChars="200"/>
        <w:rPr>
          <w:rFonts w:ascii="仿宋" w:hAnsi="仿宋" w:eastAsia="仿宋" w:cs="Times New Roman"/>
          <w:sz w:val="32"/>
        </w:rPr>
      </w:pPr>
      <w:r>
        <w:rPr>
          <w:rFonts w:hint="eastAsia" w:ascii="仿宋" w:hAnsi="仿宋" w:eastAsia="仿宋" w:cs="Times New Roman"/>
          <w:sz w:val="32"/>
        </w:rPr>
        <w:t>完善农村互助养老服务体系。丰富农村互助养老服务内容，建立以农村老年人走访关爱、助行、助购、助息等为主要内容的</w:t>
      </w:r>
      <w:r>
        <w:rPr>
          <w:rFonts w:hint="eastAsia" w:ascii="Times New Roman" w:hAnsi="Times New Roman" w:eastAsia="仿宋" w:cs="Times New Roman"/>
          <w:sz w:val="32"/>
        </w:rPr>
        <w:t>八</w:t>
      </w:r>
      <w:r>
        <w:rPr>
          <w:rFonts w:ascii="仿宋" w:hAnsi="仿宋" w:eastAsia="仿宋" w:cs="Times New Roman"/>
          <w:sz w:val="32"/>
        </w:rPr>
        <w:t>项农村互助养老服务清单</w:t>
      </w:r>
      <w:r>
        <w:rPr>
          <w:rFonts w:hint="eastAsia" w:ascii="仿宋" w:hAnsi="仿宋" w:eastAsia="仿宋" w:cs="Times New Roman"/>
          <w:sz w:val="32"/>
        </w:rPr>
        <w:t>。全面推行农村</w:t>
      </w:r>
      <w:bookmarkStart w:id="22" w:name="_Hlk114411910"/>
      <w:r>
        <w:rPr>
          <w:rFonts w:hint="eastAsia" w:ascii="仿宋" w:hAnsi="仿宋" w:eastAsia="仿宋" w:cs="Times New Roman"/>
          <w:sz w:val="32"/>
        </w:rPr>
        <w:t>“四有五助”互助养老模式</w:t>
      </w:r>
      <w:bookmarkEnd w:id="22"/>
      <w:r>
        <w:rPr>
          <w:rFonts w:hint="eastAsia" w:ascii="仿宋" w:hAnsi="仿宋" w:eastAsia="仿宋" w:cs="Times New Roman"/>
          <w:sz w:val="32"/>
        </w:rPr>
        <w:t>，形成每村“一个互助养老点、一个人定岗服务、一支服务队伍、一套结对帮扶制度”互助模式，推行“集中助餐、流动助医、定点助乐、智慧助急、上门助养”服务机制。持续推广“时间银行”互助养老模式，整合低龄老人、社工、义工等力量，以老年互助方式为失能半失能、高龄、空巢独居、失独等困境老人提供心理疏导、精神慰藉、社交网络支持、日常生活帮助等服务。依托村级互助养老点，组建由“乡村能人”“乡村大嫂”“乡村人才”“乡村准老”“乡村邻里”等人员组成的志愿互助服务队伍，</w:t>
      </w:r>
      <w:bookmarkStart w:id="23" w:name="_Hlk114409653"/>
      <w:r>
        <w:rPr>
          <w:rFonts w:hint="eastAsia" w:ascii="仿宋" w:hAnsi="仿宋" w:eastAsia="仿宋" w:cs="Times New Roman"/>
          <w:sz w:val="32"/>
        </w:rPr>
        <w:t>通过积分兑换方式，开展居家互助、独居互助、生活互助、失能互助、腾手互助</w:t>
      </w:r>
      <w:bookmarkEnd w:id="23"/>
      <w:r>
        <w:rPr>
          <w:rFonts w:hint="eastAsia" w:ascii="仿宋" w:hAnsi="仿宋" w:eastAsia="仿宋" w:cs="Times New Roman"/>
          <w:sz w:val="32"/>
        </w:rPr>
        <w:t>等服务。建立智慧化平台，适时记录发布互助服务信息和积分动态，调动和整合区域资源，提高积分吸引力和有效性，为互助养老服务体系提供技术和资源保障。</w:t>
      </w:r>
    </w:p>
    <w:p>
      <w:pPr>
        <w:rPr>
          <w:rFonts w:ascii="仿宋" w:hAnsi="仿宋" w:eastAsia="仿宋" w:cs="Times New Roman"/>
          <w:sz w:val="32"/>
        </w:rPr>
      </w:pPr>
    </w:p>
    <w:p>
      <w:pPr>
        <w:jc w:val="center"/>
        <w:outlineLvl w:val="1"/>
        <w:rPr>
          <w:rFonts w:ascii="仿宋" w:hAnsi="仿宋" w:eastAsia="仿宋" w:cs="Times New Roman"/>
          <w:b/>
          <w:sz w:val="32"/>
        </w:rPr>
      </w:pPr>
      <w:bookmarkStart w:id="24" w:name="_Toc118042940"/>
      <w:r>
        <w:rPr>
          <w:rFonts w:hint="eastAsia" w:ascii="仿宋" w:hAnsi="仿宋" w:eastAsia="仿宋" w:cs="Times New Roman"/>
          <w:b/>
          <w:sz w:val="32"/>
        </w:rPr>
        <w:t xml:space="preserve">第六节 </w:t>
      </w:r>
      <w:r>
        <w:rPr>
          <w:rFonts w:ascii="仿宋" w:hAnsi="仿宋" w:eastAsia="仿宋" w:cs="Times New Roman"/>
          <w:b/>
          <w:sz w:val="32"/>
        </w:rPr>
        <w:t xml:space="preserve"> </w:t>
      </w:r>
      <w:r>
        <w:rPr>
          <w:rFonts w:hint="eastAsia" w:ascii="仿宋" w:hAnsi="仿宋" w:eastAsia="仿宋" w:cs="Times New Roman"/>
          <w:b/>
          <w:sz w:val="32"/>
        </w:rPr>
        <w:t>完善社区居家养老服务评级制度</w:t>
      </w:r>
      <w:bookmarkEnd w:id="24"/>
    </w:p>
    <w:p>
      <w:pPr>
        <w:ind w:firstLine="640" w:firstLineChars="200"/>
        <w:rPr>
          <w:rFonts w:ascii="仿宋" w:hAnsi="仿宋" w:eastAsia="仿宋" w:cs="Times New Roman"/>
          <w:sz w:val="32"/>
        </w:rPr>
      </w:pPr>
      <w:r>
        <w:rPr>
          <w:rFonts w:hint="eastAsia" w:ascii="仿宋" w:hAnsi="仿宋" w:eastAsia="仿宋" w:cs="Times New Roman"/>
          <w:sz w:val="32"/>
        </w:rPr>
        <w:t>弱化过程性监管，增强服务评估的结果导向。健全养老服务中心（站）补助实施细则、运营管理办法和评估实施细则，实现养老服务设施分类评估，评估结果作为兑现运营补助、获取营运资格的重要依据。充分利用智慧化手段推行“中心（站）自查</w:t>
      </w:r>
      <w:r>
        <w:rPr>
          <w:rFonts w:ascii="仿宋" w:hAnsi="仿宋" w:eastAsia="仿宋" w:cs="Times New Roman"/>
          <w:sz w:val="32"/>
        </w:rPr>
        <w:t>+</w:t>
      </w:r>
      <w:r>
        <w:rPr>
          <w:rFonts w:hint="eastAsia" w:ascii="仿宋" w:hAnsi="仿宋" w:eastAsia="仿宋" w:cs="Times New Roman"/>
          <w:sz w:val="32"/>
        </w:rPr>
        <w:t>巡查抽查+年度评估</w:t>
      </w:r>
      <w:r>
        <w:rPr>
          <w:rFonts w:ascii="仿宋" w:hAnsi="仿宋" w:eastAsia="仿宋" w:cs="Times New Roman"/>
          <w:sz w:val="32"/>
        </w:rPr>
        <w:t>”</w:t>
      </w:r>
      <w:r>
        <w:rPr>
          <w:rFonts w:hint="eastAsia" w:ascii="仿宋" w:hAnsi="仿宋" w:eastAsia="仿宋" w:cs="Times New Roman"/>
          <w:sz w:val="32"/>
        </w:rPr>
        <w:t>评估模式，开展“专职人员、营运时间、老人信息分类建档、用好软硬平台、开展基本养老服务”</w:t>
      </w:r>
      <w:r>
        <w:rPr>
          <w:rFonts w:hint="eastAsia" w:ascii="Times New Roman" w:hAnsi="Times New Roman" w:eastAsia="仿宋" w:cs="Times New Roman"/>
          <w:sz w:val="32"/>
        </w:rPr>
        <w:t>五</w:t>
      </w:r>
      <w:r>
        <w:rPr>
          <w:rFonts w:hint="eastAsia" w:ascii="仿宋" w:hAnsi="仿宋" w:eastAsia="仿宋" w:cs="Times New Roman"/>
          <w:sz w:val="32"/>
        </w:rPr>
        <w:t>项基础部分评估，完善“关爱服务包、乐享服务包、优享服务包、特色拓展服务”</w:t>
      </w:r>
      <w:r>
        <w:rPr>
          <w:rFonts w:hint="eastAsia" w:ascii="Times New Roman" w:hAnsi="Times New Roman" w:eastAsia="仿宋" w:cs="Times New Roman"/>
          <w:sz w:val="32"/>
        </w:rPr>
        <w:t>四</w:t>
      </w:r>
      <w:r>
        <w:rPr>
          <w:rFonts w:hint="eastAsia" w:ascii="仿宋" w:hAnsi="仿宋" w:eastAsia="仿宋" w:cs="Times New Roman"/>
          <w:sz w:val="32"/>
        </w:rPr>
        <w:t>项特色部分评估。健全养老服务“双随机、一公开”工作机制，依法公示养老机构备案登记、行政处罚等信息。加强养老服务综合监管，预防和遏制重特大安全事故发生，整治养老服务领域诈骗行为和欺老虐老现象。</w:t>
      </w:r>
    </w:p>
    <w:p>
      <w:pPr>
        <w:tabs>
          <w:tab w:val="right" w:leader="dot" w:pos="8834"/>
        </w:tabs>
        <w:spacing w:line="579" w:lineRule="exact"/>
        <w:jc w:val="center"/>
        <w:textAlignment w:val="center"/>
        <w:rPr>
          <w:rFonts w:ascii="黑体" w:hAnsi="黑体" w:eastAsia="黑体" w:cs="Times New Roman"/>
          <w:color w:val="000000"/>
          <w:sz w:val="32"/>
        </w:rPr>
      </w:pPr>
      <w:r>
        <w:rPr>
          <w:rFonts w:hint="eastAsia" w:ascii="黑体" w:hAnsi="黑体" w:eastAsia="黑体" w:cs="Times New Roman"/>
          <w:color w:val="000000"/>
          <w:sz w:val="32"/>
        </w:rPr>
        <w:t>专栏</w:t>
      </w:r>
      <w:r>
        <w:rPr>
          <w:rFonts w:ascii="Times New Roman" w:hAnsi="Times New Roman" w:eastAsia="黑体" w:cs="Times New Roman"/>
          <w:color w:val="000000"/>
          <w:sz w:val="32"/>
        </w:rPr>
        <w:t>3</w:t>
      </w:r>
      <w:r>
        <w:rPr>
          <w:rFonts w:ascii="黑体" w:hAnsi="黑体" w:eastAsia="黑体" w:cs="Times New Roman"/>
          <w:color w:val="000000"/>
          <w:sz w:val="32"/>
        </w:rPr>
        <w:t xml:space="preserve">  </w:t>
      </w:r>
      <w:r>
        <w:rPr>
          <w:rFonts w:hint="eastAsia" w:ascii="黑体" w:hAnsi="黑体" w:eastAsia="黑体" w:cs="Times New Roman"/>
          <w:color w:val="000000"/>
          <w:sz w:val="32"/>
        </w:rPr>
        <w:t>社区居家养老重点项目</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pPr>
              <w:spacing w:line="400" w:lineRule="exact"/>
              <w:ind w:firstLine="482" w:firstLineChars="200"/>
              <w:rPr>
                <w:rFonts w:ascii="仿宋" w:hAnsi="仿宋" w:eastAsia="仿宋" w:cs="Times New Roman"/>
                <w:bCs/>
                <w:sz w:val="24"/>
              </w:rPr>
            </w:pPr>
            <w:r>
              <w:rPr>
                <w:rFonts w:hint="eastAsia" w:ascii="仿宋" w:hAnsi="仿宋" w:eastAsia="仿宋" w:cs="Times New Roman"/>
                <w:b/>
                <w:sz w:val="24"/>
                <w:szCs w:val="24"/>
              </w:rPr>
              <w:t>基本养老服务保障项目。</w:t>
            </w:r>
            <w:r>
              <w:rPr>
                <w:rFonts w:hint="eastAsia" w:ascii="仿宋" w:hAnsi="仿宋" w:eastAsia="仿宋" w:cs="Times New Roman"/>
                <w:bCs/>
                <w:sz w:val="24"/>
                <w:szCs w:val="24"/>
              </w:rPr>
              <w:t>在重庆市基本养老服务清单的基础上，制定完善</w:t>
            </w:r>
            <w:r>
              <w:rPr>
                <w:rFonts w:ascii="仿宋" w:hAnsi="仿宋" w:eastAsia="仿宋" w:cs="Times New Roman"/>
                <w:bCs/>
                <w:sz w:val="24"/>
                <w:szCs w:val="24"/>
              </w:rPr>
              <w:t>沙坪坝区基本养老服务清单，</w:t>
            </w:r>
            <w:r>
              <w:rPr>
                <w:rFonts w:hint="eastAsia" w:ascii="仿宋" w:hAnsi="仿宋" w:eastAsia="仿宋" w:cs="Times New Roman"/>
                <w:bCs/>
                <w:sz w:val="24"/>
                <w:szCs w:val="24"/>
              </w:rPr>
              <w:t>优先将经济困难的空巢、留守、失能、残疾、高龄老年人以及计划生育特殊困难家庭老年人等纳入基本养老服务保障对象</w:t>
            </w:r>
            <w:r>
              <w:rPr>
                <w:rFonts w:ascii="仿宋" w:hAnsi="仿宋" w:eastAsia="仿宋" w:cs="Times New Roman"/>
                <w:bCs/>
                <w:sz w:val="24"/>
                <w:szCs w:val="24"/>
              </w:rPr>
              <w:t>，逐步丰富发展服务内容</w:t>
            </w:r>
            <w:r>
              <w:rPr>
                <w:rFonts w:hint="eastAsia" w:ascii="仿宋" w:hAnsi="仿宋" w:eastAsia="仿宋" w:cs="Times New Roman"/>
                <w:bCs/>
                <w:sz w:val="24"/>
                <w:szCs w:val="24"/>
              </w:rPr>
              <w:t>，实现人人享有基本养老服务。</w:t>
            </w:r>
          </w:p>
          <w:p>
            <w:pPr>
              <w:spacing w:line="400" w:lineRule="exact"/>
              <w:ind w:firstLine="482" w:firstLineChars="200"/>
              <w:rPr>
                <w:rFonts w:hint="eastAsia" w:ascii="仿宋" w:hAnsi="仿宋" w:eastAsia="仿宋" w:cs="Times New Roman"/>
                <w:sz w:val="24"/>
                <w:lang w:eastAsia="zh-CN"/>
              </w:rPr>
            </w:pPr>
            <w:r>
              <w:rPr>
                <w:rFonts w:hint="eastAsia" w:ascii="仿宋" w:hAnsi="仿宋" w:eastAsia="仿宋" w:cs="Times New Roman"/>
                <w:b/>
                <w:sz w:val="24"/>
                <w:szCs w:val="24"/>
              </w:rPr>
              <w:t>养老设施建设项目。</w:t>
            </w:r>
            <w:r>
              <w:rPr>
                <w:rFonts w:hint="eastAsia" w:ascii="仿宋" w:hAnsi="仿宋" w:eastAsia="仿宋" w:cs="Times New Roman"/>
                <w:sz w:val="24"/>
                <w:szCs w:val="24"/>
              </w:rPr>
              <w:t>持续推进社区养老服务设施建设，不断提高养老服务</w:t>
            </w:r>
            <w:r>
              <w:rPr>
                <w:rFonts w:ascii="仿宋" w:hAnsi="仿宋" w:eastAsia="仿宋" w:cs="Times New Roman"/>
                <w:sz w:val="24"/>
                <w:szCs w:val="24"/>
              </w:rPr>
              <w:t>设施</w:t>
            </w:r>
            <w:r>
              <w:rPr>
                <w:rFonts w:hint="eastAsia" w:ascii="仿宋" w:hAnsi="仿宋" w:eastAsia="仿宋" w:cs="Times New Roman"/>
                <w:sz w:val="24"/>
                <w:szCs w:val="24"/>
              </w:rPr>
              <w:t>覆盖率，完善养老服务设施网络。力争</w:t>
            </w:r>
            <w:r>
              <w:rPr>
                <w:rFonts w:ascii="仿宋" w:hAnsi="仿宋" w:eastAsia="仿宋" w:cs="Times New Roman"/>
                <w:sz w:val="24"/>
                <w:szCs w:val="24"/>
              </w:rPr>
              <w:t>到</w:t>
            </w:r>
            <w:r>
              <w:rPr>
                <w:rFonts w:ascii="Times New Roman" w:hAnsi="Times New Roman" w:eastAsia="仿宋" w:cs="Times New Roman"/>
                <w:sz w:val="24"/>
                <w:szCs w:val="24"/>
              </w:rPr>
              <w:t>2025</w:t>
            </w:r>
            <w:r>
              <w:rPr>
                <w:rFonts w:hint="eastAsia" w:ascii="仿宋" w:hAnsi="仿宋" w:eastAsia="仿宋" w:cs="Times New Roman"/>
                <w:sz w:val="24"/>
                <w:szCs w:val="24"/>
              </w:rPr>
              <w:t>年</w:t>
            </w:r>
            <w:r>
              <w:rPr>
                <w:rFonts w:ascii="仿宋" w:hAnsi="仿宋" w:eastAsia="仿宋" w:cs="Times New Roman"/>
                <w:sz w:val="24"/>
                <w:szCs w:val="24"/>
              </w:rPr>
              <w:t>，</w:t>
            </w:r>
            <w:r>
              <w:rPr>
                <w:rFonts w:hint="eastAsia" w:ascii="仿宋" w:hAnsi="仿宋" w:eastAsia="仿宋" w:cs="Times New Roman"/>
                <w:sz w:val="24"/>
                <w:szCs w:val="24"/>
              </w:rPr>
              <w:t>完成凤凰镇养老服务中心、回龙坝镇养老服务中心改建，新建</w:t>
            </w:r>
            <w:r>
              <w:rPr>
                <w:rFonts w:hint="eastAsia" w:ascii="Times New Roman" w:hAnsi="Times New Roman" w:eastAsia="仿宋" w:cs="Times New Roman"/>
                <w:sz w:val="24"/>
                <w:szCs w:val="24"/>
                <w:lang w:val="en-US" w:eastAsia="zh-CN"/>
              </w:rPr>
              <w:t>1</w:t>
            </w:r>
            <w:r>
              <w:rPr>
                <w:rFonts w:hint="eastAsia" w:ascii="仿宋" w:hAnsi="仿宋" w:eastAsia="仿宋" w:cs="Times New Roman"/>
                <w:sz w:val="24"/>
                <w:szCs w:val="24"/>
              </w:rPr>
              <w:t>个街道养老服务中心、</w:t>
            </w:r>
            <w:r>
              <w:rPr>
                <w:rFonts w:hint="eastAsia" w:ascii="Times New Roman" w:hAnsi="Times New Roman" w:eastAsia="仿宋" w:cs="Times New Roman"/>
                <w:sz w:val="24"/>
                <w:szCs w:val="24"/>
                <w:lang w:val="en-US" w:eastAsia="zh-CN"/>
              </w:rPr>
              <w:t>5</w:t>
            </w:r>
            <w:r>
              <w:rPr>
                <w:rFonts w:hint="eastAsia" w:ascii="仿宋" w:hAnsi="仿宋" w:eastAsia="仿宋" w:cs="Times New Roman"/>
                <w:sz w:val="24"/>
                <w:szCs w:val="24"/>
              </w:rPr>
              <w:t>个社区养老服务站</w:t>
            </w:r>
            <w:r>
              <w:rPr>
                <w:rFonts w:hint="eastAsia" w:ascii="仿宋" w:hAnsi="仿宋" w:eastAsia="仿宋" w:cs="Times New Roman"/>
                <w:sz w:val="24"/>
                <w:szCs w:val="24"/>
                <w:lang w:eastAsia="zh-CN"/>
              </w:rPr>
              <w:t>、</w:t>
            </w:r>
            <w:r>
              <w:rPr>
                <w:rFonts w:ascii="Times New Roman" w:hAnsi="Times New Roman" w:eastAsia="仿宋" w:cs="Times New Roman"/>
                <w:sz w:val="24"/>
                <w:szCs w:val="24"/>
              </w:rPr>
              <w:t>200</w:t>
            </w:r>
            <w:r>
              <w:rPr>
                <w:rFonts w:hint="eastAsia" w:ascii="仿宋" w:hAnsi="仿宋" w:eastAsia="仿宋" w:cs="Times New Roman"/>
                <w:sz w:val="24"/>
                <w:szCs w:val="24"/>
              </w:rPr>
              <w:t>个小区养老服务点</w:t>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升级改造10</w:t>
            </w:r>
            <w:r>
              <w:rPr>
                <w:rFonts w:hint="eastAsia" w:ascii="仿宋" w:hAnsi="仿宋" w:eastAsia="仿宋" w:cs="Times New Roman"/>
                <w:sz w:val="24"/>
                <w:szCs w:val="24"/>
              </w:rPr>
              <w:t>个村级互助养老点</w:t>
            </w:r>
            <w:r>
              <w:rPr>
                <w:rFonts w:hint="eastAsia" w:ascii="仿宋" w:hAnsi="仿宋" w:eastAsia="仿宋" w:cs="Times New Roman"/>
                <w:sz w:val="24"/>
                <w:szCs w:val="24"/>
                <w:lang w:eastAsia="zh-CN"/>
              </w:rPr>
              <w:t>。</w:t>
            </w:r>
          </w:p>
          <w:p>
            <w:pPr>
              <w:spacing w:line="400" w:lineRule="exact"/>
              <w:ind w:firstLine="482" w:firstLineChars="200"/>
              <w:rPr>
                <w:rFonts w:ascii="仿宋" w:hAnsi="仿宋" w:eastAsia="仿宋" w:cs="Times New Roman"/>
                <w:sz w:val="24"/>
              </w:rPr>
            </w:pPr>
            <w:r>
              <w:rPr>
                <w:rFonts w:hint="eastAsia" w:ascii="仿宋" w:hAnsi="仿宋" w:eastAsia="仿宋" w:cs="Times New Roman"/>
                <w:b/>
                <w:sz w:val="24"/>
                <w:szCs w:val="24"/>
              </w:rPr>
              <w:t>社区居家养老服务亮点项目。</w:t>
            </w:r>
            <w:r>
              <w:rPr>
                <w:rFonts w:hint="eastAsia" w:ascii="仿宋" w:hAnsi="仿宋" w:eastAsia="仿宋" w:cs="Times New Roman"/>
                <w:sz w:val="24"/>
                <w:szCs w:val="24"/>
              </w:rPr>
              <w:t>引导社会力量广泛参与社区居家养老服务，扶持培养一批综合化、专业化、连锁化、品牌化社区养老服务机构，为老年人提供生活照料、助餐助行、紧急救援、精神慰藉等服务。力争到</w:t>
            </w:r>
            <w:r>
              <w:rPr>
                <w:rFonts w:ascii="Times New Roman" w:hAnsi="Times New Roman" w:eastAsia="仿宋" w:cs="Times New Roman"/>
                <w:sz w:val="24"/>
                <w:szCs w:val="24"/>
              </w:rPr>
              <w:t>2025</w:t>
            </w:r>
            <w:r>
              <w:rPr>
                <w:rFonts w:hint="eastAsia" w:ascii="仿宋" w:hAnsi="仿宋" w:eastAsia="仿宋" w:cs="Times New Roman"/>
                <w:sz w:val="24"/>
                <w:szCs w:val="24"/>
              </w:rPr>
              <w:t>年，重点培育</w:t>
            </w:r>
            <w:r>
              <w:rPr>
                <w:rFonts w:ascii="Times New Roman" w:hAnsi="Times New Roman" w:eastAsia="仿宋" w:cs="Times New Roman"/>
                <w:sz w:val="24"/>
                <w:szCs w:val="24"/>
              </w:rPr>
              <w:t>3</w:t>
            </w:r>
            <w:r>
              <w:rPr>
                <w:rFonts w:ascii="仿宋" w:hAnsi="仿宋" w:eastAsia="仿宋" w:cs="Times New Roman"/>
                <w:sz w:val="24"/>
                <w:szCs w:val="24"/>
              </w:rPr>
              <w:t>-</w:t>
            </w:r>
            <w:r>
              <w:rPr>
                <w:rFonts w:ascii="Times New Roman" w:hAnsi="Times New Roman" w:eastAsia="仿宋" w:cs="Times New Roman"/>
                <w:sz w:val="24"/>
                <w:szCs w:val="24"/>
              </w:rPr>
              <w:t>4</w:t>
            </w:r>
            <w:r>
              <w:rPr>
                <w:rFonts w:ascii="仿宋" w:hAnsi="仿宋" w:eastAsia="仿宋" w:cs="Times New Roman"/>
                <w:sz w:val="24"/>
                <w:szCs w:val="24"/>
              </w:rPr>
              <w:t>个社区养老服务中心成为全区、乃至全市的社区养老“明星中心”。</w:t>
            </w:r>
          </w:p>
          <w:p>
            <w:pPr>
              <w:spacing w:line="400" w:lineRule="exact"/>
              <w:ind w:firstLine="482" w:firstLineChars="200"/>
              <w:rPr>
                <w:rFonts w:ascii="仿宋" w:hAnsi="仿宋" w:eastAsia="仿宋" w:cs="Times New Roman"/>
                <w:b/>
                <w:sz w:val="24"/>
                <w:szCs w:val="24"/>
              </w:rPr>
            </w:pPr>
            <w:r>
              <w:rPr>
                <w:rFonts w:hint="eastAsia" w:ascii="仿宋" w:hAnsi="仿宋" w:eastAsia="仿宋" w:cs="Times New Roman"/>
                <w:b/>
                <w:sz w:val="24"/>
                <w:szCs w:val="24"/>
              </w:rPr>
              <w:t>农村互助养老示范点打造项目。</w:t>
            </w:r>
            <w:r>
              <w:rPr>
                <w:rFonts w:hint="eastAsia" w:ascii="仿宋" w:hAnsi="仿宋" w:eastAsia="仿宋" w:cs="Times New Roman"/>
                <w:sz w:val="24"/>
                <w:szCs w:val="24"/>
              </w:rPr>
              <w:t>利用闲置农房等设施建立互助养老点，依托农村养老点为周边老人提供集中助餐、流动助医、上门助养等服务。探索打造农村互助养老服务示范点，促进农村养老服务质量提升。力争到</w:t>
            </w:r>
            <w:r>
              <w:rPr>
                <w:rFonts w:ascii="Times New Roman" w:hAnsi="Times New Roman" w:eastAsia="仿宋" w:cs="Times New Roman"/>
                <w:sz w:val="24"/>
                <w:szCs w:val="24"/>
              </w:rPr>
              <w:t>2025</w:t>
            </w:r>
            <w:r>
              <w:rPr>
                <w:rFonts w:hint="eastAsia" w:ascii="仿宋" w:hAnsi="仿宋" w:eastAsia="仿宋" w:cs="Times New Roman"/>
                <w:sz w:val="24"/>
                <w:szCs w:val="24"/>
              </w:rPr>
              <w:t>年，实现每个镇</w:t>
            </w:r>
            <w:r>
              <w:rPr>
                <w:rFonts w:hint="eastAsia" w:ascii="仿宋" w:hAnsi="仿宋" w:eastAsia="仿宋" w:cs="Times New Roman"/>
                <w:sz w:val="24"/>
                <w:szCs w:val="24"/>
                <w:lang w:val="en-US" w:eastAsia="zh-CN"/>
              </w:rPr>
              <w:t>打造</w:t>
            </w:r>
            <w:r>
              <w:rPr>
                <w:rFonts w:ascii="Times New Roman" w:hAnsi="Times New Roman" w:eastAsia="仿宋" w:cs="Times New Roman"/>
                <w:sz w:val="24"/>
                <w:szCs w:val="24"/>
              </w:rPr>
              <w:t>1</w:t>
            </w:r>
            <w:r>
              <w:rPr>
                <w:rFonts w:hint="eastAsia" w:ascii="仿宋" w:hAnsi="仿宋" w:eastAsia="仿宋" w:cs="Times New Roman"/>
                <w:sz w:val="24"/>
                <w:szCs w:val="24"/>
              </w:rPr>
              <w:t>个农村互助养老示范点。</w:t>
            </w:r>
          </w:p>
          <w:p>
            <w:pPr>
              <w:spacing w:line="400" w:lineRule="exact"/>
              <w:ind w:firstLine="482" w:firstLineChars="200"/>
              <w:rPr>
                <w:rFonts w:ascii="仿宋" w:hAnsi="仿宋" w:eastAsia="仿宋" w:cs="Times New Roman"/>
                <w:sz w:val="24"/>
              </w:rPr>
            </w:pPr>
            <w:r>
              <w:rPr>
                <w:rFonts w:hint="eastAsia" w:ascii="仿宋" w:hAnsi="仿宋" w:eastAsia="仿宋" w:cs="Times New Roman"/>
                <w:b/>
                <w:sz w:val="24"/>
                <w:szCs w:val="24"/>
              </w:rPr>
              <w:t>老年人助餐点建设项目。</w:t>
            </w:r>
            <w:r>
              <w:rPr>
                <w:rFonts w:hint="eastAsia" w:ascii="仿宋" w:hAnsi="仿宋" w:eastAsia="仿宋" w:cs="Times New Roman"/>
                <w:sz w:val="24"/>
                <w:szCs w:val="24"/>
              </w:rPr>
              <w:t>打造集营养膳食配送、食材供应、膳食疗养于一体的智慧化养老助餐“中央厨房”，依托辖区内镇街养老服务中心、社区养老服务站、村级互助养老点建设老年人助餐点</w:t>
            </w:r>
            <w:r>
              <w:rPr>
                <w:rFonts w:ascii="仿宋" w:hAnsi="仿宋" w:eastAsia="仿宋" w:cs="Times New Roman"/>
                <w:sz w:val="24"/>
                <w:szCs w:val="24"/>
              </w:rPr>
              <w:t>，</w:t>
            </w:r>
            <w:r>
              <w:rPr>
                <w:rFonts w:hint="eastAsia" w:ascii="仿宋" w:hAnsi="仿宋" w:eastAsia="仿宋" w:cs="Times New Roman"/>
                <w:sz w:val="24"/>
                <w:szCs w:val="24"/>
              </w:rPr>
              <w:t>为老年人</w:t>
            </w:r>
            <w:r>
              <w:rPr>
                <w:rFonts w:ascii="仿宋" w:hAnsi="仿宋" w:eastAsia="仿宋" w:cs="Times New Roman"/>
                <w:sz w:val="24"/>
                <w:szCs w:val="24"/>
              </w:rPr>
              <w:t>提供经济实惠、营养可口、方便快捷的用餐服务</w:t>
            </w:r>
            <w:r>
              <w:rPr>
                <w:rFonts w:hint="eastAsia" w:ascii="仿宋" w:hAnsi="仿宋" w:eastAsia="仿宋" w:cs="Times New Roman"/>
                <w:sz w:val="24"/>
                <w:szCs w:val="24"/>
              </w:rPr>
              <w:t>。</w:t>
            </w:r>
          </w:p>
          <w:p>
            <w:pPr>
              <w:spacing w:line="400" w:lineRule="exact"/>
              <w:ind w:firstLine="482" w:firstLineChars="200"/>
              <w:rPr>
                <w:rFonts w:ascii="仿宋" w:hAnsi="仿宋" w:eastAsia="仿宋" w:cs="Times New Roman"/>
                <w:sz w:val="24"/>
              </w:rPr>
            </w:pPr>
            <w:r>
              <w:rPr>
                <w:rFonts w:hint="eastAsia" w:ascii="仿宋" w:hAnsi="仿宋" w:eastAsia="仿宋" w:cs="Times New Roman"/>
                <w:b/>
                <w:sz w:val="24"/>
                <w:szCs w:val="24"/>
              </w:rPr>
              <w:t>家庭养老照护床位建设项目。</w:t>
            </w:r>
            <w:r>
              <w:rPr>
                <w:rFonts w:hint="eastAsia" w:ascii="仿宋" w:hAnsi="仿宋" w:eastAsia="仿宋" w:cs="Times New Roman"/>
                <w:sz w:val="24"/>
                <w:szCs w:val="24"/>
              </w:rPr>
              <w:t>继续推进家庭养老照护床位建设，将专业养老服务机构的专业化服务延伸至家庭。力争到</w:t>
            </w:r>
            <w:r>
              <w:rPr>
                <w:rFonts w:ascii="Times New Roman" w:hAnsi="Times New Roman" w:eastAsia="仿宋" w:cs="Times New Roman"/>
                <w:sz w:val="24"/>
                <w:szCs w:val="24"/>
              </w:rPr>
              <w:t>2025</w:t>
            </w:r>
            <w:r>
              <w:rPr>
                <w:rFonts w:hint="eastAsia" w:ascii="仿宋" w:hAnsi="仿宋" w:eastAsia="仿宋" w:cs="Times New Roman"/>
                <w:sz w:val="24"/>
                <w:szCs w:val="24"/>
              </w:rPr>
              <w:t>年，家庭养老照护床位建设数达到</w:t>
            </w:r>
            <w:r>
              <w:rPr>
                <w:rFonts w:ascii="Times New Roman" w:hAnsi="Times New Roman" w:eastAsia="仿宋" w:cs="Times New Roman"/>
                <w:sz w:val="24"/>
                <w:szCs w:val="24"/>
              </w:rPr>
              <w:t>2000</w:t>
            </w:r>
            <w:r>
              <w:rPr>
                <w:rFonts w:hint="eastAsia" w:ascii="仿宋" w:hAnsi="仿宋" w:eastAsia="仿宋" w:cs="Times New Roman"/>
                <w:sz w:val="24"/>
                <w:szCs w:val="24"/>
              </w:rPr>
              <w:t>张，基本覆盖辖区内所有特殊</w:t>
            </w:r>
            <w:r>
              <w:rPr>
                <w:rFonts w:ascii="仿宋" w:hAnsi="仿宋" w:eastAsia="仿宋" w:cs="Times New Roman"/>
                <w:sz w:val="24"/>
                <w:szCs w:val="24"/>
              </w:rPr>
              <w:t>困难老年人</w:t>
            </w:r>
            <w:r>
              <w:rPr>
                <w:rFonts w:hint="eastAsia" w:ascii="仿宋" w:hAnsi="仿宋" w:eastAsia="仿宋" w:cs="Times New Roman"/>
                <w:sz w:val="24"/>
                <w:szCs w:val="24"/>
              </w:rPr>
              <w:t>。</w:t>
            </w:r>
          </w:p>
          <w:p>
            <w:pPr>
              <w:spacing w:line="400" w:lineRule="exact"/>
              <w:ind w:firstLine="482" w:firstLineChars="200"/>
              <w:rPr>
                <w:rFonts w:ascii="仿宋" w:hAnsi="仿宋" w:eastAsia="仿宋" w:cs="Times New Roman"/>
                <w:bCs/>
                <w:sz w:val="24"/>
                <w:szCs w:val="24"/>
              </w:rPr>
            </w:pPr>
            <w:r>
              <w:rPr>
                <w:rFonts w:hint="eastAsia" w:ascii="仿宋" w:hAnsi="仿宋" w:eastAsia="仿宋" w:cs="Times New Roman"/>
                <w:b/>
                <w:sz w:val="24"/>
                <w:szCs w:val="24"/>
              </w:rPr>
              <w:t>适老化改造项目。</w:t>
            </w:r>
            <w:r>
              <w:rPr>
                <w:rFonts w:hint="eastAsia" w:ascii="仿宋" w:hAnsi="仿宋" w:eastAsia="仿宋" w:cs="Times New Roman"/>
                <w:bCs/>
                <w:sz w:val="24"/>
                <w:szCs w:val="24"/>
              </w:rPr>
              <w:t>继续推进辖区内居家适老化改造，针对辖区内特困供养、低保的高龄、失能、残疾老年人，在征得房屋产权人及相邻权人同意后，按照《沙坪坝区老年人居家适老化改造工程实施方案》实施适老化改造</w:t>
            </w:r>
            <w:r>
              <w:rPr>
                <w:rFonts w:ascii="仿宋" w:hAnsi="仿宋" w:eastAsia="仿宋" w:cs="Times New Roman"/>
                <w:bCs/>
                <w:sz w:val="24"/>
                <w:szCs w:val="24"/>
              </w:rPr>
              <w:t>。</w:t>
            </w:r>
          </w:p>
          <w:p>
            <w:pPr>
              <w:spacing w:line="400" w:lineRule="exact"/>
              <w:ind w:firstLine="482" w:firstLineChars="200"/>
              <w:rPr>
                <w:rFonts w:ascii="仿宋" w:hAnsi="仿宋" w:eastAsia="仿宋" w:cs="Times New Roman"/>
                <w:sz w:val="24"/>
              </w:rPr>
            </w:pPr>
            <w:r>
              <w:rPr>
                <w:rFonts w:hint="eastAsia" w:ascii="仿宋" w:hAnsi="仿宋" w:eastAsia="仿宋" w:cs="Times New Roman"/>
                <w:b/>
                <w:sz w:val="24"/>
                <w:szCs w:val="24"/>
              </w:rPr>
              <w:t>社区养老服务站评比项目。</w:t>
            </w:r>
            <w:r>
              <w:rPr>
                <w:rFonts w:hint="eastAsia" w:ascii="仿宋" w:hAnsi="仿宋" w:eastAsia="仿宋" w:cs="Times New Roman"/>
                <w:bCs/>
                <w:sz w:val="24"/>
                <w:szCs w:val="24"/>
              </w:rPr>
              <w:t>按照《沙坪坝区养老服务中心（站）运营管理办法》的相关要求，</w:t>
            </w:r>
            <w:r>
              <w:rPr>
                <w:rFonts w:hint="eastAsia" w:ascii="仿宋" w:hAnsi="仿宋" w:eastAsia="仿宋" w:cs="Times New Roman"/>
                <w:sz w:val="24"/>
                <w:szCs w:val="24"/>
              </w:rPr>
              <w:t>落实社区养老服务站运行评估和分级补贴制度，及时公开站点评估等级等信息，评估结果作为领取财政补贴和获取营运资格的依据。</w:t>
            </w:r>
          </w:p>
          <w:p>
            <w:pPr>
              <w:spacing w:line="400" w:lineRule="exact"/>
              <w:ind w:firstLine="482" w:firstLineChars="200"/>
              <w:rPr>
                <w:rFonts w:ascii="仿宋" w:hAnsi="仿宋" w:eastAsia="仿宋" w:cs="Times New Roman"/>
                <w:b/>
                <w:sz w:val="24"/>
              </w:rPr>
            </w:pPr>
            <w:r>
              <w:rPr>
                <w:rFonts w:hint="eastAsia" w:ascii="仿宋" w:hAnsi="仿宋" w:eastAsia="仿宋" w:cs="Times New Roman"/>
                <w:b/>
                <w:sz w:val="24"/>
                <w:szCs w:val="24"/>
              </w:rPr>
              <w:t>“三享”居家养老服务包推广项目。</w:t>
            </w:r>
            <w:r>
              <w:rPr>
                <w:rFonts w:hint="eastAsia" w:ascii="仿宋" w:hAnsi="仿宋" w:eastAsia="仿宋" w:cs="Times New Roman"/>
                <w:bCs/>
                <w:sz w:val="24"/>
                <w:szCs w:val="24"/>
              </w:rPr>
              <w:t>针对民政兜底对象、低消费群体和高消费群体三类服务对象，继续分类推进“专享、乐享、优享”服务包，让社区老年人在家门口即可享受自主“点菜式”“组合式”的嵌入式养老服务。</w:t>
            </w:r>
          </w:p>
          <w:p>
            <w:pPr>
              <w:spacing w:line="400" w:lineRule="exact"/>
              <w:ind w:firstLine="482" w:firstLineChars="200"/>
              <w:rPr>
                <w:rFonts w:ascii="仿宋" w:hAnsi="仿宋" w:eastAsia="仿宋" w:cs="Times New Roman"/>
                <w:bCs/>
                <w:sz w:val="24"/>
              </w:rPr>
            </w:pPr>
            <w:r>
              <w:rPr>
                <w:rFonts w:hint="eastAsia" w:ascii="仿宋" w:hAnsi="仿宋" w:eastAsia="仿宋" w:cs="Times New Roman"/>
                <w:b/>
                <w:sz w:val="24"/>
                <w:szCs w:val="24"/>
              </w:rPr>
              <w:t>老年人助浴服务项目。</w:t>
            </w:r>
            <w:r>
              <w:rPr>
                <w:rFonts w:hint="eastAsia" w:ascii="仿宋" w:hAnsi="仿宋" w:eastAsia="仿宋" w:cs="Times New Roman"/>
                <w:bCs/>
                <w:sz w:val="24"/>
                <w:szCs w:val="24"/>
              </w:rPr>
              <w:t>与市慈善总会、基金会、爱心企业等公益和商业力量合作，以社区养老服务中心或者助浴服务机构为依托，提供定点助浴和上门助浴两种服务方式，包括洗头、洗澡、洗脚、理发、修剪指甲、修面等。</w:t>
            </w:r>
          </w:p>
          <w:p>
            <w:pPr>
              <w:spacing w:line="400" w:lineRule="exact"/>
              <w:ind w:firstLine="482" w:firstLineChars="200"/>
              <w:rPr>
                <w:rFonts w:ascii="等线" w:hAnsi="等线" w:eastAsia="等线" w:cs="Times New Roman"/>
              </w:rPr>
            </w:pPr>
            <w:r>
              <w:rPr>
                <w:rFonts w:hint="eastAsia" w:ascii="仿宋" w:hAnsi="仿宋" w:eastAsia="仿宋" w:cs="Times New Roman"/>
                <w:b/>
                <w:sz w:val="24"/>
                <w:szCs w:val="24"/>
              </w:rPr>
              <w:t>失智老人预防项目。</w:t>
            </w:r>
            <w:r>
              <w:rPr>
                <w:rFonts w:hint="eastAsia" w:ascii="仿宋" w:hAnsi="仿宋" w:eastAsia="仿宋" w:cs="Times New Roman"/>
                <w:bCs/>
                <w:sz w:val="24"/>
                <w:szCs w:val="24"/>
              </w:rPr>
              <w:t>通过购买服务方式为全区</w:t>
            </w:r>
            <w:r>
              <w:rPr>
                <w:rFonts w:ascii="Times New Roman" w:hAnsi="Times New Roman" w:eastAsia="仿宋" w:cs="Times New Roman"/>
                <w:bCs/>
                <w:sz w:val="24"/>
                <w:szCs w:val="24"/>
              </w:rPr>
              <w:t>65</w:t>
            </w:r>
            <w:r>
              <w:rPr>
                <w:rFonts w:ascii="仿宋" w:hAnsi="仿宋" w:eastAsia="仿宋" w:cs="Times New Roman"/>
                <w:bCs/>
                <w:sz w:val="24"/>
                <w:szCs w:val="24"/>
              </w:rPr>
              <w:t>岁以上的老</w:t>
            </w:r>
            <w:r>
              <w:rPr>
                <w:rFonts w:hint="eastAsia" w:ascii="仿宋" w:hAnsi="仿宋" w:eastAsia="仿宋" w:cs="Times New Roman"/>
                <w:bCs/>
                <w:sz w:val="24"/>
                <w:szCs w:val="24"/>
              </w:rPr>
              <w:t>年</w:t>
            </w:r>
            <w:r>
              <w:rPr>
                <w:rFonts w:ascii="仿宋" w:hAnsi="仿宋" w:eastAsia="仿宋" w:cs="Times New Roman"/>
                <w:bCs/>
                <w:sz w:val="24"/>
                <w:szCs w:val="24"/>
              </w:rPr>
              <w:t>人</w:t>
            </w:r>
            <w:r>
              <w:rPr>
                <w:rFonts w:hint="eastAsia" w:ascii="仿宋" w:hAnsi="仿宋" w:eastAsia="仿宋" w:cs="Times New Roman"/>
                <w:bCs/>
                <w:sz w:val="24"/>
                <w:szCs w:val="24"/>
              </w:rPr>
              <w:t>提供</w:t>
            </w:r>
            <w:r>
              <w:rPr>
                <w:rFonts w:ascii="仿宋" w:hAnsi="仿宋" w:eastAsia="仿宋" w:cs="Times New Roman"/>
                <w:bCs/>
                <w:sz w:val="24"/>
                <w:szCs w:val="24"/>
              </w:rPr>
              <w:t>失智筛查、预防训练、家庭照护培训和定位仪配发等服务。开发老年失智自检筛查包，</w:t>
            </w:r>
            <w:r>
              <w:rPr>
                <w:rFonts w:hint="eastAsia" w:ascii="仿宋" w:hAnsi="仿宋" w:eastAsia="仿宋" w:cs="Times New Roman"/>
                <w:bCs/>
                <w:sz w:val="24"/>
                <w:szCs w:val="24"/>
              </w:rPr>
              <w:t>包括</w:t>
            </w:r>
            <w:r>
              <w:rPr>
                <w:rFonts w:ascii="仿宋" w:hAnsi="仿宋" w:eastAsia="仿宋" w:cs="Times New Roman"/>
                <w:bCs/>
                <w:sz w:val="24"/>
                <w:szCs w:val="24"/>
              </w:rPr>
              <w:t>筛查量表套装</w:t>
            </w:r>
            <w:r>
              <w:rPr>
                <w:rFonts w:hint="eastAsia" w:ascii="仿宋" w:hAnsi="仿宋" w:eastAsia="仿宋" w:cs="Times New Roman"/>
                <w:bCs/>
                <w:sz w:val="24"/>
                <w:szCs w:val="24"/>
              </w:rPr>
              <w:t>、</w:t>
            </w:r>
            <w:r>
              <w:rPr>
                <w:rFonts w:ascii="仿宋" w:hAnsi="仿宋" w:eastAsia="仿宋" w:cs="Times New Roman"/>
                <w:bCs/>
                <w:sz w:val="24"/>
                <w:szCs w:val="24"/>
              </w:rPr>
              <w:t>益智动脑套装</w:t>
            </w:r>
            <w:r>
              <w:rPr>
                <w:rFonts w:hint="eastAsia" w:ascii="仿宋" w:hAnsi="仿宋" w:eastAsia="仿宋" w:cs="Times New Roman"/>
                <w:bCs/>
                <w:sz w:val="24"/>
                <w:szCs w:val="24"/>
              </w:rPr>
              <w:t>、</w:t>
            </w:r>
            <w:r>
              <w:rPr>
                <w:rFonts w:ascii="仿宋" w:hAnsi="仿宋" w:eastAsia="仿宋" w:cs="Times New Roman"/>
                <w:bCs/>
                <w:sz w:val="24"/>
                <w:szCs w:val="24"/>
              </w:rPr>
              <w:t>家庭照护套装等失智筛查与预防训练物资</w:t>
            </w:r>
            <w:r>
              <w:rPr>
                <w:rFonts w:hint="eastAsia" w:ascii="仿宋" w:hAnsi="仿宋" w:eastAsia="仿宋" w:cs="Times New Roman"/>
                <w:bCs/>
                <w:sz w:val="24"/>
                <w:szCs w:val="24"/>
              </w:rPr>
              <w:t>。</w:t>
            </w:r>
          </w:p>
        </w:tc>
      </w:tr>
    </w:tbl>
    <w:p>
      <w:pPr>
        <w:rPr>
          <w:rFonts w:ascii="仿宋" w:hAnsi="仿宋" w:eastAsia="仿宋"/>
          <w:sz w:val="32"/>
        </w:rPr>
      </w:pPr>
    </w:p>
    <w:p>
      <w:pPr>
        <w:rPr>
          <w:rFonts w:ascii="仿宋" w:hAnsi="仿宋" w:eastAsia="仿宋"/>
          <w:sz w:val="32"/>
        </w:rPr>
      </w:pPr>
    </w:p>
    <w:p>
      <w:pPr>
        <w:pStyle w:val="2"/>
        <w:ind w:firstLine="210"/>
      </w:pPr>
    </w:p>
    <w:p>
      <w:pPr>
        <w:jc w:val="center"/>
        <w:outlineLvl w:val="0"/>
        <w:rPr>
          <w:rFonts w:ascii="黑体" w:hAnsi="黑体" w:eastAsia="黑体" w:cs="Times New Roman"/>
          <w:sz w:val="32"/>
        </w:rPr>
      </w:pPr>
      <w:bookmarkStart w:id="25" w:name="_Toc118042941"/>
      <w:r>
        <w:rPr>
          <w:rFonts w:hint="eastAsia" w:ascii="黑体" w:hAnsi="黑体" w:eastAsia="黑体" w:cs="Times New Roman"/>
          <w:sz w:val="32"/>
        </w:rPr>
        <w:t>第五章</w:t>
      </w:r>
      <w:r>
        <w:rPr>
          <w:rFonts w:ascii="黑体" w:hAnsi="黑体" w:eastAsia="黑体" w:cs="Times New Roman"/>
          <w:sz w:val="32"/>
        </w:rPr>
        <w:t xml:space="preserve">  </w:t>
      </w:r>
      <w:r>
        <w:rPr>
          <w:rFonts w:hint="eastAsia" w:ascii="黑体" w:hAnsi="黑体" w:eastAsia="黑体" w:cs="Times New Roman"/>
          <w:sz w:val="32"/>
        </w:rPr>
        <w:t>促进机构养老服务质量提升</w:t>
      </w:r>
      <w:bookmarkEnd w:id="25"/>
    </w:p>
    <w:p>
      <w:pPr>
        <w:rPr>
          <w:rFonts w:ascii="仿宋" w:hAnsi="仿宋" w:eastAsia="仿宋" w:cs="Times New Roman"/>
          <w:sz w:val="32"/>
        </w:rPr>
      </w:pPr>
    </w:p>
    <w:p>
      <w:pPr>
        <w:jc w:val="center"/>
        <w:outlineLvl w:val="1"/>
        <w:rPr>
          <w:rFonts w:ascii="仿宋" w:hAnsi="仿宋" w:eastAsia="仿宋" w:cs="Times New Roman"/>
          <w:b/>
          <w:sz w:val="32"/>
        </w:rPr>
      </w:pPr>
      <w:bookmarkStart w:id="26" w:name="_Toc118042942"/>
      <w:r>
        <w:rPr>
          <w:rFonts w:hint="eastAsia" w:ascii="仿宋" w:hAnsi="仿宋" w:eastAsia="仿宋" w:cs="Times New Roman"/>
          <w:b/>
          <w:sz w:val="32"/>
        </w:rPr>
        <w:t xml:space="preserve">第一节 </w:t>
      </w:r>
      <w:r>
        <w:rPr>
          <w:rFonts w:ascii="仿宋" w:hAnsi="仿宋" w:eastAsia="仿宋" w:cs="Times New Roman"/>
          <w:b/>
          <w:sz w:val="32"/>
        </w:rPr>
        <w:t xml:space="preserve"> </w:t>
      </w:r>
      <w:r>
        <w:rPr>
          <w:rFonts w:hint="eastAsia" w:ascii="仿宋" w:hAnsi="仿宋" w:eastAsia="仿宋" w:cs="Times New Roman"/>
          <w:b/>
          <w:sz w:val="32"/>
        </w:rPr>
        <w:t>强化公办养老机构服务能力</w:t>
      </w:r>
      <w:bookmarkEnd w:id="26"/>
    </w:p>
    <w:p>
      <w:pPr>
        <w:ind w:firstLine="640" w:firstLineChars="200"/>
        <w:rPr>
          <w:rFonts w:ascii="仿宋" w:hAnsi="仿宋" w:eastAsia="仿宋" w:cs="Times New Roman"/>
          <w:sz w:val="32"/>
        </w:rPr>
      </w:pPr>
      <w:r>
        <w:rPr>
          <w:rFonts w:hint="eastAsia" w:ascii="仿宋" w:hAnsi="仿宋" w:eastAsia="仿宋" w:cs="Times New Roman"/>
          <w:sz w:val="32"/>
        </w:rPr>
        <w:t>创新公办养老机构运营方式，采取委托管理、补贴运营、股权合作、购买服务等多种手段支持公建民营养老机构发展。发挥公办养老机构兜底保障功能与普惠作用，提升区社会福利护养中心的集中照护能力</w:t>
      </w:r>
      <w:r>
        <w:rPr>
          <w:rFonts w:ascii="仿宋" w:hAnsi="仿宋" w:eastAsia="仿宋" w:cs="Times New Roman"/>
          <w:sz w:val="32"/>
        </w:rPr>
        <w:t>，确保</w:t>
      </w:r>
      <w:r>
        <w:rPr>
          <w:rFonts w:hint="eastAsia" w:ascii="仿宋" w:hAnsi="仿宋" w:eastAsia="仿宋" w:cs="Times New Roman"/>
          <w:sz w:val="32"/>
        </w:rPr>
        <w:t>失能</w:t>
      </w:r>
      <w:r>
        <w:rPr>
          <w:rFonts w:ascii="仿宋" w:hAnsi="仿宋" w:eastAsia="仿宋" w:cs="Times New Roman"/>
          <w:sz w:val="32"/>
        </w:rPr>
        <w:t>特困老年人</w:t>
      </w:r>
      <w:r>
        <w:rPr>
          <w:rFonts w:hint="eastAsia" w:ascii="仿宋" w:hAnsi="仿宋" w:eastAsia="仿宋" w:cs="Times New Roman"/>
          <w:sz w:val="32"/>
        </w:rPr>
        <w:t>享受到高质量照护服务。鼓励公办养老机构在保障政府兜底任务的前提下，其余床位允许向社会开放，收益反哺兜底保障对象的养老服务。增强老年人照护人员职业能力，提高照护服务质量，开展服务管理标准化建设，发挥公办养老机构的示范作用。以公办养老机构为依托建立养老人才孵化基地，由区社会福利护养中心对全区所有</w:t>
      </w:r>
      <w:r>
        <w:rPr>
          <w:rFonts w:ascii="仿宋" w:hAnsi="仿宋" w:eastAsia="仿宋" w:cs="Times New Roman"/>
          <w:sz w:val="32"/>
        </w:rPr>
        <w:t>镇养老服务中心（敬老院）提供服务指导、护理培训等支持。</w:t>
      </w:r>
      <w:r>
        <w:rPr>
          <w:rFonts w:hint="eastAsia" w:ascii="仿宋" w:hAnsi="仿宋" w:eastAsia="仿宋" w:cs="Times New Roman"/>
          <w:sz w:val="32"/>
        </w:rPr>
        <w:t>鼓励</w:t>
      </w:r>
      <w:r>
        <w:rPr>
          <w:rFonts w:ascii="仿宋" w:hAnsi="仿宋" w:eastAsia="仿宋" w:cs="Times New Roman"/>
          <w:sz w:val="32"/>
        </w:rPr>
        <w:t>公办养老机构</w:t>
      </w:r>
      <w:r>
        <w:rPr>
          <w:rFonts w:hint="eastAsia" w:ascii="仿宋" w:hAnsi="仿宋" w:eastAsia="仿宋" w:cs="Times New Roman"/>
          <w:sz w:val="32"/>
        </w:rPr>
        <w:t>提供居家养老上门服务，推进家庭养老床位和机构床位之间互转互认，有效提升居家养老服务水平。</w:t>
      </w:r>
    </w:p>
    <w:p>
      <w:pPr>
        <w:rPr>
          <w:rFonts w:ascii="仿宋" w:hAnsi="仿宋" w:eastAsia="仿宋" w:cs="Times New Roman"/>
          <w:sz w:val="32"/>
        </w:rPr>
      </w:pPr>
    </w:p>
    <w:p>
      <w:pPr>
        <w:jc w:val="center"/>
        <w:outlineLvl w:val="1"/>
        <w:rPr>
          <w:rFonts w:ascii="仿宋" w:hAnsi="仿宋" w:eastAsia="仿宋" w:cs="Times New Roman"/>
          <w:b/>
          <w:sz w:val="32"/>
        </w:rPr>
      </w:pPr>
      <w:bookmarkStart w:id="27" w:name="_Toc118042943"/>
      <w:r>
        <w:rPr>
          <w:rFonts w:hint="eastAsia" w:ascii="仿宋" w:hAnsi="仿宋" w:eastAsia="仿宋" w:cs="Times New Roman"/>
          <w:b/>
          <w:sz w:val="32"/>
        </w:rPr>
        <w:t xml:space="preserve">第二节 </w:t>
      </w:r>
      <w:r>
        <w:rPr>
          <w:rFonts w:ascii="仿宋" w:hAnsi="仿宋" w:eastAsia="仿宋" w:cs="Times New Roman"/>
          <w:b/>
          <w:sz w:val="32"/>
        </w:rPr>
        <w:t xml:space="preserve"> </w:t>
      </w:r>
      <w:r>
        <w:rPr>
          <w:rFonts w:hint="eastAsia" w:ascii="仿宋" w:hAnsi="仿宋" w:eastAsia="仿宋" w:cs="Times New Roman"/>
          <w:b/>
          <w:sz w:val="32"/>
        </w:rPr>
        <w:t>引导社会办养老机构有序发展</w:t>
      </w:r>
      <w:bookmarkEnd w:id="27"/>
    </w:p>
    <w:p>
      <w:pPr>
        <w:ind w:firstLine="640" w:firstLineChars="200"/>
        <w:rPr>
          <w:rFonts w:ascii="仿宋" w:hAnsi="仿宋" w:eastAsia="仿宋" w:cs="Times New Roman"/>
          <w:sz w:val="32"/>
        </w:rPr>
      </w:pPr>
      <w:r>
        <w:rPr>
          <w:rFonts w:hint="eastAsia" w:ascii="仿宋" w:hAnsi="仿宋" w:eastAsia="仿宋" w:cs="Times New Roman"/>
          <w:sz w:val="32"/>
        </w:rPr>
        <w:t>优化养老行业营商环境，创新完善各类扶持举措，引导社会资本进入失能、失智等照护型养老服务行业，放宽外资捐资举办非营利性养老机构，支持社区嵌入式、护理型养老机构发展。鼓励社会办养老机构拓展服务功能，探索个性化照护、安宁疗护等专业养老服务，不断提升服务供给质量。合理延伸社会办养老机构的服务范围，将专业化服</w:t>
      </w:r>
      <w:r>
        <w:rPr>
          <w:rFonts w:ascii="仿宋" w:hAnsi="仿宋" w:eastAsia="仿宋" w:cs="Times New Roman"/>
          <w:sz w:val="32"/>
        </w:rPr>
        <w:t>务延伸至社区、家庭</w:t>
      </w:r>
      <w:r>
        <w:rPr>
          <w:rFonts w:hint="eastAsia" w:ascii="仿宋" w:hAnsi="仿宋" w:eastAsia="仿宋" w:cs="Times New Roman"/>
          <w:sz w:val="32"/>
        </w:rPr>
        <w:t>，推动居家、社区和机构养老融合发展，依托养老服务中心链接机构养老和居家养老，完善“中心带站”的运营管理模式，基本形成“一刻钟”养老服务圈。引导社会办养老机构规模化、连锁化、品牌化发展，不断提升服务品质和抗风险能力，评选星级养老机构，促进养老机构服务质量提升</w:t>
      </w:r>
      <w:r>
        <w:rPr>
          <w:rFonts w:ascii="仿宋" w:hAnsi="仿宋" w:eastAsia="仿宋" w:cs="Times New Roman"/>
          <w:sz w:val="32"/>
        </w:rPr>
        <w:t>。</w:t>
      </w:r>
    </w:p>
    <w:p>
      <w:pPr>
        <w:rPr>
          <w:rFonts w:ascii="仿宋" w:hAnsi="仿宋" w:eastAsia="仿宋" w:cs="Times New Roman"/>
          <w:sz w:val="32"/>
        </w:rPr>
      </w:pPr>
    </w:p>
    <w:p>
      <w:pPr>
        <w:jc w:val="center"/>
        <w:outlineLvl w:val="1"/>
        <w:rPr>
          <w:rFonts w:ascii="仿宋" w:hAnsi="仿宋" w:eastAsia="仿宋" w:cs="Times New Roman"/>
          <w:b/>
          <w:sz w:val="32"/>
        </w:rPr>
      </w:pPr>
      <w:bookmarkStart w:id="28" w:name="_Toc118042944"/>
      <w:r>
        <w:rPr>
          <w:rFonts w:hint="eastAsia" w:ascii="仿宋" w:hAnsi="仿宋" w:eastAsia="仿宋" w:cs="Times New Roman"/>
          <w:b/>
          <w:sz w:val="32"/>
        </w:rPr>
        <w:t xml:space="preserve">第三节 </w:t>
      </w:r>
      <w:r>
        <w:rPr>
          <w:rFonts w:ascii="仿宋" w:hAnsi="仿宋" w:eastAsia="仿宋" w:cs="Times New Roman"/>
          <w:b/>
          <w:sz w:val="32"/>
        </w:rPr>
        <w:t xml:space="preserve"> </w:t>
      </w:r>
      <w:r>
        <w:rPr>
          <w:rFonts w:hint="eastAsia" w:ascii="仿宋" w:hAnsi="仿宋" w:eastAsia="仿宋" w:cs="Times New Roman"/>
          <w:b/>
          <w:sz w:val="32"/>
        </w:rPr>
        <w:t>推动农村养老机构规范化运营</w:t>
      </w:r>
      <w:bookmarkEnd w:id="28"/>
    </w:p>
    <w:p>
      <w:pPr>
        <w:ind w:firstLine="640" w:firstLineChars="200"/>
        <w:rPr>
          <w:rFonts w:ascii="仿宋" w:hAnsi="仿宋" w:eastAsia="仿宋" w:cs="Times New Roman"/>
          <w:sz w:val="32"/>
        </w:rPr>
      </w:pPr>
      <w:r>
        <w:rPr>
          <w:rFonts w:hint="eastAsia" w:ascii="仿宋" w:hAnsi="仿宋" w:eastAsia="仿宋" w:cs="Times New Roman"/>
          <w:sz w:val="32"/>
        </w:rPr>
        <w:t>增强农村养老机构服务能力。推进农村敬老院提档升级改造，融合专业护理、医疗康复等服务功能，逐步转型为乡镇养老服务中心。健全农村养老服务设施人员配备标准，农村失能特困人员集中照护中心要按照失能老年人不低于</w:t>
      </w:r>
      <w:r>
        <w:rPr>
          <w:rFonts w:ascii="Times New Roman" w:hAnsi="Times New Roman" w:eastAsia="仿宋" w:cs="Times New Roman"/>
          <w:sz w:val="32"/>
        </w:rPr>
        <w:t>3</w:t>
      </w:r>
      <w:r>
        <w:rPr>
          <w:rFonts w:ascii="仿宋" w:hAnsi="仿宋" w:eastAsia="仿宋" w:cs="Times New Roman"/>
          <w:sz w:val="32"/>
        </w:rPr>
        <w:t>∶</w:t>
      </w:r>
      <w:r>
        <w:rPr>
          <w:rFonts w:ascii="Times New Roman" w:hAnsi="Times New Roman" w:eastAsia="仿宋" w:cs="Times New Roman"/>
          <w:sz w:val="32"/>
        </w:rPr>
        <w:t>1</w:t>
      </w:r>
      <w:r>
        <w:rPr>
          <w:rFonts w:ascii="仿宋" w:hAnsi="仿宋" w:eastAsia="仿宋" w:cs="Times New Roman"/>
          <w:sz w:val="32"/>
        </w:rPr>
        <w:t>的比例配备管理服务人员，</w:t>
      </w:r>
      <w:r>
        <w:rPr>
          <w:rFonts w:hint="eastAsia" w:ascii="仿宋" w:hAnsi="仿宋" w:eastAsia="仿宋" w:cs="Times New Roman"/>
          <w:sz w:val="32"/>
        </w:rPr>
        <w:t>提高失能特困人员集中照护服务质量。继续做好乡镇敬老院法人登记和备案工作，按照供养对象不低于</w:t>
      </w:r>
      <w:r>
        <w:rPr>
          <w:rFonts w:ascii="Times New Roman" w:hAnsi="Times New Roman" w:eastAsia="仿宋" w:cs="Times New Roman"/>
          <w:sz w:val="32"/>
        </w:rPr>
        <w:t>10</w:t>
      </w:r>
      <w:r>
        <w:rPr>
          <w:rFonts w:ascii="仿宋" w:hAnsi="仿宋" w:eastAsia="仿宋" w:cs="Times New Roman"/>
          <w:sz w:val="32"/>
        </w:rPr>
        <w:t>∶</w:t>
      </w:r>
      <w:r>
        <w:rPr>
          <w:rFonts w:ascii="Times New Roman" w:hAnsi="Times New Roman" w:eastAsia="仿宋" w:cs="Times New Roman"/>
          <w:sz w:val="32"/>
        </w:rPr>
        <w:t>1</w:t>
      </w:r>
      <w:r>
        <w:rPr>
          <w:rFonts w:ascii="仿宋" w:hAnsi="仿宋" w:eastAsia="仿宋" w:cs="Times New Roman"/>
          <w:sz w:val="32"/>
        </w:rPr>
        <w:t>的比例配备管理服务人员，</w:t>
      </w:r>
      <w:r>
        <w:rPr>
          <w:rFonts w:hint="eastAsia" w:ascii="仿宋" w:hAnsi="仿宋" w:eastAsia="仿宋" w:cs="Times New Roman"/>
          <w:sz w:val="32"/>
        </w:rPr>
        <w:t>鼓励利用空余床位收住农村经济困难、计划生育特殊困难家庭等社会老年人。建立完善运营补贴制度，通过税费减免、奖励补贴等政策，支持优质养老服务企业或社会组织参与乡镇敬老院和乡镇养老服务中心的建设改造和运营管理。鼓励养老服务中心支持养老互助站运行、提供居家养老服务，将养老服务输送至村镇、家庭，为农村老年人提供普惠性基本养老服务。</w:t>
      </w:r>
    </w:p>
    <w:p>
      <w:pPr>
        <w:ind w:firstLine="640" w:firstLineChars="200"/>
        <w:rPr>
          <w:rFonts w:ascii="仿宋" w:hAnsi="仿宋" w:eastAsia="仿宋" w:cs="Times New Roman"/>
          <w:sz w:val="32"/>
        </w:rPr>
      </w:pPr>
      <w:r>
        <w:rPr>
          <w:rFonts w:hint="eastAsia" w:ascii="仿宋" w:hAnsi="仿宋" w:eastAsia="仿宋" w:cs="Times New Roman"/>
          <w:sz w:val="32"/>
        </w:rPr>
        <w:t>提高农村养老服务信息化水平。建立农村老年人信息管理平台，建立健全详实完备的信息台账，重点掌握留守、失能、高龄等老年人信息，实行分类动态管理，实现信息共享。依托乡镇养老服务中心、乡镇敬老院、村级互助养老点等服务资源搭建智慧养老云平台，开展信息采集、机构查询、政策宣传、应急响应等线上服务。鼓励农村家庭参与适老化改造，为老年家庭配套安装视频监控、电信宽带、监护手环等智慧养老设备，开展远程监护，降低老年人意外风险。</w:t>
      </w:r>
    </w:p>
    <w:p>
      <w:pPr>
        <w:rPr>
          <w:rFonts w:ascii="仿宋" w:hAnsi="仿宋" w:eastAsia="仿宋" w:cs="Times New Roman"/>
          <w:sz w:val="32"/>
        </w:rPr>
      </w:pPr>
    </w:p>
    <w:p>
      <w:pPr>
        <w:jc w:val="center"/>
        <w:outlineLvl w:val="1"/>
        <w:rPr>
          <w:rFonts w:ascii="仿宋" w:hAnsi="仿宋" w:eastAsia="仿宋" w:cs="Times New Roman"/>
          <w:b/>
          <w:sz w:val="32"/>
        </w:rPr>
      </w:pPr>
      <w:bookmarkStart w:id="29" w:name="_Toc118042945"/>
      <w:r>
        <w:rPr>
          <w:rFonts w:hint="eastAsia" w:ascii="仿宋" w:hAnsi="仿宋" w:eastAsia="仿宋" w:cs="Times New Roman"/>
          <w:b/>
          <w:sz w:val="32"/>
        </w:rPr>
        <w:t xml:space="preserve">第四节 </w:t>
      </w:r>
      <w:r>
        <w:rPr>
          <w:rFonts w:ascii="仿宋" w:hAnsi="仿宋" w:eastAsia="仿宋" w:cs="Times New Roman"/>
          <w:b/>
          <w:sz w:val="32"/>
        </w:rPr>
        <w:t xml:space="preserve"> </w:t>
      </w:r>
      <w:r>
        <w:rPr>
          <w:rFonts w:hint="eastAsia" w:ascii="仿宋" w:hAnsi="仿宋" w:eastAsia="仿宋" w:cs="Times New Roman"/>
          <w:b/>
          <w:sz w:val="32"/>
        </w:rPr>
        <w:t>促进养老机构高质量发展</w:t>
      </w:r>
      <w:bookmarkEnd w:id="29"/>
    </w:p>
    <w:p>
      <w:pPr>
        <w:ind w:firstLine="640" w:firstLineChars="200"/>
        <w:rPr>
          <w:rFonts w:ascii="仿宋" w:hAnsi="仿宋" w:eastAsia="仿宋" w:cs="Times New Roman"/>
          <w:sz w:val="32"/>
        </w:rPr>
      </w:pPr>
      <w:r>
        <w:rPr>
          <w:rFonts w:hint="eastAsia" w:ascii="仿宋" w:hAnsi="仿宋" w:eastAsia="仿宋" w:cs="Times New Roman"/>
          <w:sz w:val="32"/>
        </w:rPr>
        <w:t>健全养老机构安全管理制度，扎实开展养老机构安全监管工作，建立民政、市场监管、消防等多部门综合监管机制，推动解决养老机构重大安全隐患，实施养老机构消防安全达标工程，引导养老机构完成消防审验，坚持推行第三方专业机构开展全覆盖安全巡查，督促整改问题隐患，确保养老机构安全平稳运行。提高养老机构康复护理服务能力，根据机构规模、服务对象、老年人数量、功能定位等合理配置医疗、护理、康复、社会工作等岗位人员。加强养老机构标准化建设，落实国家、行业、地方养老服务标准体系，完善养老服务管理标准，推动养老服务高质量发展。强化养老机构服务评估与评估结果运用，将评估结果作为服务机构领取补贴的重要依据，完善养老服务市场主体进入退出机制，激励养老机构提升服务质量</w:t>
      </w:r>
      <w:r>
        <w:rPr>
          <w:rFonts w:ascii="仿宋" w:hAnsi="仿宋" w:eastAsia="仿宋" w:cs="Times New Roman"/>
          <w:sz w:val="32"/>
        </w:rPr>
        <w:t>。</w:t>
      </w:r>
    </w:p>
    <w:p>
      <w:pPr>
        <w:tabs>
          <w:tab w:val="right" w:leader="dot" w:pos="8834"/>
        </w:tabs>
        <w:spacing w:line="579" w:lineRule="exact"/>
        <w:jc w:val="center"/>
        <w:textAlignment w:val="center"/>
        <w:rPr>
          <w:rFonts w:ascii="黑体" w:hAnsi="黑体" w:eastAsia="黑体" w:cs="Times New Roman"/>
          <w:color w:val="000000"/>
          <w:sz w:val="32"/>
        </w:rPr>
      </w:pPr>
      <w:r>
        <w:rPr>
          <w:rFonts w:hint="eastAsia" w:ascii="黑体" w:hAnsi="黑体" w:eastAsia="黑体" w:cs="Times New Roman"/>
          <w:color w:val="000000"/>
          <w:sz w:val="32"/>
        </w:rPr>
        <w:t>专栏</w:t>
      </w:r>
      <w:r>
        <w:rPr>
          <w:rFonts w:ascii="Times New Roman" w:hAnsi="Times New Roman" w:eastAsia="黑体" w:cs="Times New Roman"/>
          <w:color w:val="000000"/>
          <w:sz w:val="32"/>
        </w:rPr>
        <w:t>4</w:t>
      </w:r>
      <w:r>
        <w:rPr>
          <w:rFonts w:ascii="黑体" w:hAnsi="黑体" w:eastAsia="黑体" w:cs="Times New Roman"/>
          <w:color w:val="000000"/>
          <w:sz w:val="32"/>
        </w:rPr>
        <w:t xml:space="preserve">  </w:t>
      </w:r>
      <w:r>
        <w:rPr>
          <w:rFonts w:hint="eastAsia" w:ascii="黑体" w:hAnsi="黑体" w:eastAsia="黑体" w:cs="Times New Roman"/>
          <w:color w:val="000000"/>
          <w:sz w:val="32"/>
        </w:rPr>
        <w:t>机构养老重点项目</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8834" w:type="dxa"/>
          </w:tcPr>
          <w:p>
            <w:pPr>
              <w:spacing w:line="400" w:lineRule="exact"/>
              <w:ind w:firstLine="482" w:firstLineChars="200"/>
              <w:rPr>
                <w:rFonts w:ascii="仿宋" w:hAnsi="仿宋" w:eastAsia="仿宋" w:cs="Times New Roman"/>
                <w:sz w:val="24"/>
              </w:rPr>
            </w:pPr>
            <w:r>
              <w:rPr>
                <w:rFonts w:hint="eastAsia" w:ascii="仿宋" w:hAnsi="仿宋" w:eastAsia="仿宋" w:cs="Times New Roman"/>
                <w:b/>
                <w:sz w:val="24"/>
              </w:rPr>
              <w:t>养老机构标准化建设项目。</w:t>
            </w:r>
            <w:r>
              <w:rPr>
                <w:rFonts w:hint="eastAsia" w:ascii="仿宋" w:hAnsi="仿宋" w:eastAsia="仿宋" w:cs="Times New Roman"/>
                <w:sz w:val="24"/>
              </w:rPr>
              <w:t>通过政府购买服务等方式，依托第三方专业机构，督促全区养老机构落实建设、</w:t>
            </w:r>
            <w:r>
              <w:rPr>
                <w:rFonts w:ascii="仿宋" w:hAnsi="仿宋" w:eastAsia="仿宋" w:cs="Times New Roman"/>
                <w:sz w:val="24"/>
              </w:rPr>
              <w:t>运营</w:t>
            </w:r>
            <w:r>
              <w:rPr>
                <w:rFonts w:hint="eastAsia" w:ascii="仿宋" w:hAnsi="仿宋" w:eastAsia="仿宋" w:cs="Times New Roman"/>
                <w:sz w:val="24"/>
              </w:rPr>
              <w:t>标准，培养标准化专兼职人员，指导养老机构建立健全企业标准，促使基本达到《养老机构服务质量基本规范》国家标准。</w:t>
            </w:r>
          </w:p>
          <w:p>
            <w:pPr>
              <w:spacing w:line="400" w:lineRule="exact"/>
              <w:ind w:firstLine="482" w:firstLineChars="200"/>
              <w:rPr>
                <w:rFonts w:ascii="仿宋" w:hAnsi="仿宋" w:eastAsia="仿宋" w:cs="Times New Roman"/>
                <w:bCs/>
                <w:sz w:val="24"/>
              </w:rPr>
            </w:pPr>
            <w:r>
              <w:rPr>
                <w:rFonts w:hint="eastAsia" w:ascii="仿宋" w:hAnsi="仿宋" w:eastAsia="仿宋" w:cs="Times New Roman"/>
                <w:b/>
                <w:sz w:val="24"/>
              </w:rPr>
              <w:t>区级失能老人集中照护</w:t>
            </w:r>
            <w:r>
              <w:rPr>
                <w:rFonts w:ascii="仿宋" w:hAnsi="仿宋" w:eastAsia="仿宋" w:cs="Times New Roman"/>
                <w:b/>
                <w:sz w:val="24"/>
              </w:rPr>
              <w:t>项目</w:t>
            </w:r>
            <w:r>
              <w:rPr>
                <w:rFonts w:hint="eastAsia" w:ascii="仿宋" w:hAnsi="仿宋" w:eastAsia="仿宋" w:cs="Times New Roman"/>
                <w:b/>
                <w:sz w:val="24"/>
              </w:rPr>
              <w:t>。</w:t>
            </w:r>
            <w:r>
              <w:rPr>
                <w:rFonts w:hint="eastAsia" w:ascii="仿宋" w:hAnsi="仿宋" w:eastAsia="仿宋" w:cs="Times New Roman"/>
                <w:bCs/>
                <w:sz w:val="24"/>
              </w:rPr>
              <w:t>充分发挥区社会福利护养中心的“特困失能养老”功能，探索贫困重度失能残疾人、特困老人等困难群体集中照护方式，提供专业化、规范化、系统化的养老服务。</w:t>
            </w:r>
          </w:p>
        </w:tc>
      </w:tr>
    </w:tbl>
    <w:p>
      <w:pPr>
        <w:rPr>
          <w:rFonts w:ascii="仿宋" w:hAnsi="仿宋" w:eastAsia="仿宋"/>
          <w:sz w:val="32"/>
        </w:rPr>
      </w:pPr>
    </w:p>
    <w:p>
      <w:pPr>
        <w:rPr>
          <w:rFonts w:ascii="仿宋" w:hAnsi="仿宋" w:eastAsia="仿宋"/>
          <w:sz w:val="32"/>
        </w:rPr>
      </w:pPr>
    </w:p>
    <w:p>
      <w:pPr>
        <w:jc w:val="center"/>
        <w:outlineLvl w:val="0"/>
        <w:rPr>
          <w:rFonts w:ascii="黑体" w:hAnsi="黑体" w:eastAsia="黑体" w:cs="Times New Roman"/>
          <w:sz w:val="32"/>
          <w:szCs w:val="32"/>
        </w:rPr>
      </w:pPr>
      <w:bookmarkStart w:id="30" w:name="_Toc118042946"/>
      <w:r>
        <w:rPr>
          <w:rFonts w:hint="eastAsia" w:ascii="黑体" w:hAnsi="黑体" w:eastAsia="黑体" w:cs="Times New Roman"/>
          <w:sz w:val="32"/>
          <w:szCs w:val="32"/>
        </w:rPr>
        <w:t>第六章  推动医养结合深度发展</w:t>
      </w:r>
      <w:bookmarkEnd w:id="30"/>
    </w:p>
    <w:p>
      <w:pPr>
        <w:rPr>
          <w:rFonts w:ascii="仿宋" w:hAnsi="仿宋" w:eastAsia="仿宋" w:cs="Times New Roman"/>
          <w:sz w:val="32"/>
        </w:rPr>
      </w:pPr>
    </w:p>
    <w:p>
      <w:pPr>
        <w:jc w:val="center"/>
        <w:outlineLvl w:val="1"/>
        <w:rPr>
          <w:rFonts w:ascii="仿宋" w:hAnsi="仿宋" w:eastAsia="仿宋" w:cs="Times New Roman"/>
          <w:b/>
          <w:sz w:val="32"/>
          <w:szCs w:val="32"/>
        </w:rPr>
      </w:pPr>
      <w:bookmarkStart w:id="31" w:name="_Toc118042947"/>
      <w:r>
        <w:rPr>
          <w:rFonts w:hint="eastAsia" w:ascii="仿宋" w:hAnsi="仿宋" w:eastAsia="仿宋" w:cs="Times New Roman"/>
          <w:b/>
          <w:sz w:val="32"/>
          <w:szCs w:val="32"/>
        </w:rPr>
        <w:t>第一节  创新医养结合服务模式</w:t>
      </w:r>
      <w:bookmarkEnd w:id="31"/>
    </w:p>
    <w:p>
      <w:pPr>
        <w:ind w:firstLine="640" w:firstLineChars="200"/>
        <w:rPr>
          <w:rFonts w:ascii="仿宋" w:hAnsi="仿宋" w:eastAsia="仿宋" w:cs="Times New Roman"/>
          <w:sz w:val="32"/>
        </w:rPr>
      </w:pPr>
      <w:r>
        <w:rPr>
          <w:rFonts w:ascii="仿宋" w:hAnsi="仿宋" w:eastAsia="仿宋" w:cs="Times New Roman"/>
          <w:color w:val="000000"/>
          <w:sz w:val="32"/>
          <w:szCs w:val="32"/>
        </w:rPr>
        <w:t>充分利用辖区优质医疗资源，</w:t>
      </w:r>
      <w:r>
        <w:rPr>
          <w:rFonts w:hint="eastAsia" w:ascii="仿宋" w:hAnsi="仿宋" w:eastAsia="仿宋" w:cs="Times New Roman"/>
          <w:color w:val="000000"/>
          <w:sz w:val="32"/>
          <w:szCs w:val="32"/>
        </w:rPr>
        <w:t>完善“</w:t>
      </w:r>
      <w:r>
        <w:rPr>
          <w:rFonts w:ascii="Times New Roman" w:hAnsi="Times New Roman" w:eastAsia="仿宋" w:cs="Times New Roman"/>
          <w:color w:val="000000"/>
          <w:sz w:val="32"/>
          <w:szCs w:val="32"/>
        </w:rPr>
        <w:t>1</w:t>
      </w:r>
      <w:r>
        <w:rPr>
          <w:rFonts w:ascii="仿宋" w:hAnsi="仿宋" w:eastAsia="仿宋" w:cs="Times New Roman"/>
          <w:color w:val="000000"/>
          <w:sz w:val="32"/>
          <w:szCs w:val="32"/>
        </w:rPr>
        <w:t>+</w:t>
      </w:r>
      <w:r>
        <w:rPr>
          <w:rFonts w:ascii="Times New Roman" w:hAnsi="Times New Roman" w:eastAsia="仿宋" w:cs="Times New Roman"/>
          <w:color w:val="000000"/>
          <w:sz w:val="32"/>
          <w:szCs w:val="32"/>
        </w:rPr>
        <w:t>X</w:t>
      </w:r>
      <w:r>
        <w:rPr>
          <w:rFonts w:hint="eastAsia" w:ascii="仿宋" w:hAnsi="仿宋" w:eastAsia="仿宋" w:cs="Times New Roman"/>
          <w:color w:val="000000"/>
          <w:sz w:val="32"/>
          <w:szCs w:val="32"/>
        </w:rPr>
        <w:t>”</w:t>
      </w:r>
      <w:r>
        <w:rPr>
          <w:rFonts w:ascii="仿宋" w:hAnsi="仿宋" w:eastAsia="仿宋" w:cs="Times New Roman"/>
          <w:color w:val="000000"/>
          <w:sz w:val="32"/>
          <w:szCs w:val="32"/>
        </w:rPr>
        <w:t>医养结合联合体服务机制</w:t>
      </w:r>
      <w:r>
        <w:rPr>
          <w:rFonts w:hint="eastAsia" w:ascii="仿宋" w:hAnsi="仿宋" w:eastAsia="仿宋" w:cs="Times New Roman"/>
          <w:color w:val="000000"/>
          <w:sz w:val="32"/>
          <w:szCs w:val="32"/>
        </w:rPr>
        <w:t>，加快</w:t>
      </w:r>
      <w:r>
        <w:rPr>
          <w:rFonts w:ascii="仿宋" w:hAnsi="仿宋" w:eastAsia="仿宋" w:cs="Times New Roman"/>
          <w:color w:val="000000"/>
          <w:sz w:val="32"/>
          <w:szCs w:val="32"/>
        </w:rPr>
        <w:t>医养结合发展。</w:t>
      </w:r>
      <w:r>
        <w:rPr>
          <w:rFonts w:hint="eastAsia" w:ascii="仿宋" w:hAnsi="仿宋" w:eastAsia="仿宋" w:cs="Times New Roman"/>
          <w:color w:val="000000"/>
          <w:sz w:val="32"/>
          <w:szCs w:val="32"/>
        </w:rPr>
        <w:t>优化</w:t>
      </w:r>
      <w:r>
        <w:rPr>
          <w:rFonts w:hint="eastAsia" w:ascii="仿宋" w:hAnsi="仿宋" w:eastAsia="仿宋" w:cs="Times New Roman"/>
          <w:sz w:val="32"/>
        </w:rPr>
        <w:t>医养结合型机构设立流程，鼓励社会力量兴办老年医院、康复医院、护理院、安宁疗护中心，为老年人提供多层次、多样化医养结合服务。拓展医疗卫生机构老年健康服务功能，鼓励二级以上综合医院开设老年医学科，支持社区卫生服务中心和社会办医院开设老年病区（房），逐步提高护理型养老床位比例。</w:t>
      </w:r>
      <w:r>
        <w:rPr>
          <w:rFonts w:hint="eastAsia" w:ascii="仿宋" w:hAnsi="仿宋" w:eastAsia="仿宋" w:cs="Times New Roman"/>
          <w:sz w:val="32"/>
          <w:szCs w:val="32"/>
        </w:rPr>
        <w:t>继续推行</w:t>
      </w:r>
      <w:r>
        <w:rPr>
          <w:rFonts w:ascii="仿宋" w:hAnsi="仿宋" w:eastAsia="仿宋" w:cs="Times New Roman"/>
          <w:sz w:val="32"/>
          <w:szCs w:val="32"/>
        </w:rPr>
        <w:t>社区卫生家庭医生签约式服务，</w:t>
      </w:r>
      <w:r>
        <w:rPr>
          <w:rFonts w:hint="eastAsia" w:ascii="仿宋" w:hAnsi="仿宋" w:eastAsia="仿宋" w:cs="Times New Roman"/>
          <w:sz w:val="32"/>
          <w:szCs w:val="32"/>
        </w:rPr>
        <w:t>推进</w:t>
      </w:r>
      <w:r>
        <w:rPr>
          <w:rFonts w:ascii="仿宋" w:hAnsi="仿宋" w:eastAsia="仿宋" w:cs="Times New Roman"/>
          <w:sz w:val="32"/>
          <w:szCs w:val="32"/>
        </w:rPr>
        <w:t>社区卫生服务中心与社区养老服务设施共建共管</w:t>
      </w:r>
      <w:r>
        <w:rPr>
          <w:rFonts w:hint="eastAsia" w:ascii="仿宋" w:hAnsi="仿宋" w:eastAsia="仿宋" w:cs="Times New Roman"/>
          <w:sz w:val="32"/>
          <w:szCs w:val="32"/>
        </w:rPr>
        <w:t>。</w:t>
      </w:r>
      <w:r>
        <w:rPr>
          <w:rFonts w:hint="eastAsia" w:ascii="仿宋" w:hAnsi="仿宋" w:eastAsia="仿宋" w:cs="Times New Roman"/>
          <w:sz w:val="32"/>
        </w:rPr>
        <w:t>推动医养结合机构提升医疗服务水平，支持有条件的养老机构建立老年护理院、康复医院等医疗机构。支持养老服务机构与各类医疗卫生机构构建医养联合体，促进医疗资源和养老资源互联互通、老年人健康档案共建共享，推动养老机构建立与医疗机构预约就诊等合作机制，开通老年人就医绿色通道，</w:t>
      </w:r>
      <w:r>
        <w:rPr>
          <w:rFonts w:ascii="仿宋" w:hAnsi="仿宋" w:eastAsia="仿宋" w:cs="Times New Roman"/>
          <w:sz w:val="32"/>
          <w:szCs w:val="32"/>
        </w:rPr>
        <w:t>落实</w:t>
      </w:r>
      <w:r>
        <w:rPr>
          <w:rFonts w:hint="eastAsia" w:ascii="仿宋" w:hAnsi="仿宋" w:eastAsia="仿宋" w:cs="Times New Roman"/>
          <w:sz w:val="32"/>
          <w:szCs w:val="32"/>
        </w:rPr>
        <w:t>公立医疗机构</w:t>
      </w:r>
      <w:r>
        <w:rPr>
          <w:rFonts w:ascii="仿宋" w:hAnsi="仿宋" w:eastAsia="仿宋" w:cs="Times New Roman"/>
          <w:sz w:val="32"/>
          <w:szCs w:val="32"/>
        </w:rPr>
        <w:t>减免普通</w:t>
      </w:r>
      <w:r>
        <w:rPr>
          <w:rFonts w:hint="eastAsia" w:ascii="仿宋" w:hAnsi="仿宋" w:eastAsia="仿宋" w:cs="Times New Roman"/>
          <w:sz w:val="32"/>
          <w:szCs w:val="32"/>
        </w:rPr>
        <w:t>诊察</w:t>
      </w:r>
      <w:r>
        <w:rPr>
          <w:rFonts w:ascii="仿宋" w:hAnsi="仿宋" w:eastAsia="仿宋" w:cs="Times New Roman"/>
          <w:sz w:val="32"/>
          <w:szCs w:val="32"/>
        </w:rPr>
        <w:t>费等优诊措施</w:t>
      </w:r>
      <w:r>
        <w:rPr>
          <w:rFonts w:hint="eastAsia" w:ascii="仿宋" w:hAnsi="仿宋" w:eastAsia="仿宋" w:cs="Times New Roman"/>
          <w:sz w:val="32"/>
        </w:rPr>
        <w:t>。鼓励养老机构引入医疗卫生机构为入住老年人提供专业的医疗卫生服务。推动乡镇卫生院与乡镇养老服务中心、村卫生室与农村幸福院毗邻建设，整合农村医养资源，衔接农村医养服务。将符合条件的养老机构内设医疗卫生机构纳入医保定点管理。</w:t>
      </w:r>
    </w:p>
    <w:p>
      <w:pPr>
        <w:rPr>
          <w:rFonts w:ascii="仿宋" w:hAnsi="仿宋" w:eastAsia="仿宋" w:cs="Times New Roman"/>
          <w:sz w:val="32"/>
        </w:rPr>
      </w:pPr>
    </w:p>
    <w:p>
      <w:pPr>
        <w:jc w:val="center"/>
        <w:outlineLvl w:val="1"/>
        <w:rPr>
          <w:rFonts w:ascii="仿宋" w:hAnsi="仿宋" w:eastAsia="仿宋" w:cs="Times New Roman"/>
          <w:b/>
          <w:sz w:val="32"/>
        </w:rPr>
      </w:pPr>
      <w:bookmarkStart w:id="32" w:name="_Toc118042948"/>
      <w:r>
        <w:rPr>
          <w:rFonts w:hint="eastAsia" w:ascii="仿宋" w:hAnsi="仿宋" w:eastAsia="仿宋" w:cs="Times New Roman"/>
          <w:b/>
          <w:sz w:val="32"/>
        </w:rPr>
        <w:t xml:space="preserve">第二节 </w:t>
      </w:r>
      <w:r>
        <w:rPr>
          <w:rFonts w:ascii="仿宋" w:hAnsi="仿宋" w:eastAsia="仿宋" w:cs="Times New Roman"/>
          <w:b/>
          <w:sz w:val="32"/>
        </w:rPr>
        <w:t xml:space="preserve"> </w:t>
      </w:r>
      <w:r>
        <w:rPr>
          <w:rFonts w:hint="eastAsia" w:ascii="仿宋" w:hAnsi="仿宋" w:eastAsia="仿宋" w:cs="Times New Roman"/>
          <w:b/>
          <w:sz w:val="32"/>
        </w:rPr>
        <w:t>促进医养结合服务提质增效</w:t>
      </w:r>
      <w:bookmarkEnd w:id="32"/>
    </w:p>
    <w:p>
      <w:pPr>
        <w:ind w:firstLine="640" w:firstLineChars="200"/>
        <w:rPr>
          <w:rFonts w:ascii="仿宋" w:hAnsi="仿宋" w:eastAsia="仿宋" w:cs="Times New Roman"/>
          <w:sz w:val="32"/>
        </w:rPr>
      </w:pPr>
      <w:r>
        <w:rPr>
          <w:rFonts w:hint="eastAsia" w:ascii="仿宋" w:hAnsi="仿宋" w:eastAsia="仿宋" w:cs="Times New Roman"/>
          <w:color w:val="000000"/>
          <w:sz w:val="32"/>
          <w:szCs w:val="32"/>
        </w:rPr>
        <w:t>通过医养深度结合提升居家和社区养老服务质量，</w:t>
      </w:r>
      <w:r>
        <w:rPr>
          <w:rFonts w:ascii="仿宋" w:hAnsi="仿宋" w:eastAsia="仿宋" w:cs="Times New Roman"/>
          <w:color w:val="000000"/>
          <w:sz w:val="32"/>
          <w:szCs w:val="32"/>
        </w:rPr>
        <w:t>不断满足老年人生活照料、健康管理等多样化需求</w:t>
      </w:r>
      <w:r>
        <w:rPr>
          <w:rFonts w:hint="eastAsia" w:ascii="仿宋" w:hAnsi="仿宋" w:eastAsia="仿宋" w:cs="Times New Roman"/>
          <w:color w:val="000000"/>
          <w:sz w:val="32"/>
          <w:szCs w:val="32"/>
        </w:rPr>
        <w:t>。推动</w:t>
      </w:r>
      <w:r>
        <w:rPr>
          <w:rFonts w:hint="eastAsia" w:ascii="仿宋" w:hAnsi="仿宋" w:eastAsia="仿宋" w:cs="Times New Roman"/>
          <w:sz w:val="32"/>
        </w:rPr>
        <w:t>医养结合服务拓展至家庭，加强镇（街道）养老服务设施与社区卫生服务中心、镇卫生院的协议合作，</w:t>
      </w:r>
      <w:r>
        <w:rPr>
          <w:rFonts w:ascii="仿宋" w:hAnsi="仿宋" w:eastAsia="仿宋" w:cs="Times New Roman"/>
          <w:sz w:val="32"/>
          <w:szCs w:val="32"/>
        </w:rPr>
        <w:t>组建</w:t>
      </w:r>
      <w:r>
        <w:rPr>
          <w:rFonts w:hint="eastAsia" w:ascii="仿宋" w:hAnsi="仿宋" w:eastAsia="仿宋" w:cs="Times New Roman"/>
          <w:sz w:val="32"/>
          <w:szCs w:val="32"/>
        </w:rPr>
        <w:t>一批</w:t>
      </w:r>
      <w:r>
        <w:rPr>
          <w:rFonts w:ascii="仿宋" w:hAnsi="仿宋" w:eastAsia="仿宋" w:cs="Times New Roman"/>
          <w:sz w:val="32"/>
          <w:szCs w:val="32"/>
        </w:rPr>
        <w:t>家庭医生团队</w:t>
      </w:r>
      <w:r>
        <w:rPr>
          <w:rFonts w:hint="eastAsia" w:ascii="仿宋" w:hAnsi="仿宋" w:eastAsia="仿宋" w:cs="Times New Roman"/>
          <w:sz w:val="32"/>
          <w:szCs w:val="32"/>
        </w:rPr>
        <w:t>，</w:t>
      </w:r>
      <w:r>
        <w:rPr>
          <w:rFonts w:hint="eastAsia" w:ascii="仿宋" w:hAnsi="仿宋" w:eastAsia="仿宋" w:cs="Times New Roman"/>
          <w:sz w:val="32"/>
        </w:rPr>
        <w:t>为签约老年人提供老年人健康档案、年度免费健康体检、年度健康管理方案、慢性病长处方等保障服务，为居家重病、失能、失智老年人提供家庭病床、家庭巡诊、康复护理、安宁疗护等重点服务。推动医养结合服务拓展至社区，支持社区卫生服务中心、镇卫生院加强护理及康复能力建设、助力提升镇（街道）养老服务中心服务能力，构建医疗、康复、护理、养老、安宁疗护服务相互衔接的服务模式；支持有条件的镇（街道）养老服务中心开办诊所、护理院等医疗卫生服务设施，逐步提高护理型养老床位比例。推进以区中医院为龙头的中医医疗共同体建设，开展中医药康复养老服务，强化中医药防治优势病种作用，发挥中医在治未病和老年病、慢性病防治等方面的优势，鼓励新建以中医药健康养老为主的护理院、疗养院，鼓励有条件的养老机构设置以老年病、慢性病防治为主的中医诊室。加强医疗卫生、养老服务数据的共建共享，优化医养结合信息管理制度。组织开展医养结合人才能力提升培训，完善医养结合人才激励制度，支持医护人员到医养结合机构执业，并在职称评定等方面享受同等待遇。</w:t>
      </w:r>
    </w:p>
    <w:p>
      <w:pPr>
        <w:rPr>
          <w:rFonts w:ascii="仿宋" w:hAnsi="仿宋" w:eastAsia="仿宋"/>
          <w:sz w:val="32"/>
        </w:rPr>
      </w:pPr>
    </w:p>
    <w:p>
      <w:pPr>
        <w:jc w:val="center"/>
        <w:outlineLvl w:val="1"/>
        <w:rPr>
          <w:rFonts w:ascii="仿宋" w:hAnsi="仿宋" w:eastAsia="仿宋" w:cs="Times New Roman"/>
          <w:b/>
          <w:sz w:val="32"/>
        </w:rPr>
      </w:pPr>
      <w:bookmarkStart w:id="33" w:name="_Toc118042949"/>
      <w:r>
        <w:rPr>
          <w:rFonts w:hint="eastAsia" w:ascii="仿宋" w:hAnsi="仿宋" w:eastAsia="仿宋" w:cs="Times New Roman"/>
          <w:b/>
          <w:sz w:val="32"/>
        </w:rPr>
        <w:t xml:space="preserve">第三节 </w:t>
      </w:r>
      <w:r>
        <w:rPr>
          <w:rFonts w:ascii="仿宋" w:hAnsi="仿宋" w:eastAsia="仿宋" w:cs="Times New Roman"/>
          <w:b/>
          <w:sz w:val="32"/>
        </w:rPr>
        <w:t xml:space="preserve"> </w:t>
      </w:r>
      <w:r>
        <w:rPr>
          <w:rFonts w:hint="eastAsia" w:ascii="仿宋" w:hAnsi="仿宋" w:eastAsia="仿宋" w:cs="Times New Roman"/>
          <w:b/>
          <w:sz w:val="32"/>
        </w:rPr>
        <w:t>完善长期照护服务体系</w:t>
      </w:r>
      <w:bookmarkEnd w:id="33"/>
    </w:p>
    <w:p>
      <w:pPr>
        <w:ind w:firstLine="640" w:firstLineChars="200"/>
        <w:rPr>
          <w:rFonts w:ascii="仿宋" w:hAnsi="仿宋" w:eastAsia="仿宋" w:cs="Times New Roman"/>
          <w:sz w:val="32"/>
        </w:rPr>
      </w:pPr>
      <w:r>
        <w:rPr>
          <w:rFonts w:hint="eastAsia" w:ascii="仿宋" w:hAnsi="仿宋" w:eastAsia="仿宋" w:cs="Times New Roman"/>
          <w:sz w:val="32"/>
        </w:rPr>
        <w:t>按照国家统一部署推行适合我区的长期护理保险制度，继续实施长期护理保险试点，适度扩大长期护理保险覆盖范围，着力解决失能老年人长期护理保障问题，为年老等重度失能人员提供基本生活照料护理服务。鼓励发展商业性长期护理保险产品，支持其与社会长期护理保险相结合，满足老年人多样化、多层次的长期照护需求。建立统一的老年人能力评估标准并开展评估，评估结果作为领取老年人补贴、接受长期照护服务的依据。完善经济困难高龄失能老年人养老服务补贴制度，加强与残疾人两项补贴政策衔接。健全从专业机构到社区、家庭的长期照护服务模式，依托护理院（中心、站）、社区卫生服务中心、乡镇卫生院等医疗卫生机构以及具备服务能力的养老服务机构，为失能老年人提供长期照护服务。发展“互联网</w:t>
      </w:r>
      <w:r>
        <w:rPr>
          <w:rFonts w:ascii="仿宋" w:hAnsi="仿宋" w:eastAsia="仿宋" w:cs="Times New Roman"/>
          <w:sz w:val="32"/>
        </w:rPr>
        <w:t>+照护服务”，设置护理型养老床位</w:t>
      </w:r>
      <w:r>
        <w:rPr>
          <w:rFonts w:hint="eastAsia" w:ascii="仿宋" w:hAnsi="仿宋" w:eastAsia="仿宋" w:cs="Times New Roman"/>
          <w:sz w:val="32"/>
        </w:rPr>
        <w:t>，提高照护服务的完整性、可及性、供给效率和服务质量</w:t>
      </w:r>
      <w:r>
        <w:rPr>
          <w:rFonts w:ascii="仿宋" w:hAnsi="仿宋" w:eastAsia="仿宋" w:cs="Times New Roman"/>
          <w:sz w:val="32"/>
        </w:rPr>
        <w:t>。</w:t>
      </w:r>
      <w:r>
        <w:rPr>
          <w:rFonts w:hint="eastAsia" w:ascii="仿宋" w:hAnsi="仿宋" w:eastAsia="仿宋" w:cs="Times New Roman"/>
          <w:sz w:val="32"/>
        </w:rPr>
        <w:t>支持安宁疗护试点，组织开展系列安宁疗护专业培训，不断强化从业人员安宁疗护服务技能，提升安宁疗护服务质量。</w:t>
      </w:r>
    </w:p>
    <w:p>
      <w:pPr>
        <w:tabs>
          <w:tab w:val="right" w:leader="dot" w:pos="8834"/>
        </w:tabs>
        <w:spacing w:line="579" w:lineRule="exact"/>
        <w:jc w:val="center"/>
        <w:textAlignment w:val="center"/>
        <w:rPr>
          <w:rFonts w:ascii="黑体" w:hAnsi="黑体" w:eastAsia="黑体" w:cs="Times New Roman"/>
          <w:color w:val="000000"/>
          <w:sz w:val="32"/>
        </w:rPr>
      </w:pPr>
      <w:r>
        <w:rPr>
          <w:rFonts w:hint="eastAsia" w:ascii="黑体" w:hAnsi="黑体" w:eastAsia="黑体" w:cs="Times New Roman"/>
          <w:color w:val="000000"/>
          <w:sz w:val="32"/>
        </w:rPr>
        <w:t>专栏</w:t>
      </w:r>
      <w:r>
        <w:rPr>
          <w:rFonts w:ascii="Times New Roman" w:hAnsi="Times New Roman" w:eastAsia="黑体" w:cs="Times New Roman"/>
          <w:color w:val="000000"/>
          <w:sz w:val="32"/>
        </w:rPr>
        <w:t>5</w:t>
      </w:r>
      <w:r>
        <w:rPr>
          <w:rFonts w:ascii="黑体" w:hAnsi="黑体" w:eastAsia="黑体" w:cs="Times New Roman"/>
          <w:color w:val="000000"/>
          <w:sz w:val="32"/>
        </w:rPr>
        <w:t xml:space="preserve">  </w:t>
      </w:r>
      <w:r>
        <w:rPr>
          <w:rFonts w:hint="eastAsia" w:ascii="黑体" w:hAnsi="黑体" w:eastAsia="黑体" w:cs="Times New Roman"/>
          <w:color w:val="000000"/>
          <w:sz w:val="32"/>
        </w:rPr>
        <w:t>医养结合重点项目</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pPr>
              <w:spacing w:line="400" w:lineRule="exact"/>
              <w:ind w:firstLine="482" w:firstLineChars="200"/>
              <w:rPr>
                <w:rFonts w:ascii="仿宋" w:hAnsi="仿宋" w:eastAsia="仿宋" w:cs="Times New Roman"/>
                <w:sz w:val="24"/>
              </w:rPr>
            </w:pPr>
            <w:r>
              <w:rPr>
                <w:rFonts w:hint="eastAsia" w:ascii="仿宋" w:hAnsi="仿宋" w:eastAsia="仿宋" w:cs="Times New Roman"/>
                <w:b/>
                <w:sz w:val="24"/>
              </w:rPr>
              <w:t>医疗机构医养结合项目。</w:t>
            </w:r>
            <w:r>
              <w:rPr>
                <w:rFonts w:hint="eastAsia" w:ascii="仿宋" w:hAnsi="仿宋" w:eastAsia="仿宋" w:cs="Times New Roman"/>
                <w:sz w:val="24"/>
              </w:rPr>
              <w:t>支持社区卫生服务中心、镇卫生院和社会办医院加强护理及康复能力建设、开办镇（街道）养老服务中心、开设老年病区（床），构建医疗、康复、护理、养老、安宁疗护服务相衔接的服务模式。</w:t>
            </w:r>
          </w:p>
          <w:p>
            <w:pPr>
              <w:spacing w:line="400" w:lineRule="exact"/>
              <w:ind w:firstLine="482" w:firstLineChars="200"/>
              <w:rPr>
                <w:rFonts w:ascii="仿宋" w:hAnsi="仿宋" w:eastAsia="仿宋" w:cs="Times New Roman"/>
                <w:sz w:val="24"/>
              </w:rPr>
            </w:pPr>
            <w:r>
              <w:rPr>
                <w:rFonts w:hint="eastAsia" w:ascii="仿宋" w:hAnsi="仿宋" w:eastAsia="仿宋" w:cs="Times New Roman"/>
                <w:b/>
                <w:sz w:val="24"/>
              </w:rPr>
              <w:t>医养结合服务范围拓展项目。</w:t>
            </w:r>
            <w:r>
              <w:rPr>
                <w:rFonts w:hint="eastAsia" w:ascii="仿宋" w:hAnsi="仿宋" w:eastAsia="仿宋" w:cs="Times New Roman"/>
                <w:sz w:val="24"/>
              </w:rPr>
              <w:t>以基本公共卫生服务、老年病床设立、家庭医生签约服务为抓手，加强对老年人的诊疗、体检和健康档案管理，为老年人提供社区、居家健康养老服务。</w:t>
            </w:r>
          </w:p>
          <w:p>
            <w:pPr>
              <w:spacing w:line="400" w:lineRule="exact"/>
              <w:ind w:firstLine="482" w:firstLineChars="200"/>
              <w:rPr>
                <w:rFonts w:ascii="仿宋" w:hAnsi="仿宋" w:eastAsia="仿宋" w:cs="Times New Roman"/>
                <w:sz w:val="24"/>
              </w:rPr>
            </w:pPr>
            <w:r>
              <w:rPr>
                <w:rFonts w:hint="eastAsia" w:ascii="仿宋" w:hAnsi="仿宋" w:eastAsia="仿宋" w:cs="Times New Roman"/>
                <w:b/>
                <w:sz w:val="24"/>
              </w:rPr>
              <w:t>长期</w:t>
            </w:r>
            <w:r>
              <w:rPr>
                <w:rFonts w:ascii="仿宋" w:hAnsi="仿宋" w:eastAsia="仿宋" w:cs="Times New Roman"/>
                <w:b/>
                <w:sz w:val="24"/>
              </w:rPr>
              <w:t>照护服务</w:t>
            </w:r>
            <w:r>
              <w:rPr>
                <w:rFonts w:hint="eastAsia" w:ascii="仿宋" w:hAnsi="仿宋" w:eastAsia="仿宋" w:cs="Times New Roman"/>
                <w:b/>
                <w:sz w:val="24"/>
              </w:rPr>
              <w:t>试点推广</w:t>
            </w:r>
            <w:r>
              <w:rPr>
                <w:rFonts w:ascii="仿宋" w:hAnsi="仿宋" w:eastAsia="仿宋" w:cs="Times New Roman"/>
                <w:b/>
                <w:sz w:val="24"/>
              </w:rPr>
              <w:t>项目。</w:t>
            </w:r>
            <w:r>
              <w:rPr>
                <w:rFonts w:hint="eastAsia" w:ascii="仿宋" w:hAnsi="仿宋" w:eastAsia="仿宋" w:cs="Times New Roman"/>
                <w:bCs/>
                <w:sz w:val="24"/>
              </w:rPr>
              <w:t>继续开展长期</w:t>
            </w:r>
            <w:r>
              <w:rPr>
                <w:rFonts w:ascii="仿宋" w:hAnsi="仿宋" w:eastAsia="仿宋" w:cs="Times New Roman"/>
                <w:bCs/>
                <w:sz w:val="24"/>
              </w:rPr>
              <w:t>照护服务试点，</w:t>
            </w:r>
            <w:r>
              <w:rPr>
                <w:rFonts w:hint="eastAsia" w:ascii="仿宋" w:hAnsi="仿宋" w:eastAsia="仿宋" w:cs="Times New Roman"/>
                <w:bCs/>
                <w:sz w:val="24"/>
              </w:rPr>
              <w:t>提升长期</w:t>
            </w:r>
            <w:r>
              <w:rPr>
                <w:rFonts w:ascii="仿宋" w:hAnsi="仿宋" w:eastAsia="仿宋" w:cs="Times New Roman"/>
                <w:bCs/>
                <w:sz w:val="24"/>
              </w:rPr>
              <w:t>照护服务质量，</w:t>
            </w:r>
            <w:r>
              <w:rPr>
                <w:rFonts w:hint="eastAsia" w:ascii="仿宋" w:hAnsi="仿宋" w:eastAsia="仿宋" w:cs="Times New Roman"/>
                <w:sz w:val="24"/>
              </w:rPr>
              <w:t>扩大</w:t>
            </w:r>
            <w:r>
              <w:rPr>
                <w:rFonts w:ascii="仿宋" w:hAnsi="仿宋" w:eastAsia="仿宋" w:cs="Times New Roman"/>
                <w:sz w:val="24"/>
              </w:rPr>
              <w:t>长期照护服务在老年群体中的覆盖</w:t>
            </w:r>
            <w:r>
              <w:rPr>
                <w:rFonts w:hint="eastAsia" w:ascii="仿宋" w:hAnsi="仿宋" w:eastAsia="仿宋" w:cs="Times New Roman"/>
                <w:sz w:val="24"/>
              </w:rPr>
              <w:t>范围。</w:t>
            </w:r>
          </w:p>
        </w:tc>
      </w:tr>
    </w:tbl>
    <w:p>
      <w:pPr>
        <w:rPr>
          <w:rFonts w:ascii="仿宋" w:hAnsi="仿宋" w:eastAsia="仿宋"/>
          <w:sz w:val="32"/>
        </w:rPr>
      </w:pPr>
    </w:p>
    <w:p>
      <w:pPr>
        <w:rPr>
          <w:rFonts w:ascii="仿宋" w:hAnsi="仿宋" w:eastAsia="仿宋"/>
          <w:sz w:val="32"/>
        </w:rPr>
      </w:pPr>
    </w:p>
    <w:p>
      <w:pPr>
        <w:pStyle w:val="2"/>
        <w:ind w:firstLine="210"/>
      </w:pPr>
    </w:p>
    <w:p>
      <w:pPr>
        <w:jc w:val="center"/>
        <w:outlineLvl w:val="0"/>
        <w:rPr>
          <w:rFonts w:ascii="黑体" w:hAnsi="黑体" w:eastAsia="黑体" w:cs="Times New Roman"/>
          <w:sz w:val="32"/>
          <w:szCs w:val="32"/>
        </w:rPr>
      </w:pPr>
      <w:bookmarkStart w:id="34" w:name="_Toc118042950"/>
      <w:r>
        <w:rPr>
          <w:rFonts w:hint="eastAsia" w:ascii="黑体" w:hAnsi="黑体" w:eastAsia="黑体"/>
          <w:sz w:val="32"/>
          <w:szCs w:val="32"/>
        </w:rPr>
        <w:t>第七章  强化养老服务人才队伍建设</w:t>
      </w:r>
      <w:bookmarkEnd w:id="34"/>
    </w:p>
    <w:p>
      <w:pPr>
        <w:rPr>
          <w:rFonts w:ascii="仿宋" w:hAnsi="仿宋" w:eastAsia="仿宋"/>
          <w:sz w:val="32"/>
        </w:rPr>
      </w:pPr>
    </w:p>
    <w:p>
      <w:pPr>
        <w:jc w:val="center"/>
        <w:outlineLvl w:val="1"/>
        <w:rPr>
          <w:rFonts w:ascii="仿宋" w:hAnsi="仿宋" w:eastAsia="仿宋"/>
          <w:b/>
          <w:sz w:val="32"/>
        </w:rPr>
      </w:pPr>
      <w:bookmarkStart w:id="35" w:name="_Toc118042951"/>
      <w:r>
        <w:rPr>
          <w:rFonts w:hint="eastAsia" w:ascii="仿宋" w:hAnsi="仿宋" w:eastAsia="仿宋"/>
          <w:b/>
          <w:sz w:val="32"/>
        </w:rPr>
        <w:t xml:space="preserve">第一节 </w:t>
      </w:r>
      <w:r>
        <w:rPr>
          <w:rFonts w:ascii="仿宋" w:hAnsi="仿宋" w:eastAsia="仿宋"/>
          <w:b/>
          <w:sz w:val="32"/>
        </w:rPr>
        <w:t xml:space="preserve"> </w:t>
      </w:r>
      <w:r>
        <w:rPr>
          <w:rFonts w:hint="eastAsia" w:ascii="仿宋" w:hAnsi="仿宋" w:eastAsia="仿宋"/>
          <w:b/>
          <w:sz w:val="32"/>
        </w:rPr>
        <w:t>推动养老服务人才队伍多元化发展</w:t>
      </w:r>
      <w:bookmarkEnd w:id="35"/>
    </w:p>
    <w:p>
      <w:pPr>
        <w:ind w:firstLine="640" w:firstLineChars="200"/>
        <w:rPr>
          <w:rFonts w:ascii="仿宋" w:hAnsi="仿宋" w:eastAsia="仿宋"/>
          <w:sz w:val="32"/>
        </w:rPr>
      </w:pPr>
      <w:r>
        <w:rPr>
          <w:rFonts w:hint="eastAsia" w:ascii="仿宋" w:hAnsi="仿宋" w:eastAsia="仿宋"/>
          <w:sz w:val="32"/>
        </w:rPr>
        <w:t>制定实施沙坪坝区养老服务人才培训提升行动计划，逐步形成包含护理人员、专业技术人才、管理人才的多层次养老服务人才队伍。大力培养一线护理员、机构养老护理员、失智老年人照护员、居家养老护理员。鼓励医师、医士、护师等卫生专业技术人才转岗养老行业，支持对口帮扶地区就业困难、贫困人员从事养老服务，吸引养老服务、养老护理、医疗护理等相关专业高校毕业生到养老行业就业。明确镇街养老服务中心、社区养老服务站和养老机构的岗位设置标准，广泛吸纳社会工作专业人才，开发养老服务公益性岗位，促进养老服务领域充分就业。完善“五社联动”机制，大力培养志愿者队伍，鼓励退休医务工作者、低龄老年人参与为老服务，积极探索“时间银行”及互助养老等养老服务模式。</w:t>
      </w:r>
    </w:p>
    <w:p>
      <w:pPr>
        <w:rPr>
          <w:rFonts w:ascii="仿宋" w:hAnsi="仿宋" w:eastAsia="仿宋"/>
          <w:sz w:val="32"/>
        </w:rPr>
      </w:pPr>
    </w:p>
    <w:p>
      <w:pPr>
        <w:jc w:val="center"/>
        <w:outlineLvl w:val="1"/>
        <w:rPr>
          <w:rFonts w:ascii="仿宋" w:hAnsi="仿宋" w:eastAsia="仿宋"/>
          <w:b/>
          <w:sz w:val="32"/>
        </w:rPr>
      </w:pPr>
      <w:bookmarkStart w:id="36" w:name="_Toc118042952"/>
      <w:r>
        <w:rPr>
          <w:rFonts w:hint="eastAsia" w:ascii="仿宋" w:hAnsi="仿宋" w:eastAsia="仿宋"/>
          <w:b/>
          <w:sz w:val="32"/>
        </w:rPr>
        <w:t xml:space="preserve">第二节 </w:t>
      </w:r>
      <w:r>
        <w:rPr>
          <w:rFonts w:ascii="仿宋" w:hAnsi="仿宋" w:eastAsia="仿宋"/>
          <w:b/>
          <w:sz w:val="32"/>
        </w:rPr>
        <w:t xml:space="preserve"> </w:t>
      </w:r>
      <w:r>
        <w:rPr>
          <w:rFonts w:hint="eastAsia" w:ascii="仿宋" w:hAnsi="仿宋" w:eastAsia="仿宋"/>
          <w:b/>
          <w:sz w:val="32"/>
        </w:rPr>
        <w:t>提升养老服务人才专业能力</w:t>
      </w:r>
      <w:bookmarkEnd w:id="36"/>
    </w:p>
    <w:p>
      <w:pPr>
        <w:ind w:firstLine="640" w:firstLineChars="200"/>
        <w:rPr>
          <w:rFonts w:ascii="仿宋" w:hAnsi="仿宋" w:eastAsia="仿宋"/>
          <w:sz w:val="32"/>
        </w:rPr>
      </w:pPr>
      <w:r>
        <w:rPr>
          <w:rFonts w:hint="eastAsia" w:ascii="仿宋" w:hAnsi="仿宋" w:eastAsia="仿宋"/>
          <w:sz w:val="32"/>
        </w:rPr>
        <w:t>完善养老服务人才培养体系，将养老服务人才培养纳入中长期人才发展规划和职业教育体系，支持中高职院校设置养老护理、老年健康管理与服务等专业，定期开展养老护理人员岗前培训、在岗轮训、转岗培训，强化养老护理员实际操作技能训练和综合能力素质培养。常态化组织对民政干部的专题培训，加深对积极老龄观和健康老龄化的认识，提高管理和服务水平。增强家庭照护者照护能力，积极组织家庭照护者参与由运营机构、专业人员定期举办的护理知识和实际操作培训，提升照护者老年照护、应急救护、心理减压等知识与技能。依托全区养老机构与产业发展优势，建设养老护理培训基地、</w:t>
      </w:r>
      <w:r>
        <w:rPr>
          <w:rFonts w:ascii="仿宋" w:hAnsi="仿宋" w:eastAsia="仿宋"/>
          <w:sz w:val="32"/>
        </w:rPr>
        <w:t>养老护工孵化基地和家庭照护培训中心</w:t>
      </w:r>
      <w:r>
        <w:rPr>
          <w:rFonts w:hint="eastAsia" w:ascii="仿宋" w:hAnsi="仿宋" w:eastAsia="仿宋"/>
          <w:sz w:val="32"/>
        </w:rPr>
        <w:t>，探索建立养老技师工作室，优化养老服务人才培训课程设计，推动形成全面的养老服务人才培养体系。落实养老护理员职业技能等级认定制度，开展养老服务人员职业水平综合评价。推进养老从业人员登记管理与信用评价体系建设，建立养老服务人才库，推动养老服务从业人员规范管理。</w:t>
      </w:r>
    </w:p>
    <w:p>
      <w:pPr>
        <w:rPr>
          <w:rFonts w:ascii="仿宋" w:hAnsi="仿宋" w:eastAsia="仿宋"/>
          <w:sz w:val="32"/>
        </w:rPr>
      </w:pPr>
    </w:p>
    <w:p>
      <w:pPr>
        <w:jc w:val="center"/>
        <w:outlineLvl w:val="1"/>
        <w:rPr>
          <w:rFonts w:ascii="仿宋" w:hAnsi="仿宋" w:eastAsia="仿宋"/>
          <w:b/>
          <w:sz w:val="32"/>
        </w:rPr>
      </w:pPr>
      <w:bookmarkStart w:id="37" w:name="_Toc118042953"/>
      <w:r>
        <w:rPr>
          <w:rFonts w:hint="eastAsia" w:ascii="仿宋" w:hAnsi="仿宋" w:eastAsia="仿宋"/>
          <w:b/>
          <w:sz w:val="32"/>
        </w:rPr>
        <w:t xml:space="preserve">第三节 </w:t>
      </w:r>
      <w:r>
        <w:rPr>
          <w:rFonts w:ascii="仿宋" w:hAnsi="仿宋" w:eastAsia="仿宋"/>
          <w:b/>
          <w:sz w:val="32"/>
        </w:rPr>
        <w:t xml:space="preserve"> </w:t>
      </w:r>
      <w:r>
        <w:rPr>
          <w:rFonts w:hint="eastAsia" w:ascii="仿宋" w:hAnsi="仿宋" w:eastAsia="仿宋"/>
          <w:b/>
          <w:sz w:val="32"/>
        </w:rPr>
        <w:t>健全养老服务人才激励机制</w:t>
      </w:r>
      <w:bookmarkEnd w:id="37"/>
    </w:p>
    <w:p>
      <w:pPr>
        <w:ind w:firstLine="640" w:firstLineChars="200"/>
        <w:rPr>
          <w:rFonts w:ascii="仿宋" w:hAnsi="仿宋" w:eastAsia="仿宋"/>
          <w:sz w:val="32"/>
        </w:rPr>
      </w:pPr>
      <w:r>
        <w:rPr>
          <w:rFonts w:hint="eastAsia" w:ascii="仿宋" w:hAnsi="仿宋" w:eastAsia="仿宋"/>
          <w:sz w:val="32"/>
        </w:rPr>
        <w:t>促进养老服务从业人员劳动报酬合理增长，完善激励机制，改善职业发展空间。健全养老服务各类人员薪酬指导标准、工资福利保障机制，</w:t>
      </w:r>
      <w:r>
        <w:rPr>
          <w:rFonts w:ascii="仿宋" w:hAnsi="仿宋" w:eastAsia="仿宋"/>
          <w:sz w:val="32"/>
        </w:rPr>
        <w:t>建立完善职业技能等级与养老服务人员薪酬待遇挂钩机制，</w:t>
      </w:r>
      <w:r>
        <w:rPr>
          <w:rFonts w:hint="eastAsia" w:ascii="仿宋" w:hAnsi="仿宋" w:eastAsia="仿宋"/>
          <w:sz w:val="32"/>
        </w:rPr>
        <w:t>强化技能提升对工资收入增加的正向作用，合理提升养老护理员待遇水平。健全</w:t>
      </w:r>
      <w:r>
        <w:rPr>
          <w:rFonts w:ascii="仿宋" w:hAnsi="仿宋" w:eastAsia="仿宋"/>
          <w:sz w:val="32"/>
        </w:rPr>
        <w:t>入职补贴、工龄补贴、</w:t>
      </w:r>
      <w:r>
        <w:rPr>
          <w:rFonts w:hint="eastAsia" w:ascii="仿宋" w:hAnsi="仿宋" w:eastAsia="仿宋"/>
          <w:sz w:val="32"/>
        </w:rPr>
        <w:t>特殊岗位</w:t>
      </w:r>
      <w:r>
        <w:rPr>
          <w:rFonts w:ascii="仿宋" w:hAnsi="仿宋" w:eastAsia="仿宋"/>
          <w:sz w:val="32"/>
        </w:rPr>
        <w:t>补贴、职业技能鉴定补贴等养老人才补贴制度，</w:t>
      </w:r>
      <w:r>
        <w:rPr>
          <w:rFonts w:hint="eastAsia" w:ascii="仿宋" w:hAnsi="仿宋" w:eastAsia="仿宋"/>
          <w:sz w:val="32"/>
        </w:rPr>
        <w:t>吸引对口帮扶地区就业困难、贫困人员从事养老服务工作、</w:t>
      </w:r>
      <w:r>
        <w:rPr>
          <w:rFonts w:ascii="仿宋" w:hAnsi="仿宋" w:eastAsia="仿宋"/>
          <w:sz w:val="32"/>
        </w:rPr>
        <w:t>取得职业技能等级并按规定获得补贴</w:t>
      </w:r>
      <w:r>
        <w:rPr>
          <w:rFonts w:hint="eastAsia" w:ascii="仿宋" w:hAnsi="仿宋" w:eastAsia="仿宋"/>
          <w:sz w:val="32"/>
        </w:rPr>
        <w:t>，为其提供基本生活保障。完善养老服务人才保障措施，保障养老服务从业人员劳动合同签订、社保缴纳、劳动保护、带薪休假等合法权益。重视对养老服务从业者的精神激励，大力宣传养老服务行业先进人物和先进事迹，营造社会支持的良好氛围，不断增强养老服务岗位的吸引力和养老护理员的职业成就感。</w:t>
      </w:r>
    </w:p>
    <w:p>
      <w:pPr>
        <w:pStyle w:val="2"/>
        <w:ind w:firstLine="0" w:firstLineChars="0"/>
        <w:jc w:val="center"/>
        <w:rPr>
          <w:rFonts w:ascii="黑体" w:hAnsi="黑体" w:eastAsia="黑体"/>
          <w:color w:val="auto"/>
          <w:sz w:val="32"/>
        </w:rPr>
      </w:pPr>
      <w:r>
        <w:rPr>
          <w:rFonts w:hint="eastAsia" w:ascii="黑体" w:hAnsi="黑体" w:eastAsia="黑体"/>
          <w:color w:val="auto"/>
          <w:sz w:val="32"/>
        </w:rPr>
        <w:t>专栏</w:t>
      </w:r>
      <w:r>
        <w:rPr>
          <w:rFonts w:ascii="Times New Roman" w:hAnsi="Times New Roman" w:eastAsia="黑体" w:cs="Times New Roman"/>
          <w:color w:val="auto"/>
          <w:sz w:val="32"/>
        </w:rPr>
        <w:t>6</w:t>
      </w:r>
      <w:r>
        <w:rPr>
          <w:rFonts w:ascii="黑体" w:hAnsi="黑体" w:eastAsia="黑体"/>
          <w:color w:val="auto"/>
          <w:sz w:val="32"/>
        </w:rPr>
        <w:t xml:space="preserve">  </w:t>
      </w:r>
      <w:r>
        <w:rPr>
          <w:rFonts w:hint="eastAsia" w:ascii="黑体" w:hAnsi="黑体" w:eastAsia="黑体"/>
          <w:color w:val="auto"/>
          <w:sz w:val="32"/>
        </w:rPr>
        <w:t>养老服务人才队伍建设重点项目</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pPr>
              <w:spacing w:line="400" w:lineRule="exact"/>
              <w:ind w:firstLine="482" w:firstLineChars="200"/>
              <w:rPr>
                <w:rFonts w:ascii="仿宋" w:hAnsi="仿宋" w:eastAsia="仿宋"/>
                <w:sz w:val="24"/>
              </w:rPr>
            </w:pPr>
            <w:r>
              <w:rPr>
                <w:rFonts w:hint="eastAsia" w:ascii="仿宋" w:hAnsi="仿宋" w:eastAsia="仿宋"/>
                <w:b/>
                <w:sz w:val="24"/>
              </w:rPr>
              <w:t>养老服务人才队伍培育项目。</w:t>
            </w:r>
            <w:r>
              <w:rPr>
                <w:rFonts w:hint="eastAsia" w:ascii="仿宋" w:hAnsi="仿宋" w:eastAsia="仿宋"/>
                <w:bCs/>
                <w:sz w:val="24"/>
              </w:rPr>
              <w:t>建设养老护理培训基地，分层分类开展养老服务护理人员、</w:t>
            </w:r>
            <w:r>
              <w:rPr>
                <w:rFonts w:ascii="仿宋" w:hAnsi="仿宋" w:eastAsia="仿宋"/>
                <w:bCs/>
                <w:sz w:val="24"/>
              </w:rPr>
              <w:t>专业技术人才</w:t>
            </w:r>
            <w:r>
              <w:rPr>
                <w:rFonts w:hint="eastAsia" w:ascii="仿宋" w:hAnsi="仿宋" w:eastAsia="仿宋"/>
                <w:bCs/>
                <w:sz w:val="24"/>
              </w:rPr>
              <w:t>、管理</w:t>
            </w:r>
            <w:r>
              <w:rPr>
                <w:rFonts w:ascii="仿宋" w:hAnsi="仿宋" w:eastAsia="仿宋"/>
                <w:bCs/>
                <w:sz w:val="24"/>
              </w:rPr>
              <w:t>人才</w:t>
            </w:r>
            <w:r>
              <w:rPr>
                <w:rFonts w:hint="eastAsia" w:ascii="仿宋" w:hAnsi="仿宋" w:eastAsia="仿宋"/>
                <w:bCs/>
                <w:sz w:val="24"/>
              </w:rPr>
              <w:t>培训，探索多样化的人才培养模式，持续提升养老服务供给水平。</w:t>
            </w:r>
          </w:p>
          <w:p>
            <w:pPr>
              <w:spacing w:line="400" w:lineRule="exact"/>
              <w:ind w:firstLine="482" w:firstLineChars="200"/>
              <w:rPr>
                <w:rFonts w:ascii="仿宋" w:hAnsi="仿宋" w:eastAsia="仿宋"/>
                <w:sz w:val="24"/>
              </w:rPr>
            </w:pPr>
            <w:r>
              <w:rPr>
                <w:rFonts w:hint="eastAsia" w:ascii="仿宋" w:hAnsi="仿宋" w:eastAsia="仿宋"/>
                <w:b/>
                <w:sz w:val="24"/>
              </w:rPr>
              <w:t>养老</w:t>
            </w:r>
            <w:r>
              <w:rPr>
                <w:rFonts w:ascii="仿宋" w:hAnsi="仿宋" w:eastAsia="仿宋"/>
                <w:b/>
                <w:sz w:val="24"/>
              </w:rPr>
              <w:t>服务人才</w:t>
            </w:r>
            <w:r>
              <w:rPr>
                <w:rFonts w:hint="eastAsia" w:ascii="仿宋" w:hAnsi="仿宋" w:eastAsia="仿宋"/>
                <w:b/>
                <w:sz w:val="24"/>
              </w:rPr>
              <w:t>保障</w:t>
            </w:r>
            <w:r>
              <w:rPr>
                <w:rFonts w:ascii="仿宋" w:hAnsi="仿宋" w:eastAsia="仿宋"/>
                <w:b/>
                <w:sz w:val="24"/>
              </w:rPr>
              <w:t>项目。</w:t>
            </w:r>
            <w:r>
              <w:rPr>
                <w:rFonts w:hint="eastAsia" w:ascii="仿宋" w:hAnsi="仿宋" w:eastAsia="仿宋"/>
                <w:sz w:val="24"/>
              </w:rPr>
              <w:t>探索建立养老服务岗位津贴制度，制定护理员等级评定办法，健全养老服务岗位设置标准和职业晋升渠道，逐步提升持证上岗比例，对养老服务岗位缴纳社会保险给予财政补贴。高等院校和职业学校养老、护理专业全日制毕业生在本辖区专职从事养老服务工作的，入职满足特定期限给予一次性就业补贴。对在本辖区专职从事养老服务工作，与养老机构签订劳动合同，并持有养老护理国家职业技能等级证书的养老护理从业人员，每人每月可享受一定额度的岗位补贴。</w:t>
            </w:r>
          </w:p>
          <w:p>
            <w:pPr>
              <w:pStyle w:val="2"/>
              <w:spacing w:line="400" w:lineRule="exact"/>
              <w:ind w:firstLine="482" w:firstLineChars="200"/>
              <w:rPr>
                <w:rFonts w:ascii="仿宋" w:hAnsi="仿宋" w:eastAsia="仿宋"/>
                <w:color w:val="auto"/>
                <w:sz w:val="24"/>
              </w:rPr>
            </w:pPr>
            <w:r>
              <w:rPr>
                <w:rFonts w:hint="eastAsia" w:ascii="仿宋" w:hAnsi="仿宋" w:eastAsia="仿宋"/>
                <w:b/>
                <w:bCs/>
                <w:color w:val="auto"/>
                <w:sz w:val="24"/>
              </w:rPr>
              <w:t>养老服务人才激励项目。</w:t>
            </w:r>
            <w:r>
              <w:rPr>
                <w:rFonts w:hint="eastAsia" w:ascii="仿宋" w:hAnsi="仿宋" w:eastAsia="仿宋"/>
                <w:color w:val="auto"/>
                <w:sz w:val="24"/>
              </w:rPr>
              <w:t>定期开展技能评比、技能大赛和优秀护理人员评比等活动，推荐参训人员就业入职，增强养老服务从业人员的职业认同感和归属感。开展养老护理员褒扬活动，广泛宣传养老服务行业先进人物、先进事迹，营造全社会尊重养老服务从业人员的良好氛围。</w:t>
            </w:r>
          </w:p>
          <w:p>
            <w:pPr>
              <w:spacing w:line="400" w:lineRule="exact"/>
              <w:ind w:firstLine="482" w:firstLineChars="200"/>
              <w:rPr>
                <w:rFonts w:ascii="仿宋" w:hAnsi="仿宋" w:eastAsia="仿宋"/>
                <w:bCs/>
                <w:sz w:val="24"/>
              </w:rPr>
            </w:pPr>
            <w:r>
              <w:rPr>
                <w:rFonts w:hint="eastAsia" w:ascii="仿宋" w:hAnsi="仿宋" w:eastAsia="仿宋"/>
                <w:b/>
                <w:sz w:val="24"/>
              </w:rPr>
              <w:t>家庭照护者培育项目。</w:t>
            </w:r>
            <w:r>
              <w:rPr>
                <w:rFonts w:hint="eastAsia" w:ascii="仿宋" w:hAnsi="仿宋" w:eastAsia="仿宋"/>
                <w:bCs/>
                <w:sz w:val="24"/>
              </w:rPr>
              <w:t>积极组织家庭照护者参与由运营机构、专业人员定期举办的护理知识和实际操作培训，提升照护者老年照护、应急救护、心理减压等知识与技能。将失能老年人家庭成员照护培训纳入政府购买养老服务目录。</w:t>
            </w:r>
          </w:p>
        </w:tc>
      </w:tr>
    </w:tbl>
    <w:p>
      <w:pPr>
        <w:rPr>
          <w:rFonts w:ascii="仿宋" w:hAnsi="仿宋" w:eastAsia="仿宋"/>
          <w:sz w:val="32"/>
        </w:rPr>
      </w:pPr>
    </w:p>
    <w:p>
      <w:pPr>
        <w:rPr>
          <w:rFonts w:ascii="仿宋" w:hAnsi="仿宋" w:eastAsia="仿宋"/>
          <w:sz w:val="32"/>
        </w:rPr>
      </w:pPr>
    </w:p>
    <w:p>
      <w:pPr>
        <w:jc w:val="center"/>
        <w:outlineLvl w:val="0"/>
        <w:rPr>
          <w:rFonts w:ascii="黑体" w:hAnsi="黑体" w:eastAsia="黑体" w:cs="Times New Roman"/>
          <w:sz w:val="32"/>
        </w:rPr>
      </w:pPr>
      <w:bookmarkStart w:id="38" w:name="_Toc118042954"/>
      <w:r>
        <w:rPr>
          <w:rFonts w:hint="eastAsia" w:ascii="黑体" w:hAnsi="黑体" w:eastAsia="黑体" w:cs="Times New Roman"/>
          <w:sz w:val="32"/>
        </w:rPr>
        <w:t xml:space="preserve">第八章 </w:t>
      </w:r>
      <w:r>
        <w:rPr>
          <w:rFonts w:ascii="黑体" w:hAnsi="黑体" w:eastAsia="黑体" w:cs="Times New Roman"/>
          <w:sz w:val="32"/>
        </w:rPr>
        <w:t xml:space="preserve"> </w:t>
      </w:r>
      <w:r>
        <w:rPr>
          <w:rFonts w:hint="eastAsia" w:ascii="黑体" w:hAnsi="黑体" w:eastAsia="黑体" w:cs="Times New Roman"/>
          <w:sz w:val="32"/>
        </w:rPr>
        <w:t>着力构建老年友好型社会</w:t>
      </w:r>
      <w:bookmarkEnd w:id="38"/>
    </w:p>
    <w:p>
      <w:pPr>
        <w:rPr>
          <w:rFonts w:ascii="仿宋" w:hAnsi="仿宋" w:eastAsia="仿宋"/>
          <w:sz w:val="32"/>
        </w:rPr>
      </w:pPr>
    </w:p>
    <w:p>
      <w:pPr>
        <w:jc w:val="center"/>
        <w:outlineLvl w:val="1"/>
        <w:rPr>
          <w:rFonts w:ascii="仿宋" w:hAnsi="仿宋" w:eastAsia="仿宋" w:cs="Times New Roman"/>
          <w:b/>
          <w:sz w:val="32"/>
        </w:rPr>
      </w:pPr>
      <w:bookmarkStart w:id="39" w:name="_Toc118042955"/>
      <w:r>
        <w:rPr>
          <w:rFonts w:hint="eastAsia" w:ascii="仿宋" w:hAnsi="仿宋" w:eastAsia="仿宋" w:cs="Times New Roman"/>
          <w:b/>
          <w:sz w:val="32"/>
        </w:rPr>
        <w:t xml:space="preserve">第一节 </w:t>
      </w:r>
      <w:r>
        <w:rPr>
          <w:rFonts w:ascii="仿宋" w:hAnsi="仿宋" w:eastAsia="仿宋" w:cs="Times New Roman"/>
          <w:b/>
          <w:sz w:val="32"/>
        </w:rPr>
        <w:t xml:space="preserve"> </w:t>
      </w:r>
      <w:r>
        <w:rPr>
          <w:rFonts w:hint="eastAsia" w:ascii="仿宋" w:hAnsi="仿宋" w:eastAsia="仿宋" w:cs="Times New Roman"/>
          <w:b/>
          <w:sz w:val="32"/>
        </w:rPr>
        <w:t>推进为老服务多业态融合发展</w:t>
      </w:r>
      <w:bookmarkEnd w:id="39"/>
    </w:p>
    <w:p>
      <w:pPr>
        <w:ind w:firstLine="640" w:firstLineChars="200"/>
        <w:rPr>
          <w:rFonts w:ascii="仿宋" w:hAnsi="仿宋" w:eastAsia="仿宋" w:cs="Times New Roman"/>
          <w:sz w:val="32"/>
        </w:rPr>
      </w:pPr>
      <w:r>
        <w:rPr>
          <w:rFonts w:hint="eastAsia" w:ascii="仿宋" w:hAnsi="仿宋" w:eastAsia="仿宋" w:cs="Times New Roman"/>
          <w:sz w:val="32"/>
        </w:rPr>
        <w:t>优化养老服务营商环境，深化养老机构公建民营、民建公助、特许经营、租赁经营等运营模式改革试点和创新探索工作，推进养老事业与养老产业协同发展，在养老服务业形成政府、市场与社会合力，实现养老服务资源的跨部门联动和高效配置。依托全区医疗、旅游、文化与教育等优势行业资源，促进养老服务业与其他行业融合发展，打造康养小镇、森林康养、中医药养生旅游等多元化、高层次的养老服务产业新业态。积极拓展互联网、大数据、人工智能、第五代移动通信（</w:t>
      </w:r>
      <w:r>
        <w:rPr>
          <w:rFonts w:ascii="Times New Roman" w:hAnsi="Times New Roman" w:eastAsia="仿宋" w:cs="Times New Roman"/>
          <w:sz w:val="32"/>
        </w:rPr>
        <w:t>5G</w:t>
      </w:r>
      <w:r>
        <w:rPr>
          <w:rFonts w:hint="eastAsia" w:ascii="仿宋" w:hAnsi="仿宋" w:eastAsia="仿宋" w:cs="Times New Roman"/>
          <w:sz w:val="32"/>
        </w:rPr>
        <w:t>）等技术在养老领域的深度应用，实现养老服务业与“互联网+”有机融合，推进社区居家养老的专业化智慧化发展。支持老年产品的研发制造与关键技术成果转化，推广契合老年人需要的适老化、个性化、智能化产品，实现养老产品的多样态供给，提升老年群体的晚年生活质量。</w:t>
      </w:r>
    </w:p>
    <w:p>
      <w:pPr>
        <w:tabs>
          <w:tab w:val="right" w:leader="dot" w:pos="8834"/>
        </w:tabs>
        <w:spacing w:line="579" w:lineRule="exact"/>
        <w:ind w:firstLine="320" w:firstLineChars="100"/>
        <w:textAlignment w:val="center"/>
        <w:rPr>
          <w:rFonts w:ascii="仿宋" w:hAnsi="仿宋" w:eastAsia="仿宋" w:cs="Times New Roman"/>
          <w:color w:val="000000"/>
          <w:sz w:val="32"/>
        </w:rPr>
      </w:pPr>
    </w:p>
    <w:p>
      <w:pPr>
        <w:jc w:val="center"/>
        <w:outlineLvl w:val="1"/>
        <w:rPr>
          <w:rFonts w:ascii="仿宋" w:hAnsi="仿宋" w:eastAsia="仿宋" w:cs="Times New Roman"/>
          <w:sz w:val="32"/>
        </w:rPr>
      </w:pPr>
      <w:bookmarkStart w:id="40" w:name="_Toc118042956"/>
      <w:r>
        <w:rPr>
          <w:rFonts w:hint="eastAsia" w:ascii="仿宋" w:hAnsi="仿宋" w:eastAsia="仿宋" w:cs="Times New Roman"/>
          <w:b/>
          <w:sz w:val="32"/>
        </w:rPr>
        <w:t xml:space="preserve">第二节 </w:t>
      </w:r>
      <w:r>
        <w:rPr>
          <w:rFonts w:ascii="仿宋" w:hAnsi="仿宋" w:eastAsia="仿宋" w:cs="Times New Roman"/>
          <w:b/>
          <w:sz w:val="32"/>
        </w:rPr>
        <w:t xml:space="preserve"> </w:t>
      </w:r>
      <w:r>
        <w:rPr>
          <w:rFonts w:hint="eastAsia" w:ascii="仿宋" w:hAnsi="仿宋" w:eastAsia="仿宋" w:cs="Times New Roman"/>
          <w:b/>
          <w:sz w:val="32"/>
        </w:rPr>
        <w:t>营造敬老爱老助老社会环境</w:t>
      </w:r>
      <w:bookmarkEnd w:id="40"/>
    </w:p>
    <w:p>
      <w:pPr>
        <w:ind w:firstLine="640" w:firstLineChars="200"/>
        <w:rPr>
          <w:rFonts w:ascii="仿宋" w:hAnsi="仿宋" w:eastAsia="仿宋" w:cs="Times New Roman"/>
          <w:sz w:val="32"/>
        </w:rPr>
      </w:pPr>
      <w:r>
        <w:rPr>
          <w:rFonts w:hint="eastAsia" w:ascii="仿宋" w:hAnsi="仿宋" w:eastAsia="仿宋" w:cs="Times New Roman"/>
          <w:sz w:val="32"/>
        </w:rPr>
        <w:t>强化老年群体的多层次照护保障，完善高龄老年人的营养津贴与护理补贴制度，确保失能特困老年人在区社会福利护养中心“应护尽护”。继续加快养老服务基础设施建设，推进无障碍环境建设和公共设施适老化改造。健全以“社会工作者+红岩志愿者”为代表的联动服务机制，鼓励志愿服务团队、社工机构、慈善组织、爱心人士等社会化力量为老年群体提供人文关怀、精神慰藉、生活陪伴、文化娱乐等多样化服务。探索推进老年教育试点学校和老年教育示范基地建设，积极开展健康知识讲座、书法绘画培训等文体活动，大力支持契合老年群体社会化需要的品牌项目研发、应用和推广。加强老年群体权益保障的机制建设与普法宣传，完善涉老矛盾纠纷的预警、排查、调解和处理机制，开展老年人普法教育活动，提升老年人运用法律武器维护自身合法权益的意识和能力。持续推进“沙慈公益·六慈计划”，不断探索和完善养老慈善捐赠颁证奖励、养老慈善“抵税落地”等慈善激励机制，打造爱老、孝老、助老的良好社会风尚。</w:t>
      </w:r>
    </w:p>
    <w:p>
      <w:pPr>
        <w:tabs>
          <w:tab w:val="right" w:leader="dot" w:pos="8834"/>
        </w:tabs>
        <w:spacing w:line="579" w:lineRule="exact"/>
        <w:ind w:firstLine="320" w:firstLineChars="100"/>
        <w:textAlignment w:val="center"/>
        <w:rPr>
          <w:rFonts w:ascii="仿宋" w:hAnsi="仿宋" w:eastAsia="仿宋" w:cs="Times New Roman"/>
          <w:color w:val="000000"/>
          <w:sz w:val="32"/>
        </w:rPr>
      </w:pPr>
    </w:p>
    <w:p>
      <w:pPr>
        <w:jc w:val="center"/>
        <w:outlineLvl w:val="1"/>
        <w:rPr>
          <w:rFonts w:ascii="仿宋" w:hAnsi="仿宋" w:eastAsia="仿宋" w:cs="Times New Roman"/>
          <w:b/>
          <w:bCs/>
          <w:sz w:val="32"/>
        </w:rPr>
      </w:pPr>
      <w:bookmarkStart w:id="41" w:name="_Toc118042957"/>
      <w:r>
        <w:rPr>
          <w:rFonts w:hint="eastAsia" w:ascii="仿宋" w:hAnsi="仿宋" w:eastAsia="仿宋" w:cs="Times New Roman"/>
          <w:b/>
          <w:bCs/>
          <w:sz w:val="32"/>
        </w:rPr>
        <w:t>第三节  完善特殊困难老年人关爱服务体系</w:t>
      </w:r>
      <w:bookmarkEnd w:id="41"/>
    </w:p>
    <w:p>
      <w:pPr>
        <w:ind w:firstLine="640" w:firstLineChars="200"/>
        <w:rPr>
          <w:rFonts w:ascii="仿宋" w:hAnsi="仿宋" w:eastAsia="仿宋" w:cs="Times New Roman"/>
          <w:sz w:val="32"/>
        </w:rPr>
      </w:pPr>
      <w:r>
        <w:rPr>
          <w:rFonts w:hint="eastAsia" w:ascii="仿宋" w:hAnsi="仿宋" w:eastAsia="仿宋" w:cs="Times New Roman"/>
          <w:sz w:val="32"/>
        </w:rPr>
        <w:t>坚持政府主导、社会共同参与，通过定期上门入户、电话视频、远程监测等方式，了解掌握特殊困难老年人居家生活情况，支持赡养人、扶养人履行赡养、扶养义务，并根据实际需要提供政策宣传讲解、需求转介和必要救援等服务的活动。强化对特殊困难老年人的服务与关爱，依托社区（村）网格员、楼栋长、党小组长等骨干力量以及红岩志愿服务力量，建立健全特殊困难老年人的定期巡访和信息台账工作机制。拓展独居老年人“一对一”关爱服务经验，完善全区特殊困难老年人关爱服务机制。持续推动特殊困难老年人的居家适老化改造，基于老年人行动能力评估、居家跌倒风险评估等数据情况，根据老年人的异质化需求，形成“一户一案”的精准改造方案，着力提升特殊困难老年人的获得感、幸福感、安全感。</w:t>
      </w:r>
    </w:p>
    <w:p>
      <w:pPr>
        <w:pStyle w:val="2"/>
        <w:ind w:firstLine="0" w:firstLineChars="0"/>
        <w:rPr>
          <w:rFonts w:ascii="仿宋" w:hAnsi="仿宋" w:eastAsia="仿宋"/>
          <w:sz w:val="32"/>
          <w:szCs w:val="32"/>
        </w:rPr>
      </w:pPr>
    </w:p>
    <w:p>
      <w:pPr>
        <w:jc w:val="center"/>
        <w:outlineLvl w:val="1"/>
        <w:rPr>
          <w:rFonts w:ascii="仿宋" w:hAnsi="仿宋" w:eastAsia="仿宋" w:cs="Times New Roman"/>
          <w:b/>
          <w:bCs/>
          <w:sz w:val="32"/>
        </w:rPr>
      </w:pPr>
      <w:bookmarkStart w:id="42" w:name="_Toc118042958"/>
      <w:r>
        <w:rPr>
          <w:rFonts w:hint="eastAsia" w:ascii="仿宋" w:hAnsi="仿宋" w:eastAsia="仿宋" w:cs="Times New Roman"/>
          <w:b/>
          <w:bCs/>
          <w:sz w:val="32"/>
        </w:rPr>
        <w:t>第四节  促进老年人社会参与</w:t>
      </w:r>
      <w:bookmarkEnd w:id="42"/>
    </w:p>
    <w:p>
      <w:pPr>
        <w:ind w:firstLine="640" w:firstLineChars="200"/>
        <w:rPr>
          <w:rFonts w:ascii="仿宋" w:hAnsi="仿宋" w:eastAsia="仿宋" w:cs="Times New Roman"/>
          <w:sz w:val="32"/>
        </w:rPr>
      </w:pPr>
      <w:r>
        <w:rPr>
          <w:rFonts w:hint="eastAsia" w:ascii="仿宋" w:hAnsi="仿宋" w:eastAsia="仿宋" w:cs="Times New Roman"/>
          <w:sz w:val="32"/>
        </w:rPr>
        <w:t>倡导积极老龄观、健康老龄化理念，为老年人社会参与创设机会和平台，引导老年人参与社会治理，推动老有所为。积极开展“银龄行动”，鼓励老年人通过志愿服务参与公益慈善、移风易俗、民事调解、文教卫生等活动，保持健康心态与积极步调。依托“和顺茶馆”等平台，支持老年人参与社区基层治理和议事协商活动，充分发挥老年人民情反馈、纠纷化解、邻里调和等作用。动员和培养一批以党员同志、离退休干部为代表的老年骨干，引领和带动社区的低龄健康老年人，健全“时间银行”制度的长效参与机制，提升老年人的互助质量与水平。强化老年人社会参与保障，充分利用线上养老服务平台等智能化手段促进参与，打造大字版、语音版和简洁版等适老化平台模式，为老年人提供定制化、有温度、贴心的平台服务，助力消除“数字鸿沟”。</w:t>
      </w:r>
    </w:p>
    <w:p>
      <w:pPr>
        <w:pStyle w:val="2"/>
        <w:ind w:firstLine="0" w:firstLineChars="0"/>
        <w:jc w:val="center"/>
        <w:rPr>
          <w:rFonts w:ascii="黑体" w:hAnsi="黑体" w:eastAsia="黑体" w:cs="Times New Roman"/>
          <w:sz w:val="32"/>
        </w:rPr>
      </w:pPr>
      <w:r>
        <w:rPr>
          <w:rFonts w:hint="eastAsia" w:ascii="黑体" w:hAnsi="黑体" w:eastAsia="黑体" w:cs="Times New Roman"/>
          <w:sz w:val="32"/>
        </w:rPr>
        <w:t>专栏</w:t>
      </w:r>
      <w:r>
        <w:rPr>
          <w:rFonts w:ascii="Times New Roman" w:hAnsi="Times New Roman" w:eastAsia="黑体" w:cs="Times New Roman"/>
          <w:sz w:val="32"/>
        </w:rPr>
        <w:t>7</w:t>
      </w:r>
      <w:r>
        <w:rPr>
          <w:rFonts w:hint="eastAsia" w:ascii="黑体" w:hAnsi="黑体" w:eastAsia="黑体" w:cs="Times New Roman"/>
          <w:sz w:val="32"/>
        </w:rPr>
        <w:t xml:space="preserve">  构建老年友好型社会重点项目</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pPr>
              <w:spacing w:line="400" w:lineRule="exact"/>
              <w:ind w:firstLine="482" w:firstLineChars="200"/>
              <w:rPr>
                <w:rFonts w:ascii="仿宋" w:hAnsi="仿宋" w:eastAsia="仿宋" w:cs="Times New Roman"/>
                <w:sz w:val="24"/>
              </w:rPr>
            </w:pPr>
            <w:r>
              <w:rPr>
                <w:rFonts w:hint="eastAsia" w:ascii="仿宋" w:hAnsi="仿宋" w:eastAsia="仿宋" w:cs="Times New Roman"/>
                <w:b/>
                <w:sz w:val="24"/>
              </w:rPr>
              <w:t>老年大学及老年活动中心建设项目。</w:t>
            </w:r>
            <w:r>
              <w:rPr>
                <w:rFonts w:hint="eastAsia" w:ascii="仿宋" w:hAnsi="仿宋" w:eastAsia="仿宋" w:cs="Times New Roman"/>
                <w:bCs/>
                <w:sz w:val="24"/>
              </w:rPr>
              <w:t>积极探索与区教委、行业企业、高校合作举办老年大学及老年活动中心，</w:t>
            </w:r>
            <w:r>
              <w:rPr>
                <w:rFonts w:hint="eastAsia" w:ascii="仿宋" w:hAnsi="仿宋" w:eastAsia="仿宋" w:cs="Times New Roman"/>
                <w:sz w:val="24"/>
              </w:rPr>
              <w:t>开展健康知识讲座、绘画等培训，增进老年人社会参与，丰富老年人晚年生活。到</w:t>
            </w:r>
            <w:r>
              <w:rPr>
                <w:rFonts w:ascii="Times New Roman" w:hAnsi="Times New Roman" w:eastAsia="仿宋" w:cs="Times New Roman"/>
                <w:sz w:val="24"/>
              </w:rPr>
              <w:t>2025</w:t>
            </w:r>
            <w:r>
              <w:rPr>
                <w:rFonts w:hint="eastAsia" w:ascii="仿宋" w:hAnsi="仿宋" w:eastAsia="仿宋" w:cs="Times New Roman"/>
                <w:sz w:val="24"/>
              </w:rPr>
              <w:t>年，</w:t>
            </w:r>
            <w:r>
              <w:rPr>
                <w:rFonts w:hint="eastAsia" w:ascii="仿宋" w:hAnsi="仿宋" w:eastAsia="仿宋" w:cs="Times New Roman"/>
                <w:bCs/>
                <w:sz w:val="24"/>
              </w:rPr>
              <w:t>建成区级老年大学</w:t>
            </w:r>
            <w:r>
              <w:rPr>
                <w:rFonts w:ascii="Times New Roman" w:hAnsi="Times New Roman" w:eastAsia="仿宋" w:cs="Times New Roman"/>
                <w:bCs/>
                <w:sz w:val="24"/>
              </w:rPr>
              <w:t>1</w:t>
            </w:r>
            <w:r>
              <w:rPr>
                <w:rFonts w:hint="eastAsia" w:ascii="仿宋" w:hAnsi="仿宋" w:eastAsia="仿宋" w:cs="Times New Roman"/>
                <w:bCs/>
                <w:sz w:val="24"/>
              </w:rPr>
              <w:t>所，街道（社区）级老年大学教学点覆盖率达到</w:t>
            </w:r>
            <w:r>
              <w:rPr>
                <w:rFonts w:ascii="Times New Roman" w:hAnsi="Times New Roman" w:eastAsia="仿宋" w:cs="Times New Roman"/>
                <w:bCs/>
                <w:sz w:val="24"/>
              </w:rPr>
              <w:t>70%</w:t>
            </w:r>
            <w:r>
              <w:rPr>
                <w:rFonts w:hint="eastAsia" w:ascii="仿宋" w:hAnsi="仿宋" w:eastAsia="仿宋" w:cs="Times New Roman"/>
                <w:sz w:val="24"/>
              </w:rPr>
              <w:t>。</w:t>
            </w:r>
          </w:p>
          <w:p>
            <w:pPr>
              <w:spacing w:line="400" w:lineRule="exact"/>
              <w:ind w:firstLine="482" w:firstLineChars="200"/>
              <w:rPr>
                <w:rFonts w:ascii="仿宋" w:hAnsi="仿宋" w:eastAsia="仿宋" w:cs="Times New Roman"/>
                <w:sz w:val="24"/>
              </w:rPr>
            </w:pPr>
            <w:r>
              <w:rPr>
                <w:rFonts w:hint="eastAsia" w:ascii="仿宋" w:hAnsi="仿宋" w:eastAsia="仿宋" w:cs="Times New Roman"/>
                <w:b/>
                <w:sz w:val="24"/>
              </w:rPr>
              <w:t>“时间银行”</w:t>
            </w:r>
            <w:r>
              <w:rPr>
                <w:rFonts w:ascii="仿宋" w:hAnsi="仿宋" w:eastAsia="仿宋" w:cs="Times New Roman"/>
                <w:b/>
                <w:sz w:val="24"/>
              </w:rPr>
              <w:t>项目。</w:t>
            </w:r>
            <w:r>
              <w:rPr>
                <w:rFonts w:hint="eastAsia" w:ascii="仿宋" w:hAnsi="仿宋" w:eastAsia="仿宋" w:cs="Times New Roman"/>
                <w:sz w:val="24"/>
              </w:rPr>
              <w:t>探索以低龄老人服务高龄老人的互助养老模式，制定老年志愿服务清单、志愿时长兑换细则以及志愿服务长效参与规范，实现居家养老与志愿服务相结合，充分调用互助养老资源，推动形成以老帮老、以老养老、互惠互利，形成长时效、可接续的老年志愿服务机制。</w:t>
            </w:r>
          </w:p>
          <w:p>
            <w:pPr>
              <w:spacing w:line="400" w:lineRule="exact"/>
              <w:ind w:firstLine="482" w:firstLineChars="200"/>
              <w:rPr>
                <w:rFonts w:ascii="仿宋" w:hAnsi="仿宋" w:eastAsia="仿宋" w:cs="Times New Roman"/>
                <w:sz w:val="24"/>
              </w:rPr>
            </w:pPr>
            <w:r>
              <w:rPr>
                <w:rFonts w:hint="eastAsia" w:ascii="仿宋" w:hAnsi="仿宋" w:eastAsia="仿宋" w:cs="Times New Roman"/>
                <w:b/>
                <w:sz w:val="24"/>
              </w:rPr>
              <w:t>独居</w:t>
            </w:r>
            <w:r>
              <w:rPr>
                <w:rFonts w:ascii="仿宋" w:hAnsi="仿宋" w:eastAsia="仿宋" w:cs="Times New Roman"/>
                <w:b/>
                <w:sz w:val="24"/>
              </w:rPr>
              <w:t>老人关爱</w:t>
            </w:r>
            <w:r>
              <w:rPr>
                <w:rFonts w:hint="eastAsia" w:ascii="仿宋" w:hAnsi="仿宋" w:eastAsia="仿宋" w:cs="Times New Roman"/>
                <w:b/>
                <w:sz w:val="24"/>
              </w:rPr>
              <w:t>项目</w:t>
            </w:r>
            <w:r>
              <w:rPr>
                <w:rFonts w:ascii="仿宋" w:hAnsi="仿宋" w:eastAsia="仿宋" w:cs="Times New Roman"/>
                <w:b/>
                <w:sz w:val="24"/>
              </w:rPr>
              <w:t>。</w:t>
            </w:r>
            <w:r>
              <w:rPr>
                <w:rFonts w:hint="eastAsia" w:ascii="仿宋" w:hAnsi="仿宋" w:eastAsia="仿宋" w:cs="Times New Roman"/>
                <w:sz w:val="24"/>
              </w:rPr>
              <w:t>通过为每名独居老年人指定一名关爱联系人、制作一张“关爱服务卡”、制定一个关爱计划，以及依托“一人一策”的全面排查机制、“八助一代”的生活照料服务、“人技协同”的关爱服务手段，落实针对全区独居老年人的一对一关爱服务，提升独居老年人生活质量。</w:t>
            </w:r>
          </w:p>
          <w:p>
            <w:pPr>
              <w:spacing w:line="400" w:lineRule="exact"/>
              <w:ind w:firstLine="482" w:firstLineChars="200"/>
              <w:rPr>
                <w:rFonts w:ascii="仿宋" w:hAnsi="仿宋" w:eastAsia="仿宋" w:cs="Times New Roman"/>
                <w:sz w:val="24"/>
              </w:rPr>
            </w:pPr>
            <w:r>
              <w:rPr>
                <w:rFonts w:hint="eastAsia" w:ascii="仿宋" w:hAnsi="仿宋" w:eastAsia="仿宋" w:cs="Times New Roman"/>
                <w:b/>
                <w:sz w:val="24"/>
              </w:rPr>
              <w:t>老年人心理关爱服务项目。</w:t>
            </w:r>
            <w:r>
              <w:rPr>
                <w:rFonts w:hint="eastAsia" w:ascii="仿宋" w:hAnsi="仿宋" w:eastAsia="仿宋" w:cs="Times New Roman"/>
                <w:sz w:val="24"/>
              </w:rPr>
              <w:t>依托专业社会工作养老服务项目，深入体察老年人的精神状态、家庭关系和社会融入等情况，为老年人提供具有针对性、专业性和引导性的心理疏导、精神慰藉、代际沟通、社会交往等支持服务。</w:t>
            </w:r>
          </w:p>
          <w:p>
            <w:pPr>
              <w:spacing w:line="400" w:lineRule="exact"/>
              <w:ind w:firstLine="482" w:firstLineChars="200"/>
              <w:rPr>
                <w:rFonts w:ascii="仿宋" w:hAnsi="仿宋" w:eastAsia="仿宋" w:cs="Times New Roman"/>
                <w:sz w:val="24"/>
              </w:rPr>
            </w:pPr>
            <w:r>
              <w:rPr>
                <w:rFonts w:hint="eastAsia" w:ascii="仿宋" w:hAnsi="仿宋" w:eastAsia="仿宋" w:cs="Times New Roman"/>
                <w:b/>
                <w:sz w:val="24"/>
              </w:rPr>
              <w:t>养老企业品牌</w:t>
            </w:r>
            <w:r>
              <w:rPr>
                <w:rFonts w:ascii="仿宋" w:hAnsi="仿宋" w:eastAsia="仿宋" w:cs="Times New Roman"/>
                <w:b/>
                <w:sz w:val="24"/>
              </w:rPr>
              <w:t>培育</w:t>
            </w:r>
            <w:r>
              <w:rPr>
                <w:rFonts w:hint="eastAsia" w:ascii="仿宋" w:hAnsi="仿宋" w:eastAsia="仿宋" w:cs="Times New Roman"/>
                <w:b/>
                <w:sz w:val="24"/>
              </w:rPr>
              <w:t>项目</w:t>
            </w:r>
            <w:r>
              <w:rPr>
                <w:rFonts w:ascii="仿宋" w:hAnsi="仿宋" w:eastAsia="仿宋" w:cs="Times New Roman"/>
                <w:b/>
                <w:sz w:val="24"/>
              </w:rPr>
              <w:t>。</w:t>
            </w:r>
            <w:r>
              <w:rPr>
                <w:rFonts w:hint="eastAsia" w:ascii="仿宋" w:hAnsi="仿宋" w:eastAsia="仿宋" w:cs="Times New Roman"/>
                <w:bCs/>
                <w:sz w:val="24"/>
              </w:rPr>
              <w:t>通过政策支持、运营补贴、建设指导等扶持手段，培育发展一批市场竞争力强、示范作用显著的养老服务本土品牌企业，辐射带动和引领养老领域的中小企业发展，形成本土化、特色化、品牌化的养老服务产业集群。</w:t>
            </w:r>
          </w:p>
        </w:tc>
      </w:tr>
    </w:tbl>
    <w:p>
      <w:pPr>
        <w:rPr>
          <w:rFonts w:ascii="仿宋" w:hAnsi="仿宋" w:eastAsia="仿宋"/>
          <w:sz w:val="32"/>
        </w:rPr>
      </w:pPr>
    </w:p>
    <w:p>
      <w:pPr>
        <w:rPr>
          <w:rFonts w:ascii="仿宋" w:hAnsi="仿宋" w:eastAsia="仿宋"/>
          <w:sz w:val="32"/>
        </w:rPr>
      </w:pPr>
    </w:p>
    <w:p>
      <w:pPr>
        <w:jc w:val="center"/>
        <w:outlineLvl w:val="0"/>
        <w:rPr>
          <w:rFonts w:ascii="黑体" w:hAnsi="黑体" w:eastAsia="黑体" w:cs="Times New Roman"/>
          <w:sz w:val="32"/>
        </w:rPr>
      </w:pPr>
      <w:bookmarkStart w:id="43" w:name="_Toc118042959"/>
      <w:r>
        <w:rPr>
          <w:rFonts w:hint="eastAsia" w:ascii="黑体" w:hAnsi="黑体" w:eastAsia="黑体" w:cs="Times New Roman"/>
          <w:sz w:val="32"/>
        </w:rPr>
        <w:t>第九章  引领养老服务行业规范健康发展</w:t>
      </w:r>
      <w:bookmarkEnd w:id="43"/>
    </w:p>
    <w:p>
      <w:pPr>
        <w:tabs>
          <w:tab w:val="right" w:leader="dot" w:pos="8834"/>
        </w:tabs>
        <w:spacing w:line="579" w:lineRule="exact"/>
        <w:ind w:firstLine="320" w:firstLineChars="100"/>
        <w:textAlignment w:val="center"/>
        <w:rPr>
          <w:rFonts w:ascii="仿宋" w:hAnsi="仿宋" w:eastAsia="仿宋" w:cs="Times New Roman"/>
          <w:color w:val="000000"/>
          <w:sz w:val="32"/>
        </w:rPr>
      </w:pPr>
    </w:p>
    <w:p>
      <w:pPr>
        <w:jc w:val="center"/>
        <w:outlineLvl w:val="1"/>
        <w:rPr>
          <w:rFonts w:ascii="仿宋" w:hAnsi="仿宋" w:eastAsia="仿宋" w:cs="Times New Roman"/>
          <w:b/>
          <w:bCs/>
          <w:sz w:val="32"/>
        </w:rPr>
      </w:pPr>
      <w:bookmarkStart w:id="44" w:name="_Toc118042960"/>
      <w:r>
        <w:rPr>
          <w:rFonts w:hint="eastAsia" w:ascii="仿宋" w:hAnsi="仿宋" w:eastAsia="仿宋" w:cs="Times New Roman"/>
          <w:b/>
          <w:bCs/>
          <w:sz w:val="32"/>
        </w:rPr>
        <w:t>第一节  加快养老服务标准化建设</w:t>
      </w:r>
      <w:bookmarkEnd w:id="44"/>
    </w:p>
    <w:p>
      <w:pPr>
        <w:ind w:firstLine="640" w:firstLineChars="200"/>
        <w:rPr>
          <w:rFonts w:ascii="仿宋" w:hAnsi="仿宋" w:eastAsia="仿宋" w:cs="Times New Roman"/>
          <w:sz w:val="32"/>
        </w:rPr>
      </w:pPr>
      <w:r>
        <w:rPr>
          <w:rFonts w:hint="eastAsia" w:ascii="仿宋" w:hAnsi="仿宋" w:eastAsia="仿宋" w:cs="Times New Roman"/>
          <w:sz w:val="32"/>
        </w:rPr>
        <w:t>落实养老服务质量管理，完善养老服务领域信息公开机制，推进养老服务标准化、规范化建设。围绕养老服务标准体系构成要素和现实发展需要，结合有关法律法规、行业标准以及国家、重庆市政策文件要求，制定出台一批符合区情、适应养老服务高质量发展的地方性标准，重点围绕建设标准、运营管理、评估考核、补助标准等内容，逐步完善区级养老服务标准化体系。推进养老服务标准的宣传、应用和推广，鼓励养老服务机构开展标准化建设，遴选一批示范性养老服务机构，引领和带动养老服务行业高质量发展。建立健全养老服务领域信息公开清单，完善具体的公开事项和工作细则。探索建立信息公开行业激励机制，助推养老服务机构主动公开服务质量信息，自觉接受社会监督，推动养老服务业良性、规范和健康发展。</w:t>
      </w:r>
    </w:p>
    <w:p>
      <w:pPr>
        <w:rPr>
          <w:rFonts w:ascii="仿宋" w:hAnsi="仿宋" w:eastAsia="仿宋"/>
          <w:sz w:val="32"/>
        </w:rPr>
      </w:pPr>
    </w:p>
    <w:p>
      <w:pPr>
        <w:jc w:val="center"/>
        <w:outlineLvl w:val="1"/>
        <w:rPr>
          <w:rFonts w:ascii="仿宋" w:hAnsi="仿宋" w:eastAsia="仿宋" w:cs="Times New Roman"/>
          <w:sz w:val="32"/>
        </w:rPr>
      </w:pPr>
      <w:bookmarkStart w:id="45" w:name="_Toc118042961"/>
      <w:r>
        <w:rPr>
          <w:rFonts w:hint="eastAsia" w:ascii="仿宋" w:hAnsi="仿宋" w:eastAsia="仿宋" w:cs="Times New Roman"/>
          <w:b/>
          <w:bCs/>
          <w:sz w:val="32"/>
        </w:rPr>
        <w:t>第二节  创新智慧养老服务体系</w:t>
      </w:r>
      <w:bookmarkEnd w:id="45"/>
    </w:p>
    <w:p>
      <w:pPr>
        <w:ind w:firstLine="640" w:firstLineChars="200"/>
        <w:rPr>
          <w:rFonts w:ascii="仿宋" w:hAnsi="仿宋" w:eastAsia="仿宋" w:cs="Times New Roman"/>
          <w:sz w:val="32"/>
        </w:rPr>
      </w:pPr>
      <w:r>
        <w:rPr>
          <w:rFonts w:hint="eastAsia" w:ascii="仿宋" w:hAnsi="仿宋" w:eastAsia="仿宋" w:cs="Times New Roman"/>
          <w:sz w:val="32"/>
        </w:rPr>
        <w:t>持续推进养老服务智慧化升级，依托信息化系统和智能化产品，提升社区居家养老专业化智慧化水平。加快智慧养老信息化平台建设，促进养老服务管理与信息技术应用的深度融合，通过“金民工程</w:t>
      </w:r>
      <w:r>
        <w:rPr>
          <w:rFonts w:ascii="仿宋" w:hAnsi="仿宋" w:eastAsia="仿宋" w:cs="Times New Roman"/>
          <w:sz w:val="32"/>
        </w:rPr>
        <w:t>”</w:t>
      </w:r>
      <w:r>
        <w:rPr>
          <w:rFonts w:hint="eastAsia" w:ascii="仿宋" w:hAnsi="仿宋" w:eastAsia="仿宋" w:cs="Times New Roman"/>
          <w:sz w:val="32"/>
        </w:rPr>
        <w:t>、重庆市智慧社区智慧养老云平台、“渝快办”等平台的整合调用，实现养老领域数据、信息、资源的互联互通、共享共用，提升养老服务的可及性、回应性和高效性。促进云平台与养老服务体系的纵向融合应用，健全以养老服务中心“小莲随时呼”、</w:t>
      </w:r>
      <w:r>
        <w:rPr>
          <w:rFonts w:ascii="Times New Roman" w:hAnsi="Times New Roman" w:eastAsia="仿宋" w:cs="Times New Roman"/>
          <w:sz w:val="32"/>
        </w:rPr>
        <w:t>SOS</w:t>
      </w:r>
      <w:r>
        <w:rPr>
          <w:rFonts w:hint="eastAsia" w:ascii="仿宋" w:hAnsi="仿宋" w:eastAsia="仿宋" w:cs="Times New Roman"/>
          <w:sz w:val="32"/>
        </w:rPr>
        <w:t>急救呼叫按钮等为代表的服务功能，深化机构、中心、站点云平台应用的功能开发和试点推广，形成云平台服务功能闭环。推动养老服务智能终端设备和产品的研发与使用，实现居家养老智能化改造和家庭养老床位智能化建设，根据老年人居家实际情况和养老服务开展需要，在老年人住所安装门磁感应系统、智能检测电表/水表、远程监控等智能设备，在家庭养老床位配备智能呼叫设备、烟感气感探测器等智能产品，为老年人提供紧急呼叫、安全监测等服务，增强老年人居家养老的安全性和舒适性。</w:t>
      </w:r>
    </w:p>
    <w:p>
      <w:pPr>
        <w:rPr>
          <w:rFonts w:ascii="仿宋" w:hAnsi="仿宋" w:eastAsia="仿宋"/>
          <w:sz w:val="32"/>
        </w:rPr>
      </w:pPr>
    </w:p>
    <w:p>
      <w:pPr>
        <w:jc w:val="center"/>
        <w:outlineLvl w:val="1"/>
        <w:rPr>
          <w:rFonts w:ascii="仿宋" w:hAnsi="仿宋" w:eastAsia="仿宋" w:cs="Times New Roman"/>
          <w:b/>
          <w:bCs/>
          <w:sz w:val="32"/>
        </w:rPr>
      </w:pPr>
      <w:bookmarkStart w:id="46" w:name="_Toc118042962"/>
      <w:r>
        <w:rPr>
          <w:rFonts w:hint="eastAsia" w:ascii="仿宋" w:hAnsi="仿宋" w:eastAsia="仿宋" w:cs="Times New Roman"/>
          <w:b/>
          <w:bCs/>
          <w:sz w:val="32"/>
        </w:rPr>
        <w:t>第三节  健全养老服务综合监管机制</w:t>
      </w:r>
      <w:bookmarkEnd w:id="46"/>
    </w:p>
    <w:p>
      <w:pPr>
        <w:ind w:firstLine="640" w:firstLineChars="200"/>
        <w:rPr>
          <w:rFonts w:ascii="仿宋" w:hAnsi="仿宋" w:eastAsia="仿宋" w:cs="Times New Roman"/>
          <w:sz w:val="32"/>
        </w:rPr>
      </w:pPr>
      <w:r>
        <w:rPr>
          <w:rFonts w:hint="eastAsia" w:ascii="仿宋" w:hAnsi="仿宋" w:eastAsia="仿宋" w:cs="Times New Roman"/>
          <w:sz w:val="32"/>
        </w:rPr>
        <w:t>完善养老服务综合监管制度，搭建起多主体、全方位、适应市场发展的监管体系，实现养老服务综合监管规范化常态化，助推养老服务高质量发展。建立健全政府主导、机构主责、部门协同、行业自律、社会监督的养老服务综合监管制度，探索创新养老服务领域监管方式和手段，推动实现全方面、全流程、全周期的养老服务监管。推动民政、市监、卫健、消防等多部门开展养老服务联合监管，健全跨部门协调配合机制，强化联合监管、联合执法、联合惩戒。深入规范养老机构监管行为，探索“互联网+监管”模式，建立健全职责明确、分工协作、科学有效的综合监管制度，形成以“双随机、一公开”监管为基本手段、以重点监管为补充、以信用监管为基础的新型监管机制。建立健全养老服务领域守信联合激励和失信联合惩戒机制，开展养老服务机构公共信用综合评价，评价结果转化为机构信用评级，逐步探索构建养老服务领域社会信用体系。充分发挥养老协会作用，推动建立养老服务领域行业自律体系，加强养老服务行业组织自我约束与自我规范。</w:t>
      </w:r>
    </w:p>
    <w:p>
      <w:pPr>
        <w:rPr>
          <w:rFonts w:ascii="仿宋" w:hAnsi="仿宋" w:eastAsia="仿宋"/>
          <w:sz w:val="32"/>
        </w:rPr>
      </w:pPr>
    </w:p>
    <w:p>
      <w:pPr>
        <w:jc w:val="center"/>
        <w:outlineLvl w:val="1"/>
        <w:rPr>
          <w:rFonts w:ascii="仿宋" w:hAnsi="仿宋" w:eastAsia="仿宋" w:cs="Times New Roman"/>
          <w:b/>
          <w:bCs/>
          <w:sz w:val="32"/>
        </w:rPr>
      </w:pPr>
      <w:bookmarkStart w:id="47" w:name="_Toc118042963"/>
      <w:r>
        <w:rPr>
          <w:rFonts w:hint="eastAsia" w:ascii="仿宋" w:hAnsi="仿宋" w:eastAsia="仿宋" w:cs="Times New Roman"/>
          <w:b/>
          <w:bCs/>
          <w:sz w:val="32"/>
        </w:rPr>
        <w:t>第四节  强化养老服务应急保障能力</w:t>
      </w:r>
      <w:bookmarkEnd w:id="47"/>
    </w:p>
    <w:p>
      <w:pPr>
        <w:ind w:firstLine="640" w:firstLineChars="200"/>
        <w:rPr>
          <w:rFonts w:ascii="仿宋" w:hAnsi="仿宋" w:eastAsia="仿宋" w:cs="Times New Roman"/>
          <w:sz w:val="32"/>
        </w:rPr>
      </w:pPr>
      <w:r>
        <w:rPr>
          <w:rFonts w:hint="eastAsia" w:ascii="仿宋" w:hAnsi="仿宋" w:eastAsia="仿宋" w:cs="Times New Roman"/>
          <w:sz w:val="32"/>
        </w:rPr>
        <w:t>健全养老服务领域应急保障体系，推动养老服务安全健康发展。探索制定自然灾害、事故灾难、公共卫生事件等突发事件应急预案，明确有关部门职责范围和养老机构主体责任，落实应急预案启动程序和应急处置流程，强化应急处置规范和能力。实施养老机构消防安全达标工程，全面落实养老机构消防安全管理要求，建立健全养老机构消防安全“自管”和“自律”制度，实现养老机构火灾隐患自行排查、自行整改，初起火灾自行处置的目标。针对养老机构可能发生的传染病疫情、食物中毒等突发公共卫生事件进行专门的演练和培训，确保相关管理人员、护理人员掌握应急预案规定的职责任务与处置程序。探索建立养老服务应急救援支援队伍和援助机制，配合市级养老服务救援统筹工作。完善养老服务应急物资储备和供应体系，探索科学的物资储备制度和方案，构建应急防控物资多层次供给体系。</w:t>
      </w:r>
    </w:p>
    <w:p>
      <w:pPr>
        <w:jc w:val="center"/>
        <w:rPr>
          <w:rFonts w:ascii="黑体" w:hAnsi="黑体" w:eastAsia="黑体" w:cs="Times New Roman"/>
          <w:sz w:val="32"/>
        </w:rPr>
      </w:pPr>
      <w:r>
        <w:rPr>
          <w:rFonts w:hint="eastAsia" w:ascii="黑体" w:hAnsi="黑体" w:eastAsia="黑体" w:cs="Times New Roman"/>
          <w:sz w:val="32"/>
        </w:rPr>
        <w:t>专栏</w:t>
      </w:r>
      <w:r>
        <w:rPr>
          <w:rFonts w:ascii="Times New Roman" w:hAnsi="Times New Roman" w:eastAsia="黑体" w:cs="Times New Roman"/>
          <w:sz w:val="32"/>
        </w:rPr>
        <w:t>8</w:t>
      </w:r>
      <w:r>
        <w:rPr>
          <w:rFonts w:hint="eastAsia" w:ascii="黑体" w:hAnsi="黑体" w:eastAsia="黑体" w:cs="Times New Roman"/>
          <w:sz w:val="32"/>
        </w:rPr>
        <w:t xml:space="preserve">  养老服务行业健康发展项目</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tcPr>
          <w:p>
            <w:pPr>
              <w:spacing w:line="400" w:lineRule="exact"/>
              <w:ind w:firstLine="482" w:firstLineChars="200"/>
              <w:rPr>
                <w:rFonts w:ascii="仿宋" w:hAnsi="仿宋" w:eastAsia="仿宋" w:cs="Times New Roman"/>
                <w:sz w:val="24"/>
              </w:rPr>
            </w:pPr>
            <w:r>
              <w:rPr>
                <w:rFonts w:hint="eastAsia" w:ascii="仿宋" w:hAnsi="仿宋" w:eastAsia="仿宋" w:cs="Times New Roman"/>
                <w:b/>
                <w:bCs/>
                <w:sz w:val="24"/>
              </w:rPr>
              <w:t>养老服务标准化项目。</w:t>
            </w:r>
            <w:r>
              <w:rPr>
                <w:rFonts w:hint="eastAsia" w:ascii="仿宋" w:hAnsi="仿宋" w:eastAsia="仿宋" w:cs="Times New Roman"/>
                <w:sz w:val="24"/>
              </w:rPr>
              <w:t>依据国家标准、地方标准、行业标准，推进养老服务设施规范化建设。健全养老服务设施基础服务内容和人员配备，落实服务质量管理和质量评价，提升养老服务标准化水平。</w:t>
            </w:r>
          </w:p>
          <w:p>
            <w:pPr>
              <w:spacing w:line="400" w:lineRule="exact"/>
              <w:ind w:firstLine="482" w:firstLineChars="200"/>
              <w:rPr>
                <w:rFonts w:ascii="仿宋" w:hAnsi="仿宋" w:eastAsia="仿宋" w:cs="Times New Roman"/>
                <w:sz w:val="24"/>
              </w:rPr>
            </w:pPr>
            <w:r>
              <w:rPr>
                <w:rFonts w:hint="eastAsia" w:ascii="仿宋" w:hAnsi="仿宋" w:eastAsia="仿宋" w:cs="Times New Roman"/>
                <w:b/>
                <w:sz w:val="24"/>
              </w:rPr>
              <w:t>全域智慧</w:t>
            </w:r>
            <w:r>
              <w:rPr>
                <w:rFonts w:ascii="仿宋" w:hAnsi="仿宋" w:eastAsia="仿宋" w:cs="Times New Roman"/>
                <w:b/>
                <w:sz w:val="24"/>
              </w:rPr>
              <w:t>养老</w:t>
            </w:r>
            <w:r>
              <w:rPr>
                <w:rFonts w:hint="eastAsia" w:ascii="仿宋" w:hAnsi="仿宋" w:eastAsia="仿宋" w:cs="Times New Roman"/>
                <w:b/>
                <w:sz w:val="24"/>
              </w:rPr>
              <w:t>示范项目。</w:t>
            </w:r>
            <w:r>
              <w:rPr>
                <w:rFonts w:hint="eastAsia" w:ascii="仿宋" w:hAnsi="仿宋" w:eastAsia="仿宋" w:cs="Times New Roman"/>
                <w:bCs/>
                <w:sz w:val="24"/>
              </w:rPr>
              <w:t>依托互联网、大数据等信息技术的深度应用，推进机构、中心、站点养老服务信息平台建设。</w:t>
            </w:r>
            <w:r>
              <w:rPr>
                <w:rFonts w:hint="eastAsia" w:ascii="仿宋" w:hAnsi="仿宋" w:eastAsia="仿宋" w:cs="Times New Roman"/>
                <w:sz w:val="24"/>
              </w:rPr>
              <w:t>为特殊困难老年人提供居家适老化改造，安装配备辅助器具设施，推广应用智能化终端产品，为老年人提供紧急呼叫、智能监测、安全检测等服务，提升家庭养老专业化智慧化水平。</w:t>
            </w:r>
          </w:p>
        </w:tc>
      </w:tr>
    </w:tbl>
    <w:p>
      <w:pPr>
        <w:rPr>
          <w:rFonts w:ascii="仿宋" w:hAnsi="仿宋" w:eastAsia="仿宋"/>
          <w:sz w:val="32"/>
        </w:rPr>
      </w:pPr>
    </w:p>
    <w:p>
      <w:pPr>
        <w:rPr>
          <w:rFonts w:ascii="仿宋" w:hAnsi="仿宋" w:eastAsia="仿宋"/>
          <w:sz w:val="32"/>
        </w:rPr>
      </w:pPr>
    </w:p>
    <w:p>
      <w:pPr>
        <w:jc w:val="center"/>
        <w:outlineLvl w:val="0"/>
        <w:rPr>
          <w:rFonts w:ascii="黑体" w:hAnsi="黑体" w:eastAsia="黑体"/>
          <w:sz w:val="32"/>
        </w:rPr>
      </w:pPr>
      <w:bookmarkStart w:id="48" w:name="_Toc118042964"/>
      <w:r>
        <w:rPr>
          <w:rFonts w:hint="eastAsia" w:ascii="黑体" w:hAnsi="黑体" w:eastAsia="黑体"/>
          <w:sz w:val="32"/>
        </w:rPr>
        <w:t xml:space="preserve">第十章 </w:t>
      </w:r>
      <w:r>
        <w:rPr>
          <w:rFonts w:ascii="黑体" w:hAnsi="黑体" w:eastAsia="黑体"/>
          <w:sz w:val="32"/>
        </w:rPr>
        <w:t xml:space="preserve"> </w:t>
      </w:r>
      <w:r>
        <w:rPr>
          <w:rFonts w:hint="eastAsia" w:ascii="黑体" w:hAnsi="黑体" w:eastAsia="黑体"/>
          <w:sz w:val="32"/>
        </w:rPr>
        <w:t>推进成渝地区养老事业协同发展</w:t>
      </w:r>
      <w:bookmarkEnd w:id="48"/>
    </w:p>
    <w:p>
      <w:pPr>
        <w:rPr>
          <w:rFonts w:ascii="仿宋" w:hAnsi="仿宋" w:eastAsia="仿宋"/>
          <w:sz w:val="32"/>
        </w:rPr>
      </w:pPr>
    </w:p>
    <w:p>
      <w:pPr>
        <w:jc w:val="center"/>
        <w:outlineLvl w:val="1"/>
        <w:rPr>
          <w:rFonts w:ascii="仿宋" w:hAnsi="仿宋" w:eastAsia="仿宋"/>
          <w:b/>
          <w:sz w:val="32"/>
        </w:rPr>
      </w:pPr>
      <w:bookmarkStart w:id="49" w:name="_Toc118042965"/>
      <w:r>
        <w:rPr>
          <w:rFonts w:hint="eastAsia" w:ascii="仿宋" w:hAnsi="仿宋" w:eastAsia="仿宋"/>
          <w:b/>
          <w:sz w:val="32"/>
        </w:rPr>
        <w:t>第一节</w:t>
      </w:r>
      <w:r>
        <w:rPr>
          <w:rFonts w:ascii="仿宋" w:hAnsi="仿宋" w:eastAsia="仿宋"/>
          <w:b/>
          <w:sz w:val="32"/>
        </w:rPr>
        <w:t xml:space="preserve">  </w:t>
      </w:r>
      <w:r>
        <w:rPr>
          <w:rFonts w:hint="eastAsia" w:ascii="仿宋" w:hAnsi="仿宋" w:eastAsia="仿宋"/>
          <w:b/>
          <w:sz w:val="32"/>
        </w:rPr>
        <w:t>促进养老政策协同</w:t>
      </w:r>
      <w:bookmarkEnd w:id="49"/>
    </w:p>
    <w:p>
      <w:pPr>
        <w:ind w:firstLine="640" w:firstLineChars="200"/>
        <w:rPr>
          <w:rFonts w:ascii="仿宋" w:hAnsi="仿宋" w:eastAsia="仿宋"/>
          <w:sz w:val="32"/>
        </w:rPr>
      </w:pPr>
      <w:r>
        <w:rPr>
          <w:rFonts w:hint="eastAsia" w:ascii="仿宋" w:hAnsi="仿宋" w:eastAsia="仿宋"/>
          <w:sz w:val="32"/>
        </w:rPr>
        <w:t>积极配合重庆市推进成渝地区养老服务体系共建共享，协同推动两地养老机构、企业或社会组织同等享受建设运营补贴、土地保障、税费减免等扶持政策。合作建设养老服务机构，实施成渝两地统一的养老服务设施建设和管理服务标准，支持成都市养老企业在我区建设运营养老服务设施。探索基于居住地的养老扶持机制，建立“费随人走”“费随人给”统一标准的异地养老机制，促进与成都市实现民政、卫健等部门在养老服务床位补贴、医保等方面无障碍报销，促进养老服务资源共享。组织实施养老服务人才联合培训及技能评定互认，推动老年人照护需求评估、老年人入住评估等互通互认。</w:t>
      </w:r>
    </w:p>
    <w:p>
      <w:pPr>
        <w:pStyle w:val="2"/>
        <w:ind w:firstLine="0" w:firstLineChars="0"/>
        <w:rPr>
          <w:rFonts w:ascii="仿宋" w:hAnsi="仿宋" w:eastAsia="仿宋"/>
          <w:sz w:val="32"/>
          <w:szCs w:val="32"/>
        </w:rPr>
      </w:pPr>
    </w:p>
    <w:p>
      <w:pPr>
        <w:jc w:val="center"/>
        <w:outlineLvl w:val="1"/>
        <w:rPr>
          <w:rFonts w:ascii="仿宋" w:hAnsi="仿宋" w:eastAsia="仿宋"/>
          <w:b/>
          <w:sz w:val="32"/>
        </w:rPr>
      </w:pPr>
      <w:bookmarkStart w:id="50" w:name="_Toc118042966"/>
      <w:r>
        <w:rPr>
          <w:rFonts w:hint="eastAsia" w:ascii="仿宋" w:hAnsi="仿宋" w:eastAsia="仿宋"/>
          <w:b/>
          <w:sz w:val="32"/>
        </w:rPr>
        <w:t xml:space="preserve">第二节 </w:t>
      </w:r>
      <w:r>
        <w:rPr>
          <w:rFonts w:ascii="仿宋" w:hAnsi="仿宋" w:eastAsia="仿宋"/>
          <w:b/>
          <w:sz w:val="32"/>
        </w:rPr>
        <w:t xml:space="preserve"> </w:t>
      </w:r>
      <w:r>
        <w:rPr>
          <w:rFonts w:hint="eastAsia" w:ascii="仿宋" w:hAnsi="仿宋" w:eastAsia="仿宋"/>
          <w:b/>
          <w:sz w:val="32"/>
        </w:rPr>
        <w:t>加强统筹协同发展</w:t>
      </w:r>
      <w:bookmarkEnd w:id="50"/>
    </w:p>
    <w:p>
      <w:pPr>
        <w:ind w:firstLine="640" w:firstLineChars="200"/>
        <w:rPr>
          <w:rFonts w:ascii="仿宋" w:hAnsi="仿宋" w:eastAsia="仿宋"/>
          <w:sz w:val="32"/>
        </w:rPr>
      </w:pPr>
      <w:r>
        <w:rPr>
          <w:rFonts w:hint="eastAsia" w:ascii="仿宋" w:hAnsi="仿宋" w:eastAsia="仿宋"/>
          <w:sz w:val="32"/>
        </w:rPr>
        <w:t>贯彻落实重庆市关于成渝地区在养老服务领域合作的战略部署，创新协作交流机制，促进区域间养老事业共同发展，统筹两地养老服务规划统一布局。推动沙坪坝区与成都市武侯区的养老服务机构搭建合作平台，以“资源共享、优势互补、上下联动、共同发展”为主要目标，引导养老服务资源跨区域合理流动和优化配置，推进区域间养老服务资源融合。深化与成都市武侯区养老服务人才培养合作，协同开展医养结合试点项目，全面提升医养结合水平和综合服务能力。</w:t>
      </w:r>
    </w:p>
    <w:p>
      <w:pPr>
        <w:pStyle w:val="2"/>
        <w:ind w:firstLine="0" w:firstLineChars="0"/>
      </w:pPr>
    </w:p>
    <w:p>
      <w:pPr>
        <w:jc w:val="center"/>
        <w:outlineLvl w:val="1"/>
        <w:rPr>
          <w:rFonts w:ascii="仿宋" w:hAnsi="仿宋" w:eastAsia="仿宋"/>
          <w:b/>
          <w:sz w:val="32"/>
        </w:rPr>
      </w:pPr>
      <w:bookmarkStart w:id="51" w:name="_Toc118042967"/>
      <w:r>
        <w:rPr>
          <w:rFonts w:hint="eastAsia" w:ascii="仿宋" w:hAnsi="仿宋" w:eastAsia="仿宋"/>
          <w:b/>
          <w:sz w:val="32"/>
        </w:rPr>
        <w:t xml:space="preserve">第三节 </w:t>
      </w:r>
      <w:r>
        <w:rPr>
          <w:rFonts w:ascii="仿宋" w:hAnsi="仿宋" w:eastAsia="仿宋"/>
          <w:b/>
          <w:sz w:val="32"/>
        </w:rPr>
        <w:t xml:space="preserve"> </w:t>
      </w:r>
      <w:r>
        <w:rPr>
          <w:rFonts w:hint="eastAsia" w:ascii="仿宋" w:hAnsi="仿宋" w:eastAsia="仿宋"/>
          <w:b/>
          <w:sz w:val="32"/>
        </w:rPr>
        <w:t>推动信息资源共享</w:t>
      </w:r>
      <w:bookmarkEnd w:id="51"/>
    </w:p>
    <w:p>
      <w:pPr>
        <w:ind w:firstLine="640" w:firstLineChars="200"/>
        <w:rPr>
          <w:rFonts w:ascii="仿宋" w:hAnsi="仿宋" w:eastAsia="仿宋"/>
          <w:sz w:val="32"/>
        </w:rPr>
      </w:pPr>
      <w:r>
        <w:rPr>
          <w:rFonts w:hint="eastAsia" w:ascii="仿宋" w:hAnsi="仿宋" w:eastAsia="仿宋"/>
          <w:sz w:val="32"/>
        </w:rPr>
        <w:t>贯彻落实成渝两地养老服务联席会议制度，根据养老服务发展规划和实际工作需求，深化与成都市武侯区的合作，合力强化养老服务信息化建设，实现辖区老年人口基础数据、养老服务资源等开放共享。加强与成都市就业信息共享，推动农村转移劳动力和城镇就业困难人员在养老领域实现充分就业。每年定期或不定期与成都市武侯区开展学习、考察、交流，推进两地养老服务体系建设经验共享。</w:t>
      </w:r>
    </w:p>
    <w:p>
      <w:pPr>
        <w:rPr>
          <w:rFonts w:ascii="仿宋" w:hAnsi="仿宋" w:eastAsia="仿宋"/>
          <w:sz w:val="32"/>
        </w:rPr>
      </w:pPr>
    </w:p>
    <w:p>
      <w:pPr>
        <w:rPr>
          <w:rFonts w:ascii="仿宋" w:hAnsi="仿宋" w:eastAsia="仿宋"/>
          <w:sz w:val="32"/>
        </w:rPr>
      </w:pPr>
    </w:p>
    <w:p>
      <w:pPr>
        <w:jc w:val="center"/>
        <w:outlineLvl w:val="0"/>
        <w:rPr>
          <w:rFonts w:ascii="黑体" w:hAnsi="黑体" w:eastAsia="黑体" w:cs="Times New Roman"/>
          <w:sz w:val="32"/>
        </w:rPr>
      </w:pPr>
      <w:bookmarkStart w:id="52" w:name="_Toc118042968"/>
      <w:r>
        <w:rPr>
          <w:rFonts w:hint="eastAsia" w:ascii="黑体" w:hAnsi="黑体" w:eastAsia="黑体" w:cs="Times New Roman"/>
          <w:sz w:val="32"/>
        </w:rPr>
        <w:t xml:space="preserve">第十一章 </w:t>
      </w:r>
      <w:r>
        <w:rPr>
          <w:rFonts w:ascii="黑体" w:hAnsi="黑体" w:eastAsia="黑体" w:cs="Times New Roman"/>
          <w:sz w:val="32"/>
        </w:rPr>
        <w:t xml:space="preserve"> </w:t>
      </w:r>
      <w:r>
        <w:rPr>
          <w:rFonts w:hint="eastAsia" w:ascii="黑体" w:hAnsi="黑体" w:eastAsia="黑体" w:cs="Times New Roman"/>
          <w:sz w:val="32"/>
        </w:rPr>
        <w:t>保障措施</w:t>
      </w:r>
      <w:bookmarkEnd w:id="52"/>
    </w:p>
    <w:p>
      <w:pPr>
        <w:rPr>
          <w:rFonts w:ascii="仿宋" w:hAnsi="仿宋" w:eastAsia="仿宋"/>
          <w:sz w:val="32"/>
        </w:rPr>
      </w:pPr>
    </w:p>
    <w:p>
      <w:pPr>
        <w:jc w:val="center"/>
        <w:outlineLvl w:val="1"/>
        <w:rPr>
          <w:rFonts w:ascii="仿宋" w:hAnsi="仿宋" w:eastAsia="仿宋" w:cs="Times New Roman"/>
          <w:b/>
          <w:sz w:val="32"/>
        </w:rPr>
      </w:pPr>
      <w:bookmarkStart w:id="53" w:name="_Toc118042969"/>
      <w:r>
        <w:rPr>
          <w:rFonts w:hint="eastAsia" w:ascii="仿宋" w:hAnsi="仿宋" w:eastAsia="仿宋" w:cs="Times New Roman"/>
          <w:b/>
          <w:sz w:val="32"/>
        </w:rPr>
        <w:t xml:space="preserve">第一节 </w:t>
      </w:r>
      <w:r>
        <w:rPr>
          <w:rFonts w:ascii="仿宋" w:hAnsi="仿宋" w:eastAsia="仿宋" w:cs="Times New Roman"/>
          <w:b/>
          <w:sz w:val="32"/>
        </w:rPr>
        <w:t xml:space="preserve"> </w:t>
      </w:r>
      <w:r>
        <w:rPr>
          <w:rFonts w:hint="eastAsia" w:ascii="仿宋" w:hAnsi="仿宋" w:eastAsia="仿宋" w:cs="Times New Roman"/>
          <w:b/>
          <w:sz w:val="32"/>
        </w:rPr>
        <w:t>加强组织领导</w:t>
      </w:r>
      <w:bookmarkEnd w:id="53"/>
    </w:p>
    <w:p>
      <w:pPr>
        <w:ind w:firstLine="640" w:firstLineChars="200"/>
        <w:rPr>
          <w:rFonts w:ascii="仿宋" w:hAnsi="仿宋" w:eastAsia="仿宋" w:cs="Times New Roman"/>
          <w:sz w:val="32"/>
        </w:rPr>
      </w:pPr>
      <w:r>
        <w:rPr>
          <w:rFonts w:hint="eastAsia" w:ascii="仿宋" w:hAnsi="仿宋" w:eastAsia="仿宋" w:cs="Times New Roman"/>
          <w:sz w:val="32"/>
        </w:rPr>
        <w:t>强化党对老龄工作的全面领导，充分发挥党组织在构建养老服务体系中的统筹协调作用，调动各级干部的积极性、主动性、创造性，为全力推进养老事业工作提供坚强的组织保障。健全党委领导、政府主导、市场参与、社会协同的养老服务工作机制，促成多部门协作、全方位发力、整体性推进，最大限度动员和凝聚为老服务力量。强化规划落地实施，围绕本规划确定的主要任务和指标，建立责任清单，层层落实责任，有序推进各项养老事业重点工作。完善以区长为召集人，分管副区长为副召集人，</w:t>
      </w:r>
      <w:r>
        <w:rPr>
          <w:rFonts w:hint="eastAsia" w:ascii="Times New Roman" w:hAnsi="Times New Roman" w:eastAsia="仿宋" w:cs="Times New Roman"/>
          <w:sz w:val="32"/>
        </w:rPr>
        <w:t>各</w:t>
      </w:r>
      <w:r>
        <w:rPr>
          <w:rFonts w:hint="eastAsia" w:ascii="仿宋" w:hAnsi="仿宋" w:eastAsia="仿宋" w:cs="Times New Roman"/>
          <w:sz w:val="32"/>
        </w:rPr>
        <w:t>部门及镇街为成员的区养老服务联席会议制度，协调解决辖区内养老事业推进的突出困难和问题。落实镇街属地责任，健全镇街养老事业工作机构设置和人员配备，强化基层养老工作力量。</w:t>
      </w:r>
    </w:p>
    <w:p>
      <w:pPr>
        <w:rPr>
          <w:rFonts w:ascii="仿宋" w:hAnsi="仿宋" w:eastAsia="仿宋"/>
          <w:sz w:val="32"/>
        </w:rPr>
      </w:pPr>
    </w:p>
    <w:p>
      <w:pPr>
        <w:jc w:val="center"/>
        <w:outlineLvl w:val="1"/>
        <w:rPr>
          <w:rFonts w:ascii="仿宋" w:hAnsi="仿宋" w:eastAsia="仿宋" w:cs="Times New Roman"/>
          <w:bCs/>
          <w:sz w:val="32"/>
        </w:rPr>
      </w:pPr>
      <w:bookmarkStart w:id="54" w:name="_Toc118042970"/>
      <w:r>
        <w:rPr>
          <w:rFonts w:hint="eastAsia" w:ascii="仿宋" w:hAnsi="仿宋" w:eastAsia="仿宋" w:cs="Times New Roman"/>
          <w:b/>
          <w:sz w:val="32"/>
        </w:rPr>
        <w:t>第二节  强化设施保障</w:t>
      </w:r>
      <w:bookmarkEnd w:id="54"/>
    </w:p>
    <w:p>
      <w:pPr>
        <w:ind w:firstLine="640" w:firstLineChars="200"/>
        <w:rPr>
          <w:rFonts w:ascii="仿宋" w:hAnsi="仿宋" w:eastAsia="仿宋" w:cs="Times New Roman"/>
          <w:bCs/>
          <w:sz w:val="32"/>
        </w:rPr>
      </w:pPr>
      <w:r>
        <w:rPr>
          <w:rFonts w:hint="eastAsia" w:ascii="仿宋" w:hAnsi="仿宋" w:eastAsia="仿宋" w:cs="Times New Roman"/>
          <w:bCs/>
          <w:sz w:val="32"/>
        </w:rPr>
        <w:t>健全养老服务设施建设规划，根据区人口结构、老龄化发展状况，按照人均不低于</w:t>
      </w:r>
      <w:r>
        <w:rPr>
          <w:rFonts w:ascii="Times New Roman" w:hAnsi="Times New Roman" w:eastAsia="仿宋" w:cs="Times New Roman"/>
          <w:bCs/>
          <w:sz w:val="32"/>
        </w:rPr>
        <w:t>0</w:t>
      </w:r>
      <w:r>
        <w:rPr>
          <w:rFonts w:hint="eastAsia" w:ascii="仿宋" w:hAnsi="仿宋" w:eastAsia="仿宋" w:cs="Times New Roman"/>
          <w:bCs/>
          <w:sz w:val="32"/>
        </w:rPr>
        <w:t>.</w:t>
      </w:r>
      <w:r>
        <w:rPr>
          <w:rFonts w:ascii="Times New Roman" w:hAnsi="Times New Roman" w:eastAsia="仿宋" w:cs="Times New Roman"/>
          <w:bCs/>
          <w:sz w:val="32"/>
        </w:rPr>
        <w:t>2</w:t>
      </w:r>
      <w:r>
        <w:rPr>
          <w:rFonts w:hint="eastAsia" w:ascii="仿宋" w:hAnsi="仿宋" w:eastAsia="仿宋" w:cs="Times New Roman"/>
          <w:bCs/>
          <w:sz w:val="32"/>
        </w:rPr>
        <w:t>平方米的养老用地要求，科学规划区养老服务设施用地的规模、标准和布局，并纳入国土空间规划，强化养老服务设施用地保障。制定出台老城区、新建城区、新建居住区和已建成居住区配套养老服务设施设置标准和实施细则，落实不同地域、不同阶段养老服务设施设置要求，规范养老服务设施建设，提升养老服务设施利用效率。盘活存量资源，增加和优化养老服务设施，探索制定整合国有闲置设施改造为养老服务设施的政策措施，鼓励社会力量盘活闲置医院、学校、商业设施等资源，改造升级后用于养老服务。优化养老服务设施用地和改建的申报流程和变更程序，建立多部门协调审批机制，保障养老服务设施的用地需求。</w:t>
      </w:r>
    </w:p>
    <w:p>
      <w:pPr>
        <w:rPr>
          <w:rFonts w:ascii="仿宋" w:hAnsi="仿宋" w:eastAsia="仿宋"/>
          <w:sz w:val="32"/>
        </w:rPr>
      </w:pPr>
    </w:p>
    <w:p>
      <w:pPr>
        <w:jc w:val="center"/>
        <w:outlineLvl w:val="1"/>
        <w:rPr>
          <w:rFonts w:ascii="仿宋" w:hAnsi="仿宋" w:eastAsia="仿宋" w:cs="Times New Roman"/>
          <w:b/>
          <w:sz w:val="32"/>
        </w:rPr>
      </w:pPr>
      <w:bookmarkStart w:id="55" w:name="_Toc118042971"/>
      <w:r>
        <w:rPr>
          <w:rFonts w:hint="eastAsia" w:ascii="仿宋" w:hAnsi="仿宋" w:eastAsia="仿宋" w:cs="Times New Roman"/>
          <w:b/>
          <w:sz w:val="32"/>
        </w:rPr>
        <w:t>第三节  统筹资金投入</w:t>
      </w:r>
      <w:bookmarkEnd w:id="55"/>
    </w:p>
    <w:p>
      <w:pPr>
        <w:ind w:firstLine="640" w:firstLineChars="200"/>
        <w:rPr>
          <w:rFonts w:ascii="仿宋" w:hAnsi="仿宋" w:eastAsia="仿宋" w:cs="Times New Roman"/>
          <w:bCs/>
          <w:sz w:val="32"/>
        </w:rPr>
      </w:pPr>
      <w:r>
        <w:rPr>
          <w:rFonts w:hint="eastAsia" w:ascii="仿宋" w:hAnsi="仿宋" w:eastAsia="仿宋" w:cs="Times New Roman"/>
          <w:bCs/>
          <w:sz w:val="32"/>
        </w:rPr>
        <w:t>健全多渠道资金筹集和投入机制，强化养老服务高质量发展的资金保障。建立老龄事业发展稳定的财政投入增长机制，通过中央预算内投资、地方政府投资、地方政府专项债、社会领域产业专项债券等资金渠道支持养老服务项目，社会福利事业彩票公益金用于养老服务比例不利于</w:t>
      </w:r>
      <w:r>
        <w:rPr>
          <w:rFonts w:ascii="Times New Roman" w:hAnsi="Times New Roman" w:eastAsia="仿宋" w:cs="Times New Roman"/>
          <w:bCs/>
          <w:sz w:val="32"/>
        </w:rPr>
        <w:t>80%</w:t>
      </w:r>
      <w:r>
        <w:rPr>
          <w:rFonts w:ascii="仿宋" w:hAnsi="仿宋" w:eastAsia="仿宋" w:cs="Times New Roman"/>
          <w:bCs/>
          <w:sz w:val="32"/>
        </w:rPr>
        <w:t>。</w:t>
      </w:r>
      <w:r>
        <w:rPr>
          <w:rFonts w:hint="eastAsia" w:ascii="仿宋" w:hAnsi="仿宋" w:eastAsia="仿宋" w:cs="Times New Roman"/>
          <w:bCs/>
          <w:sz w:val="32"/>
        </w:rPr>
        <w:t>落实税收优惠相关政策，引导金融服务支持老龄事业发展，鼓励商业银行、保险公司等各类金融机构投资养老领域产业、开发养老服务金融产品，推广老年人意外伤害保险、长期护理保险等老龄保险产品。探索发挥慈善在促进第三次分配、推动共同富裕中的作用，建立养老领域慈善基金，为养老事业和产业发展提供有益的资金补充。推动放宽外资捐资举办非营利性养老机构的试点政策。</w:t>
      </w:r>
    </w:p>
    <w:p>
      <w:pPr>
        <w:rPr>
          <w:rFonts w:ascii="仿宋" w:hAnsi="仿宋" w:eastAsia="仿宋"/>
          <w:sz w:val="32"/>
        </w:rPr>
      </w:pPr>
    </w:p>
    <w:p>
      <w:pPr>
        <w:jc w:val="center"/>
        <w:outlineLvl w:val="1"/>
        <w:rPr>
          <w:rFonts w:ascii="仿宋" w:hAnsi="仿宋" w:eastAsia="仿宋" w:cs="Times New Roman"/>
          <w:b/>
          <w:sz w:val="32"/>
        </w:rPr>
      </w:pPr>
      <w:bookmarkStart w:id="56" w:name="_Toc118042972"/>
      <w:r>
        <w:rPr>
          <w:rFonts w:hint="eastAsia" w:ascii="仿宋" w:hAnsi="仿宋" w:eastAsia="仿宋" w:cs="Times New Roman"/>
          <w:b/>
          <w:sz w:val="32"/>
        </w:rPr>
        <w:t>第四节  加大社会宣传</w:t>
      </w:r>
      <w:bookmarkEnd w:id="56"/>
    </w:p>
    <w:p>
      <w:pPr>
        <w:ind w:firstLine="640" w:firstLineChars="200"/>
        <w:rPr>
          <w:rFonts w:ascii="仿宋" w:hAnsi="仿宋" w:eastAsia="仿宋" w:cs="Times New Roman"/>
          <w:bCs/>
          <w:sz w:val="32"/>
        </w:rPr>
      </w:pPr>
      <w:r>
        <w:rPr>
          <w:rFonts w:hint="eastAsia" w:ascii="仿宋" w:hAnsi="仿宋" w:eastAsia="仿宋" w:cs="Times New Roman"/>
          <w:bCs/>
          <w:sz w:val="32"/>
        </w:rPr>
        <w:t>强化社会宣传和舆论引导，充分利用广播、电视、报纸、网络等媒介力量，大力倡导积极老龄化、健康老龄观，营造尊老、敬老、爱老、助老的社会风尚。积极宣传老龄政策和养老服务业发展政策措施，形成社会广泛关注、全民广泛参与、各界广泛支持养老服务发展的良好氛围，推进养老服务业持续健康发展。注重发挥工会、共青团、妇联等群团组织以及其他社会组织深入群众的作用，广泛宣传党和政府在推进养老服务工作、保障老年人权益等方面的政策和措施，普及养老服务体系建设的重要意义以及社区居家养老服务设施的公益属性，弘扬尊重和关爱老年人的优秀传统美德以及符合新时代发展需要的养老文化，促进老年人、家庭和社会形成积极健康的养老观念。</w:t>
      </w:r>
    </w:p>
    <w:p>
      <w:pPr>
        <w:ind w:firstLine="640" w:firstLineChars="200"/>
        <w:rPr>
          <w:rFonts w:ascii="仿宋" w:hAnsi="仿宋" w:eastAsia="仿宋" w:cs="Times New Roman"/>
          <w:bCs/>
          <w:sz w:val="32"/>
        </w:rPr>
      </w:pPr>
    </w:p>
    <w:p>
      <w:pPr>
        <w:jc w:val="center"/>
        <w:outlineLvl w:val="1"/>
        <w:rPr>
          <w:rFonts w:ascii="仿宋" w:hAnsi="仿宋" w:eastAsia="仿宋" w:cs="Times New Roman"/>
          <w:b/>
          <w:sz w:val="32"/>
        </w:rPr>
      </w:pPr>
      <w:bookmarkStart w:id="57" w:name="_Toc118042973"/>
      <w:r>
        <w:rPr>
          <w:rFonts w:ascii="仿宋" w:hAnsi="仿宋" w:eastAsia="仿宋" w:cs="Times New Roman"/>
          <w:b/>
          <w:sz w:val="32"/>
        </w:rPr>
        <w:t>第五节  健全监测评估</w:t>
      </w:r>
      <w:bookmarkEnd w:id="57"/>
    </w:p>
    <w:p>
      <w:pPr>
        <w:ind w:firstLine="640" w:firstLineChars="200"/>
        <w:rPr>
          <w:rFonts w:ascii="仿宋" w:hAnsi="仿宋" w:eastAsia="仿宋" w:cs="Times New Roman"/>
          <w:bCs/>
          <w:sz w:val="32"/>
        </w:rPr>
      </w:pPr>
      <w:r>
        <w:rPr>
          <w:rFonts w:hint="eastAsia" w:ascii="仿宋" w:hAnsi="仿宋" w:eastAsia="仿宋" w:cs="Times New Roman"/>
          <w:bCs/>
          <w:sz w:val="32"/>
        </w:rPr>
        <w:t>加强规划实施的督导和评估考核，组织开展规划推进情况的动态监测，强化区委区政府督察室对重点领域、重点区域的定期检测，压实各部门行业责任和镇街属地责任。健全第三方评估机制，对规划确定的发展指标、重点任务和重大项目进行评价考核，将重点工作目标纳入区委考核办年度考核内容，完善监管和考核问责制度，强化对规划实施的监督，确保规划各项目标如期完成。拓宽养老工作开展的民意表达和诉求传递渠道，健全社会监督机制。落实对辖区老年人口基本信息、养老服务需求和养老资源分布的监测与管理，动态掌握老年人口变动情况、人口老龄化发展趋势以及老龄工作着力点。</w:t>
      </w:r>
    </w:p>
    <w:p>
      <w:pPr>
        <w:pStyle w:val="2"/>
        <w:ind w:firstLine="0" w:firstLineChars="0"/>
        <w:rPr>
          <w:rFonts w:ascii="仿宋" w:hAnsi="仿宋" w:eastAsia="仿宋"/>
          <w:sz w:val="32"/>
        </w:rPr>
      </w:pPr>
    </w:p>
    <w:p>
      <w:pPr>
        <w:pStyle w:val="2"/>
        <w:ind w:firstLine="643" w:firstLineChars="200"/>
        <w:rPr>
          <w:rFonts w:ascii="仿宋" w:hAnsi="仿宋" w:eastAsia="仿宋"/>
          <w:b/>
          <w:color w:val="auto"/>
          <w:sz w:val="32"/>
        </w:rPr>
      </w:pPr>
      <w:r>
        <w:rPr>
          <w:rFonts w:hint="eastAsia" w:ascii="仿宋" w:hAnsi="仿宋" w:eastAsia="仿宋"/>
          <w:b/>
          <w:color w:val="auto"/>
          <w:sz w:val="32"/>
        </w:rPr>
        <w:t>附件：重点任务分工表</w:t>
      </w:r>
    </w:p>
    <w:p>
      <w:pPr>
        <w:pStyle w:val="2"/>
        <w:ind w:firstLine="0" w:firstLineChars="0"/>
        <w:rPr>
          <w:rFonts w:ascii="仿宋" w:hAnsi="仿宋" w:eastAsia="仿宋"/>
          <w:sz w:val="32"/>
        </w:rPr>
        <w:sectPr>
          <w:footerReference r:id="rId5" w:type="default"/>
          <w:pgSz w:w="11906" w:h="16838"/>
          <w:pgMar w:top="2098" w:right="1474" w:bottom="1985" w:left="1588" w:header="851" w:footer="992" w:gutter="0"/>
          <w:pgNumType w:start="1"/>
          <w:cols w:space="425" w:num="1"/>
          <w:docGrid w:type="lines" w:linePitch="312" w:charSpace="0"/>
        </w:sectPr>
      </w:pPr>
    </w:p>
    <w:p>
      <w:pPr>
        <w:pStyle w:val="2"/>
        <w:ind w:firstLine="0" w:firstLineChars="0"/>
        <w:outlineLvl w:val="0"/>
        <w:rPr>
          <w:rFonts w:ascii="黑体" w:hAnsi="黑体" w:eastAsia="黑体"/>
          <w:color w:val="auto"/>
          <w:sz w:val="32"/>
        </w:rPr>
      </w:pPr>
      <w:bookmarkStart w:id="58" w:name="_Toc118042974"/>
      <w:r>
        <w:rPr>
          <w:rFonts w:hint="eastAsia" w:ascii="黑体" w:hAnsi="黑体" w:eastAsia="黑体"/>
          <w:color w:val="auto"/>
          <w:sz w:val="32"/>
        </w:rPr>
        <w:t>附件</w:t>
      </w:r>
      <w:bookmarkEnd w:id="58"/>
    </w:p>
    <w:p>
      <w:pPr>
        <w:jc w:val="center"/>
        <w:outlineLvl w:val="1"/>
        <w:rPr>
          <w:rFonts w:hint="eastAsia" w:ascii="方正小标宋_GBK" w:hAnsi="方正小标宋_GBK" w:eastAsia="方正小标宋_GBK" w:cs="方正小标宋_GBK"/>
          <w:sz w:val="32"/>
        </w:rPr>
      </w:pPr>
      <w:bookmarkStart w:id="59" w:name="_Toc118042975"/>
      <w:r>
        <w:rPr>
          <w:rFonts w:hint="eastAsia" w:ascii="方正小标宋_GBK" w:hAnsi="方正小标宋_GBK" w:eastAsia="方正小标宋_GBK" w:cs="方正小标宋_GBK"/>
          <w:sz w:val="32"/>
        </w:rPr>
        <w:t>重点任务分工表</w:t>
      </w:r>
      <w:bookmarkEnd w:id="59"/>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260"/>
        <w:gridCol w:w="1276"/>
        <w:gridCol w:w="3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04" w:type="dxa"/>
            <w:vAlign w:val="center"/>
          </w:tcPr>
          <w:p>
            <w:pPr>
              <w:spacing w:line="400" w:lineRule="exact"/>
              <w:jc w:val="center"/>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序号</w:t>
            </w:r>
          </w:p>
        </w:tc>
        <w:tc>
          <w:tcPr>
            <w:tcW w:w="3260" w:type="dxa"/>
            <w:vAlign w:val="center"/>
          </w:tcPr>
          <w:p>
            <w:pPr>
              <w:spacing w:line="400" w:lineRule="exact"/>
              <w:jc w:val="center"/>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工作任务</w:t>
            </w:r>
          </w:p>
        </w:tc>
        <w:tc>
          <w:tcPr>
            <w:tcW w:w="1276" w:type="dxa"/>
            <w:vAlign w:val="center"/>
          </w:tcPr>
          <w:p>
            <w:pPr>
              <w:spacing w:line="400" w:lineRule="exact"/>
              <w:jc w:val="center"/>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牵头单位</w:t>
            </w:r>
          </w:p>
        </w:tc>
        <w:tc>
          <w:tcPr>
            <w:tcW w:w="3594" w:type="dxa"/>
            <w:vAlign w:val="center"/>
          </w:tcPr>
          <w:p>
            <w:pPr>
              <w:spacing w:line="400" w:lineRule="exact"/>
              <w:jc w:val="center"/>
              <w:rPr>
                <w:rFonts w:hint="eastAsia" w:ascii="方正黑体_GBK" w:hAnsi="方正黑体_GBK" w:eastAsia="方正黑体_GBK" w:cs="方正黑体_GBK"/>
                <w:b/>
                <w:bCs/>
                <w:sz w:val="24"/>
                <w:szCs w:val="24"/>
              </w:rPr>
            </w:pPr>
            <w:r>
              <w:rPr>
                <w:rFonts w:hint="eastAsia" w:ascii="方正黑体_GBK" w:hAnsi="方正黑体_GBK" w:eastAsia="方正黑体_GBK" w:cs="方正黑体_GBK"/>
                <w:b/>
                <w:bCs/>
                <w:sz w:val="24"/>
                <w:szCs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spacing w:line="400" w:lineRule="exact"/>
              <w:jc w:val="center"/>
              <w:rPr>
                <w:rFonts w:ascii="Times New Roman" w:hAnsi="Times New Roman" w:eastAsia="仿宋" w:cs="Times New Roman"/>
                <w:bCs/>
                <w:sz w:val="24"/>
                <w:szCs w:val="24"/>
              </w:rPr>
            </w:pPr>
            <w:r>
              <w:rPr>
                <w:rFonts w:ascii="Times New Roman" w:hAnsi="Times New Roman" w:eastAsia="仿宋" w:cs="Times New Roman"/>
                <w:bCs/>
                <w:sz w:val="24"/>
                <w:szCs w:val="24"/>
              </w:rPr>
              <w:t>1</w:t>
            </w:r>
          </w:p>
        </w:tc>
        <w:tc>
          <w:tcPr>
            <w:tcW w:w="3260" w:type="dxa"/>
            <w:vAlign w:val="center"/>
          </w:tcPr>
          <w:p>
            <w:pPr>
              <w:spacing w:line="400" w:lineRule="exact"/>
              <w:rPr>
                <w:rFonts w:ascii="仿宋" w:hAnsi="仿宋" w:eastAsia="仿宋"/>
                <w:bCs/>
                <w:sz w:val="24"/>
                <w:szCs w:val="24"/>
              </w:rPr>
            </w:pPr>
            <w:r>
              <w:rPr>
                <w:rFonts w:hint="eastAsia" w:ascii="仿宋" w:hAnsi="仿宋" w:eastAsia="仿宋"/>
                <w:bCs/>
                <w:sz w:val="24"/>
                <w:szCs w:val="24"/>
              </w:rPr>
              <w:t>发展多层次、多支柱养老保险体系</w:t>
            </w:r>
          </w:p>
        </w:tc>
        <w:tc>
          <w:tcPr>
            <w:tcW w:w="1276" w:type="dxa"/>
            <w:vAlign w:val="center"/>
          </w:tcPr>
          <w:p>
            <w:pPr>
              <w:spacing w:line="400" w:lineRule="exact"/>
              <w:rPr>
                <w:rFonts w:ascii="仿宋" w:hAnsi="仿宋" w:eastAsia="仿宋"/>
                <w:bCs/>
                <w:spacing w:val="8"/>
                <w:kern w:val="0"/>
                <w:sz w:val="24"/>
                <w:szCs w:val="24"/>
                <w:shd w:val="clear" w:color="auto" w:fill="FFFFFF"/>
              </w:rPr>
            </w:pPr>
            <w:r>
              <w:rPr>
                <w:rFonts w:hint="eastAsia" w:ascii="仿宋" w:hAnsi="仿宋" w:eastAsia="仿宋"/>
                <w:bCs/>
                <w:spacing w:val="8"/>
                <w:kern w:val="0"/>
                <w:sz w:val="24"/>
                <w:szCs w:val="24"/>
                <w:shd w:val="clear" w:color="auto" w:fill="FFFFFF"/>
              </w:rPr>
              <w:t>区人力社保局</w:t>
            </w:r>
          </w:p>
        </w:tc>
        <w:tc>
          <w:tcPr>
            <w:tcW w:w="3594" w:type="dxa"/>
            <w:vAlign w:val="center"/>
          </w:tcPr>
          <w:p>
            <w:pPr>
              <w:spacing w:line="400" w:lineRule="exact"/>
              <w:rPr>
                <w:rFonts w:ascii="仿宋" w:hAnsi="仿宋" w:eastAsia="仿宋"/>
                <w:bCs/>
                <w:sz w:val="24"/>
                <w:szCs w:val="24"/>
              </w:rPr>
            </w:pPr>
            <w:r>
              <w:rPr>
                <w:rFonts w:hint="eastAsia" w:ascii="仿宋" w:hAnsi="仿宋" w:eastAsia="仿宋"/>
                <w:bCs/>
                <w:sz w:val="24"/>
                <w:szCs w:val="24"/>
              </w:rPr>
              <w:t>区财政局、区民政局、区市场监管局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spacing w:line="400" w:lineRule="exact"/>
              <w:jc w:val="center"/>
              <w:rPr>
                <w:rFonts w:ascii="Times New Roman" w:hAnsi="Times New Roman" w:eastAsia="仿宋" w:cs="Times New Roman"/>
                <w:bCs/>
                <w:sz w:val="24"/>
                <w:szCs w:val="24"/>
              </w:rPr>
            </w:pPr>
            <w:r>
              <w:rPr>
                <w:rFonts w:ascii="Times New Roman" w:hAnsi="Times New Roman" w:eastAsia="仿宋" w:cs="Times New Roman"/>
                <w:bCs/>
                <w:sz w:val="24"/>
                <w:szCs w:val="24"/>
              </w:rPr>
              <w:t>2</w:t>
            </w:r>
          </w:p>
        </w:tc>
        <w:tc>
          <w:tcPr>
            <w:tcW w:w="3260" w:type="dxa"/>
            <w:vAlign w:val="center"/>
          </w:tcPr>
          <w:p>
            <w:pPr>
              <w:spacing w:line="400" w:lineRule="exact"/>
              <w:rPr>
                <w:rFonts w:ascii="仿宋" w:hAnsi="仿宋" w:eastAsia="仿宋"/>
                <w:bCs/>
                <w:sz w:val="24"/>
                <w:szCs w:val="24"/>
              </w:rPr>
            </w:pPr>
            <w:r>
              <w:rPr>
                <w:rFonts w:hint="eastAsia" w:ascii="仿宋" w:hAnsi="仿宋" w:eastAsia="仿宋"/>
                <w:bCs/>
                <w:sz w:val="24"/>
                <w:szCs w:val="24"/>
              </w:rPr>
              <w:t>健全特困老年人供养服务制度和福利补贴制度</w:t>
            </w:r>
          </w:p>
        </w:tc>
        <w:tc>
          <w:tcPr>
            <w:tcW w:w="1276" w:type="dxa"/>
            <w:vAlign w:val="center"/>
          </w:tcPr>
          <w:p>
            <w:pPr>
              <w:spacing w:line="400" w:lineRule="exact"/>
              <w:rPr>
                <w:rFonts w:ascii="仿宋" w:hAnsi="仿宋" w:eastAsia="仿宋"/>
                <w:bCs/>
                <w:spacing w:val="8"/>
                <w:kern w:val="0"/>
                <w:sz w:val="24"/>
                <w:szCs w:val="24"/>
                <w:shd w:val="clear" w:color="auto" w:fill="FFFFFF"/>
              </w:rPr>
            </w:pPr>
            <w:r>
              <w:rPr>
                <w:rFonts w:hint="eastAsia" w:ascii="仿宋" w:hAnsi="仿宋" w:eastAsia="仿宋"/>
                <w:bCs/>
                <w:spacing w:val="8"/>
                <w:kern w:val="0"/>
                <w:sz w:val="24"/>
                <w:szCs w:val="24"/>
                <w:shd w:val="clear" w:color="auto" w:fill="FFFFFF"/>
              </w:rPr>
              <w:t>区民政局</w:t>
            </w:r>
          </w:p>
        </w:tc>
        <w:tc>
          <w:tcPr>
            <w:tcW w:w="3594" w:type="dxa"/>
            <w:vAlign w:val="center"/>
          </w:tcPr>
          <w:p>
            <w:pPr>
              <w:spacing w:line="400" w:lineRule="exact"/>
              <w:rPr>
                <w:rFonts w:ascii="仿宋" w:hAnsi="仿宋" w:eastAsia="仿宋"/>
                <w:bCs/>
                <w:sz w:val="24"/>
                <w:szCs w:val="24"/>
              </w:rPr>
            </w:pPr>
            <w:r>
              <w:rPr>
                <w:rFonts w:hint="eastAsia" w:ascii="仿宋" w:hAnsi="仿宋" w:eastAsia="仿宋"/>
                <w:bCs/>
                <w:sz w:val="24"/>
                <w:szCs w:val="24"/>
              </w:rPr>
              <w:t>区财政局、区残联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spacing w:line="400" w:lineRule="exact"/>
              <w:jc w:val="center"/>
              <w:rPr>
                <w:rFonts w:ascii="Times New Roman" w:hAnsi="Times New Roman" w:eastAsia="仿宋" w:cs="Times New Roman"/>
                <w:bCs/>
                <w:sz w:val="24"/>
                <w:szCs w:val="24"/>
              </w:rPr>
            </w:pPr>
            <w:r>
              <w:rPr>
                <w:rFonts w:ascii="Times New Roman" w:hAnsi="Times New Roman" w:eastAsia="仿宋" w:cs="Times New Roman"/>
                <w:bCs/>
                <w:sz w:val="24"/>
                <w:szCs w:val="24"/>
              </w:rPr>
              <w:t>3</w:t>
            </w:r>
          </w:p>
        </w:tc>
        <w:tc>
          <w:tcPr>
            <w:tcW w:w="3260" w:type="dxa"/>
            <w:vAlign w:val="center"/>
          </w:tcPr>
          <w:p>
            <w:pPr>
              <w:spacing w:line="400" w:lineRule="exact"/>
              <w:rPr>
                <w:rFonts w:ascii="仿宋" w:hAnsi="仿宋" w:eastAsia="仿宋"/>
                <w:bCs/>
                <w:sz w:val="24"/>
                <w:szCs w:val="24"/>
              </w:rPr>
            </w:pPr>
            <w:r>
              <w:rPr>
                <w:rFonts w:hint="eastAsia" w:ascii="仿宋" w:hAnsi="仿宋" w:eastAsia="仿宋" w:cs="Times New Roman"/>
                <w:bCs/>
                <w:sz w:val="24"/>
                <w:szCs w:val="24"/>
              </w:rPr>
              <w:t>完善基本养老服务清单制度</w:t>
            </w:r>
          </w:p>
        </w:tc>
        <w:tc>
          <w:tcPr>
            <w:tcW w:w="1276" w:type="dxa"/>
            <w:vAlign w:val="center"/>
          </w:tcPr>
          <w:p>
            <w:pPr>
              <w:spacing w:line="400" w:lineRule="exact"/>
              <w:rPr>
                <w:rFonts w:ascii="仿宋" w:hAnsi="仿宋" w:eastAsia="仿宋"/>
                <w:bCs/>
                <w:spacing w:val="8"/>
                <w:kern w:val="0"/>
                <w:sz w:val="24"/>
                <w:szCs w:val="24"/>
                <w:shd w:val="clear" w:color="auto" w:fill="FFFFFF"/>
              </w:rPr>
            </w:pPr>
            <w:r>
              <w:rPr>
                <w:rFonts w:ascii="仿宋" w:hAnsi="仿宋" w:eastAsia="仿宋"/>
                <w:bCs/>
                <w:spacing w:val="8"/>
                <w:kern w:val="0"/>
                <w:sz w:val="24"/>
                <w:szCs w:val="24"/>
                <w:shd w:val="clear" w:color="auto" w:fill="FFFFFF"/>
              </w:rPr>
              <w:t>区民政局</w:t>
            </w:r>
          </w:p>
        </w:tc>
        <w:tc>
          <w:tcPr>
            <w:tcW w:w="3594" w:type="dxa"/>
            <w:vAlign w:val="center"/>
          </w:tcPr>
          <w:p>
            <w:pPr>
              <w:spacing w:line="400" w:lineRule="exact"/>
              <w:rPr>
                <w:rFonts w:ascii="仿宋" w:hAnsi="仿宋" w:eastAsia="仿宋"/>
                <w:bCs/>
                <w:sz w:val="24"/>
                <w:szCs w:val="24"/>
              </w:rPr>
            </w:pPr>
            <w:r>
              <w:rPr>
                <w:rFonts w:hint="eastAsia" w:ascii="仿宋" w:hAnsi="仿宋" w:eastAsia="仿宋"/>
                <w:bCs/>
                <w:sz w:val="24"/>
                <w:szCs w:val="24"/>
              </w:rPr>
              <w:t>区发展改革委、区财政局、</w:t>
            </w:r>
            <w:r>
              <w:rPr>
                <w:rFonts w:hint="eastAsia" w:ascii="仿宋" w:hAnsi="仿宋" w:eastAsia="仿宋"/>
                <w:bCs/>
                <w:kern w:val="0"/>
                <w:sz w:val="24"/>
                <w:szCs w:val="24"/>
              </w:rPr>
              <w:t>区人力社保局、</w:t>
            </w:r>
            <w:r>
              <w:rPr>
                <w:rFonts w:hint="eastAsia" w:ascii="仿宋" w:hAnsi="仿宋" w:eastAsia="仿宋"/>
                <w:bCs/>
                <w:sz w:val="24"/>
                <w:szCs w:val="24"/>
              </w:rPr>
              <w:t>区卫生健康委、区医保局、区市场监管局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spacing w:line="400" w:lineRule="exact"/>
              <w:jc w:val="center"/>
              <w:rPr>
                <w:rFonts w:ascii="Times New Roman" w:hAnsi="Times New Roman" w:eastAsia="仿宋" w:cs="Times New Roman"/>
                <w:bCs/>
                <w:sz w:val="24"/>
                <w:szCs w:val="24"/>
              </w:rPr>
            </w:pPr>
            <w:r>
              <w:rPr>
                <w:rFonts w:ascii="Times New Roman" w:hAnsi="Times New Roman" w:eastAsia="仿宋" w:cs="Times New Roman"/>
                <w:bCs/>
                <w:sz w:val="24"/>
                <w:szCs w:val="24"/>
              </w:rPr>
              <w:t>4</w:t>
            </w:r>
          </w:p>
        </w:tc>
        <w:tc>
          <w:tcPr>
            <w:tcW w:w="3260" w:type="dxa"/>
            <w:vAlign w:val="center"/>
          </w:tcPr>
          <w:p>
            <w:pPr>
              <w:spacing w:line="400" w:lineRule="exact"/>
              <w:rPr>
                <w:rFonts w:ascii="仿宋" w:hAnsi="仿宋" w:eastAsia="仿宋"/>
                <w:bCs/>
                <w:sz w:val="24"/>
                <w:szCs w:val="24"/>
              </w:rPr>
            </w:pPr>
            <w:r>
              <w:rPr>
                <w:rFonts w:hint="eastAsia" w:ascii="仿宋" w:hAnsi="仿宋" w:eastAsia="仿宋"/>
                <w:bCs/>
                <w:sz w:val="24"/>
                <w:szCs w:val="24"/>
              </w:rPr>
              <w:t>探索建立老年人能力与需求综合评估体系</w:t>
            </w:r>
            <w:r>
              <w:rPr>
                <w:rFonts w:ascii="仿宋" w:hAnsi="仿宋" w:eastAsia="仿宋"/>
                <w:bCs/>
                <w:sz w:val="24"/>
                <w:szCs w:val="24"/>
              </w:rPr>
              <w:t>，开展老年人能力综合评估</w:t>
            </w:r>
          </w:p>
        </w:tc>
        <w:tc>
          <w:tcPr>
            <w:tcW w:w="1276" w:type="dxa"/>
            <w:vAlign w:val="center"/>
          </w:tcPr>
          <w:p>
            <w:pPr>
              <w:spacing w:line="400" w:lineRule="exact"/>
              <w:rPr>
                <w:rFonts w:ascii="仿宋" w:hAnsi="仿宋" w:eastAsia="仿宋"/>
                <w:bCs/>
                <w:spacing w:val="8"/>
                <w:kern w:val="0"/>
                <w:sz w:val="24"/>
                <w:szCs w:val="24"/>
                <w:shd w:val="clear" w:color="auto" w:fill="FFFFFF"/>
              </w:rPr>
            </w:pPr>
            <w:r>
              <w:rPr>
                <w:rFonts w:ascii="仿宋" w:hAnsi="仿宋" w:eastAsia="仿宋"/>
                <w:bCs/>
                <w:spacing w:val="8"/>
                <w:kern w:val="0"/>
                <w:sz w:val="24"/>
                <w:szCs w:val="24"/>
                <w:shd w:val="clear" w:color="auto" w:fill="FFFFFF"/>
              </w:rPr>
              <w:t>区民政局</w:t>
            </w:r>
          </w:p>
        </w:tc>
        <w:tc>
          <w:tcPr>
            <w:tcW w:w="3594" w:type="dxa"/>
            <w:vAlign w:val="center"/>
          </w:tcPr>
          <w:p>
            <w:pPr>
              <w:spacing w:line="400" w:lineRule="exact"/>
              <w:rPr>
                <w:rFonts w:ascii="仿宋" w:hAnsi="仿宋" w:eastAsia="仿宋"/>
                <w:bCs/>
                <w:sz w:val="24"/>
                <w:szCs w:val="24"/>
              </w:rPr>
            </w:pPr>
            <w:r>
              <w:rPr>
                <w:rFonts w:hint="eastAsia" w:ascii="仿宋" w:hAnsi="仿宋" w:eastAsia="仿宋"/>
                <w:bCs/>
                <w:sz w:val="24"/>
                <w:szCs w:val="24"/>
              </w:rPr>
              <w:t>区发展改革委、区卫生健康委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spacing w:line="400" w:lineRule="exact"/>
              <w:jc w:val="center"/>
              <w:rPr>
                <w:rFonts w:ascii="Times New Roman" w:hAnsi="Times New Roman" w:eastAsia="仿宋" w:cs="Times New Roman"/>
                <w:bCs/>
                <w:sz w:val="24"/>
                <w:szCs w:val="24"/>
              </w:rPr>
            </w:pPr>
            <w:r>
              <w:rPr>
                <w:rFonts w:ascii="Times New Roman" w:hAnsi="Times New Roman" w:eastAsia="仿宋" w:cs="Times New Roman"/>
                <w:bCs/>
                <w:sz w:val="24"/>
                <w:szCs w:val="24"/>
              </w:rPr>
              <w:t>5</w:t>
            </w:r>
          </w:p>
        </w:tc>
        <w:tc>
          <w:tcPr>
            <w:tcW w:w="3260" w:type="dxa"/>
            <w:vAlign w:val="center"/>
          </w:tcPr>
          <w:p>
            <w:pPr>
              <w:spacing w:line="400" w:lineRule="exact"/>
              <w:rPr>
                <w:rFonts w:ascii="仿宋" w:hAnsi="仿宋" w:eastAsia="仿宋"/>
                <w:bCs/>
                <w:sz w:val="24"/>
                <w:szCs w:val="24"/>
              </w:rPr>
            </w:pPr>
            <w:r>
              <w:rPr>
                <w:rFonts w:hint="eastAsia" w:ascii="仿宋" w:hAnsi="仿宋" w:eastAsia="仿宋"/>
                <w:bCs/>
                <w:sz w:val="24"/>
                <w:szCs w:val="24"/>
              </w:rPr>
              <w:t>长期护理保险试点推广</w:t>
            </w:r>
          </w:p>
        </w:tc>
        <w:tc>
          <w:tcPr>
            <w:tcW w:w="1276" w:type="dxa"/>
            <w:vAlign w:val="center"/>
          </w:tcPr>
          <w:p>
            <w:pPr>
              <w:spacing w:line="400" w:lineRule="exact"/>
              <w:rPr>
                <w:rFonts w:ascii="仿宋" w:hAnsi="仿宋" w:eastAsia="仿宋"/>
                <w:bCs/>
                <w:spacing w:val="8"/>
                <w:kern w:val="0"/>
                <w:sz w:val="24"/>
                <w:szCs w:val="24"/>
                <w:shd w:val="clear" w:color="auto" w:fill="FFFFFF"/>
              </w:rPr>
            </w:pPr>
            <w:r>
              <w:rPr>
                <w:rFonts w:hint="eastAsia" w:ascii="仿宋" w:hAnsi="仿宋" w:eastAsia="仿宋"/>
                <w:bCs/>
                <w:spacing w:val="8"/>
                <w:kern w:val="0"/>
                <w:sz w:val="24"/>
                <w:szCs w:val="24"/>
                <w:shd w:val="clear" w:color="auto" w:fill="FFFFFF"/>
              </w:rPr>
              <w:t>区医保局</w:t>
            </w:r>
          </w:p>
        </w:tc>
        <w:tc>
          <w:tcPr>
            <w:tcW w:w="3594" w:type="dxa"/>
            <w:vAlign w:val="center"/>
          </w:tcPr>
          <w:p>
            <w:pPr>
              <w:spacing w:line="400" w:lineRule="exact"/>
              <w:rPr>
                <w:rFonts w:ascii="仿宋" w:hAnsi="仿宋" w:eastAsia="仿宋"/>
                <w:bCs/>
                <w:sz w:val="24"/>
                <w:szCs w:val="24"/>
              </w:rPr>
            </w:pPr>
            <w:r>
              <w:rPr>
                <w:rFonts w:hint="eastAsia" w:ascii="仿宋" w:hAnsi="仿宋" w:eastAsia="仿宋"/>
                <w:bCs/>
                <w:sz w:val="24"/>
                <w:szCs w:val="24"/>
              </w:rPr>
              <w:t>区民政局、区财政局、区卫生健康委、</w:t>
            </w:r>
            <w:r>
              <w:rPr>
                <w:rFonts w:hint="eastAsia" w:ascii="仿宋" w:hAnsi="仿宋" w:eastAsia="仿宋"/>
                <w:sz w:val="24"/>
              </w:rPr>
              <w:t>区市场监管局、</w:t>
            </w:r>
            <w:r>
              <w:rPr>
                <w:rFonts w:hint="eastAsia" w:ascii="仿宋" w:hAnsi="仿宋" w:eastAsia="仿宋"/>
                <w:bCs/>
                <w:sz w:val="24"/>
                <w:szCs w:val="24"/>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spacing w:line="400" w:lineRule="exact"/>
              <w:jc w:val="center"/>
              <w:rPr>
                <w:rFonts w:ascii="Times New Roman" w:hAnsi="Times New Roman" w:eastAsia="仿宋" w:cs="Times New Roman"/>
                <w:bCs/>
                <w:sz w:val="24"/>
                <w:szCs w:val="24"/>
              </w:rPr>
            </w:pPr>
            <w:r>
              <w:rPr>
                <w:rFonts w:ascii="Times New Roman" w:hAnsi="Times New Roman" w:eastAsia="仿宋" w:cs="Times New Roman"/>
                <w:bCs/>
                <w:sz w:val="24"/>
                <w:szCs w:val="24"/>
              </w:rPr>
              <w:t>6</w:t>
            </w:r>
          </w:p>
        </w:tc>
        <w:tc>
          <w:tcPr>
            <w:tcW w:w="3260" w:type="dxa"/>
            <w:vAlign w:val="center"/>
          </w:tcPr>
          <w:p>
            <w:pPr>
              <w:spacing w:line="400" w:lineRule="exact"/>
              <w:rPr>
                <w:rFonts w:ascii="仿宋" w:hAnsi="仿宋" w:eastAsia="仿宋"/>
                <w:bCs/>
                <w:sz w:val="24"/>
                <w:szCs w:val="24"/>
              </w:rPr>
            </w:pPr>
            <w:r>
              <w:rPr>
                <w:rFonts w:hint="eastAsia" w:ascii="仿宋" w:hAnsi="仿宋" w:eastAsia="仿宋"/>
                <w:bCs/>
                <w:sz w:val="24"/>
                <w:szCs w:val="24"/>
              </w:rPr>
              <w:t>加快社区养老服务设施建设</w:t>
            </w:r>
          </w:p>
        </w:tc>
        <w:tc>
          <w:tcPr>
            <w:tcW w:w="1276" w:type="dxa"/>
            <w:vAlign w:val="center"/>
          </w:tcPr>
          <w:p>
            <w:pPr>
              <w:spacing w:line="400" w:lineRule="exact"/>
              <w:rPr>
                <w:rFonts w:ascii="仿宋" w:hAnsi="仿宋" w:eastAsia="仿宋"/>
                <w:bCs/>
                <w:spacing w:val="8"/>
                <w:kern w:val="0"/>
                <w:sz w:val="24"/>
                <w:szCs w:val="24"/>
                <w:shd w:val="clear" w:color="auto" w:fill="FFFFFF"/>
              </w:rPr>
            </w:pPr>
            <w:r>
              <w:rPr>
                <w:rFonts w:hint="eastAsia" w:ascii="仿宋" w:hAnsi="仿宋" w:eastAsia="仿宋"/>
                <w:sz w:val="24"/>
              </w:rPr>
              <w:t>区民政局</w:t>
            </w:r>
          </w:p>
        </w:tc>
        <w:tc>
          <w:tcPr>
            <w:tcW w:w="3594" w:type="dxa"/>
            <w:vAlign w:val="center"/>
          </w:tcPr>
          <w:p>
            <w:pPr>
              <w:spacing w:line="400" w:lineRule="exact"/>
              <w:rPr>
                <w:rFonts w:ascii="仿宋" w:hAnsi="仿宋" w:eastAsia="仿宋"/>
                <w:bCs/>
                <w:sz w:val="24"/>
                <w:szCs w:val="24"/>
              </w:rPr>
            </w:pPr>
            <w:r>
              <w:rPr>
                <w:rFonts w:hint="eastAsia" w:ascii="仿宋" w:hAnsi="仿宋" w:eastAsia="仿宋"/>
                <w:sz w:val="24"/>
              </w:rPr>
              <w:t>区发展改革委、区财政局、区规划和自然资源局、区住房城乡建委、区卫生健康委、各镇街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spacing w:line="400" w:lineRule="exact"/>
              <w:jc w:val="center"/>
              <w:rPr>
                <w:rFonts w:ascii="Times New Roman" w:hAnsi="Times New Roman" w:eastAsia="仿宋" w:cs="Times New Roman"/>
                <w:bCs/>
                <w:sz w:val="24"/>
                <w:szCs w:val="24"/>
              </w:rPr>
            </w:pPr>
            <w:r>
              <w:rPr>
                <w:rFonts w:ascii="Times New Roman" w:hAnsi="Times New Roman" w:eastAsia="仿宋" w:cs="Times New Roman"/>
                <w:bCs/>
                <w:sz w:val="24"/>
                <w:szCs w:val="24"/>
              </w:rPr>
              <w:t>7</w:t>
            </w:r>
          </w:p>
        </w:tc>
        <w:tc>
          <w:tcPr>
            <w:tcW w:w="3260" w:type="dxa"/>
            <w:vAlign w:val="center"/>
          </w:tcPr>
          <w:p>
            <w:pPr>
              <w:spacing w:line="400" w:lineRule="exact"/>
              <w:rPr>
                <w:rFonts w:ascii="仿宋" w:hAnsi="仿宋" w:eastAsia="仿宋" w:cs="Times New Roman"/>
                <w:bCs/>
                <w:sz w:val="24"/>
                <w:szCs w:val="24"/>
              </w:rPr>
            </w:pPr>
            <w:r>
              <w:rPr>
                <w:rFonts w:hint="eastAsia" w:ascii="仿宋" w:hAnsi="仿宋" w:eastAsia="仿宋"/>
                <w:sz w:val="24"/>
              </w:rPr>
              <w:t>提升社区居家养老服务质量</w:t>
            </w:r>
          </w:p>
        </w:tc>
        <w:tc>
          <w:tcPr>
            <w:tcW w:w="1276" w:type="dxa"/>
            <w:vAlign w:val="center"/>
          </w:tcPr>
          <w:p>
            <w:pPr>
              <w:spacing w:line="400" w:lineRule="exact"/>
              <w:rPr>
                <w:rFonts w:ascii="仿宋" w:hAnsi="仿宋" w:eastAsia="仿宋"/>
                <w:bCs/>
                <w:spacing w:val="8"/>
                <w:kern w:val="0"/>
                <w:sz w:val="24"/>
                <w:szCs w:val="24"/>
                <w:shd w:val="clear" w:color="auto" w:fill="FFFFFF"/>
              </w:rPr>
            </w:pPr>
            <w:r>
              <w:rPr>
                <w:rFonts w:hint="eastAsia" w:ascii="仿宋" w:hAnsi="仿宋" w:eastAsia="仿宋"/>
                <w:sz w:val="24"/>
              </w:rPr>
              <w:t>区民政局</w:t>
            </w:r>
          </w:p>
        </w:tc>
        <w:tc>
          <w:tcPr>
            <w:tcW w:w="3594" w:type="dxa"/>
            <w:vAlign w:val="center"/>
          </w:tcPr>
          <w:p>
            <w:pPr>
              <w:spacing w:line="400" w:lineRule="exact"/>
              <w:rPr>
                <w:rFonts w:ascii="仿宋" w:hAnsi="仿宋" w:eastAsia="仿宋"/>
                <w:bCs/>
                <w:sz w:val="24"/>
                <w:szCs w:val="24"/>
              </w:rPr>
            </w:pPr>
            <w:r>
              <w:rPr>
                <w:rFonts w:hint="eastAsia" w:ascii="仿宋" w:hAnsi="仿宋" w:eastAsia="仿宋"/>
                <w:sz w:val="24"/>
              </w:rPr>
              <w:t>区发展改革委、区财政局、区经济信息委、区卫生健康委、各镇街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spacing w:line="400" w:lineRule="exact"/>
              <w:jc w:val="center"/>
              <w:rPr>
                <w:rFonts w:ascii="Times New Roman" w:hAnsi="Times New Roman" w:eastAsia="仿宋" w:cs="Times New Roman"/>
                <w:bCs/>
                <w:sz w:val="24"/>
                <w:szCs w:val="24"/>
              </w:rPr>
            </w:pPr>
            <w:r>
              <w:rPr>
                <w:rFonts w:ascii="Times New Roman" w:hAnsi="Times New Roman" w:eastAsia="仿宋" w:cs="Times New Roman"/>
                <w:bCs/>
                <w:sz w:val="24"/>
                <w:szCs w:val="24"/>
              </w:rPr>
              <w:t>8</w:t>
            </w:r>
          </w:p>
        </w:tc>
        <w:tc>
          <w:tcPr>
            <w:tcW w:w="3260" w:type="dxa"/>
            <w:vAlign w:val="center"/>
          </w:tcPr>
          <w:p>
            <w:pPr>
              <w:spacing w:line="400" w:lineRule="exact"/>
              <w:rPr>
                <w:rFonts w:ascii="仿宋" w:hAnsi="仿宋" w:eastAsia="仿宋" w:cs="Times New Roman"/>
                <w:bCs/>
                <w:sz w:val="24"/>
                <w:szCs w:val="24"/>
              </w:rPr>
            </w:pPr>
            <w:r>
              <w:rPr>
                <w:rFonts w:hint="eastAsia" w:ascii="仿宋" w:hAnsi="仿宋" w:eastAsia="仿宋"/>
                <w:sz w:val="24"/>
              </w:rPr>
              <w:t>推动社区养老服务设施社会化运营</w:t>
            </w:r>
          </w:p>
        </w:tc>
        <w:tc>
          <w:tcPr>
            <w:tcW w:w="1276" w:type="dxa"/>
            <w:vAlign w:val="center"/>
          </w:tcPr>
          <w:p>
            <w:pPr>
              <w:spacing w:line="400" w:lineRule="exact"/>
              <w:rPr>
                <w:rFonts w:ascii="仿宋" w:hAnsi="仿宋" w:eastAsia="仿宋"/>
                <w:bCs/>
                <w:spacing w:val="8"/>
                <w:kern w:val="0"/>
                <w:sz w:val="24"/>
                <w:szCs w:val="24"/>
                <w:shd w:val="clear" w:color="auto" w:fill="FFFFFF"/>
              </w:rPr>
            </w:pPr>
            <w:r>
              <w:rPr>
                <w:rFonts w:hint="eastAsia" w:ascii="仿宋" w:hAnsi="仿宋" w:eastAsia="仿宋"/>
                <w:sz w:val="24"/>
              </w:rPr>
              <w:t>区民政局</w:t>
            </w:r>
          </w:p>
        </w:tc>
        <w:tc>
          <w:tcPr>
            <w:tcW w:w="3594" w:type="dxa"/>
            <w:vAlign w:val="center"/>
          </w:tcPr>
          <w:p>
            <w:pPr>
              <w:spacing w:line="400" w:lineRule="exact"/>
              <w:rPr>
                <w:rFonts w:ascii="仿宋" w:hAnsi="仿宋" w:eastAsia="仿宋"/>
                <w:bCs/>
                <w:sz w:val="24"/>
                <w:szCs w:val="24"/>
              </w:rPr>
            </w:pPr>
            <w:r>
              <w:rPr>
                <w:rFonts w:hint="eastAsia" w:ascii="仿宋" w:hAnsi="仿宋" w:eastAsia="仿宋"/>
                <w:sz w:val="24"/>
              </w:rPr>
              <w:t>区发展改革委、区财政局、区市场监管局、各镇街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spacing w:line="400" w:lineRule="exact"/>
              <w:jc w:val="center"/>
              <w:rPr>
                <w:rFonts w:ascii="Times New Roman" w:hAnsi="Times New Roman" w:eastAsia="仿宋" w:cs="Times New Roman"/>
                <w:bCs/>
                <w:sz w:val="24"/>
                <w:szCs w:val="24"/>
              </w:rPr>
            </w:pPr>
            <w:r>
              <w:rPr>
                <w:rFonts w:ascii="Times New Roman" w:hAnsi="Times New Roman" w:eastAsia="仿宋" w:cs="Times New Roman"/>
                <w:bCs/>
                <w:sz w:val="24"/>
                <w:szCs w:val="24"/>
              </w:rPr>
              <w:t>9</w:t>
            </w:r>
          </w:p>
        </w:tc>
        <w:tc>
          <w:tcPr>
            <w:tcW w:w="3260" w:type="dxa"/>
            <w:vAlign w:val="center"/>
          </w:tcPr>
          <w:p>
            <w:pPr>
              <w:spacing w:line="400" w:lineRule="exact"/>
              <w:rPr>
                <w:rFonts w:ascii="仿宋" w:hAnsi="仿宋" w:eastAsia="仿宋" w:cs="Times New Roman"/>
                <w:bCs/>
                <w:sz w:val="24"/>
                <w:szCs w:val="24"/>
              </w:rPr>
            </w:pPr>
            <w:r>
              <w:rPr>
                <w:rFonts w:hint="eastAsia" w:ascii="仿宋" w:hAnsi="仿宋" w:eastAsia="仿宋"/>
                <w:sz w:val="24"/>
              </w:rPr>
              <w:t>积极发展家庭养老照护床位</w:t>
            </w:r>
          </w:p>
        </w:tc>
        <w:tc>
          <w:tcPr>
            <w:tcW w:w="1276" w:type="dxa"/>
            <w:vAlign w:val="center"/>
          </w:tcPr>
          <w:p>
            <w:pPr>
              <w:spacing w:line="400" w:lineRule="exact"/>
              <w:rPr>
                <w:rFonts w:ascii="仿宋" w:hAnsi="仿宋" w:eastAsia="仿宋"/>
                <w:bCs/>
                <w:spacing w:val="8"/>
                <w:kern w:val="0"/>
                <w:sz w:val="24"/>
                <w:szCs w:val="24"/>
                <w:shd w:val="clear" w:color="auto" w:fill="FFFFFF"/>
              </w:rPr>
            </w:pPr>
            <w:r>
              <w:rPr>
                <w:rFonts w:hint="eastAsia" w:ascii="仿宋" w:hAnsi="仿宋" w:eastAsia="仿宋"/>
                <w:sz w:val="24"/>
              </w:rPr>
              <w:t>区民政局</w:t>
            </w:r>
          </w:p>
        </w:tc>
        <w:tc>
          <w:tcPr>
            <w:tcW w:w="3594" w:type="dxa"/>
            <w:vAlign w:val="center"/>
          </w:tcPr>
          <w:p>
            <w:pPr>
              <w:spacing w:line="400" w:lineRule="exact"/>
              <w:rPr>
                <w:rFonts w:ascii="仿宋" w:hAnsi="仿宋" w:eastAsia="仿宋"/>
                <w:bCs/>
                <w:sz w:val="24"/>
                <w:szCs w:val="24"/>
              </w:rPr>
            </w:pPr>
            <w:r>
              <w:rPr>
                <w:rFonts w:hint="eastAsia" w:ascii="仿宋" w:hAnsi="仿宋" w:eastAsia="仿宋"/>
                <w:sz w:val="24"/>
              </w:rPr>
              <w:t>区财政局、区住房城乡建委、区卫生健康委、区残联、各镇街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spacing w:line="400" w:lineRule="exact"/>
              <w:jc w:val="center"/>
              <w:rPr>
                <w:rFonts w:ascii="Times New Roman" w:hAnsi="Times New Roman" w:eastAsia="仿宋" w:cs="Times New Roman"/>
                <w:bCs/>
                <w:sz w:val="24"/>
                <w:szCs w:val="24"/>
              </w:rPr>
            </w:pPr>
            <w:r>
              <w:rPr>
                <w:rFonts w:ascii="Times New Roman" w:hAnsi="Times New Roman" w:eastAsia="仿宋" w:cs="Times New Roman"/>
                <w:bCs/>
                <w:sz w:val="24"/>
                <w:szCs w:val="24"/>
              </w:rPr>
              <w:t>10</w:t>
            </w:r>
          </w:p>
        </w:tc>
        <w:tc>
          <w:tcPr>
            <w:tcW w:w="3260" w:type="dxa"/>
            <w:vAlign w:val="center"/>
          </w:tcPr>
          <w:p>
            <w:pPr>
              <w:spacing w:line="400" w:lineRule="exact"/>
              <w:rPr>
                <w:rFonts w:ascii="仿宋" w:hAnsi="仿宋" w:eastAsia="仿宋" w:cs="Times New Roman"/>
                <w:bCs/>
                <w:sz w:val="24"/>
                <w:szCs w:val="24"/>
              </w:rPr>
            </w:pPr>
            <w:r>
              <w:rPr>
                <w:rFonts w:hint="eastAsia" w:ascii="仿宋" w:hAnsi="仿宋" w:eastAsia="仿宋"/>
                <w:sz w:val="24"/>
              </w:rPr>
              <w:t>有序推进居家适老化改造</w:t>
            </w:r>
          </w:p>
        </w:tc>
        <w:tc>
          <w:tcPr>
            <w:tcW w:w="1276" w:type="dxa"/>
            <w:vAlign w:val="center"/>
          </w:tcPr>
          <w:p>
            <w:pPr>
              <w:spacing w:line="400" w:lineRule="exact"/>
              <w:rPr>
                <w:rFonts w:ascii="仿宋" w:hAnsi="仿宋" w:eastAsia="仿宋"/>
                <w:bCs/>
                <w:spacing w:val="8"/>
                <w:kern w:val="0"/>
                <w:sz w:val="24"/>
                <w:szCs w:val="24"/>
                <w:shd w:val="clear" w:color="auto" w:fill="FFFFFF"/>
              </w:rPr>
            </w:pPr>
            <w:r>
              <w:rPr>
                <w:rFonts w:hint="eastAsia" w:ascii="仿宋" w:hAnsi="仿宋" w:eastAsia="仿宋"/>
                <w:sz w:val="24"/>
              </w:rPr>
              <w:t>区住房城乡建委</w:t>
            </w:r>
          </w:p>
        </w:tc>
        <w:tc>
          <w:tcPr>
            <w:tcW w:w="3594" w:type="dxa"/>
            <w:vAlign w:val="center"/>
          </w:tcPr>
          <w:p>
            <w:pPr>
              <w:spacing w:line="400" w:lineRule="exact"/>
              <w:rPr>
                <w:rFonts w:ascii="仿宋" w:hAnsi="仿宋" w:eastAsia="仿宋"/>
                <w:bCs/>
                <w:sz w:val="24"/>
                <w:szCs w:val="24"/>
              </w:rPr>
            </w:pPr>
            <w:r>
              <w:rPr>
                <w:rFonts w:hint="eastAsia" w:ascii="仿宋" w:hAnsi="仿宋" w:eastAsia="仿宋"/>
                <w:sz w:val="24"/>
              </w:rPr>
              <w:t>区民政局、区财政局、区卫生健康委、区农业农村委、区残联、各镇街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spacing w:line="400" w:lineRule="exact"/>
              <w:jc w:val="center"/>
              <w:rPr>
                <w:rFonts w:ascii="Times New Roman" w:hAnsi="Times New Roman" w:eastAsia="仿宋" w:cs="Times New Roman"/>
                <w:bCs/>
                <w:sz w:val="24"/>
                <w:szCs w:val="24"/>
              </w:rPr>
            </w:pPr>
            <w:r>
              <w:rPr>
                <w:rFonts w:ascii="Times New Roman" w:hAnsi="Times New Roman" w:eastAsia="仿宋" w:cs="Times New Roman"/>
                <w:bCs/>
                <w:sz w:val="24"/>
                <w:szCs w:val="24"/>
              </w:rPr>
              <w:t>11</w:t>
            </w:r>
          </w:p>
        </w:tc>
        <w:tc>
          <w:tcPr>
            <w:tcW w:w="3260" w:type="dxa"/>
            <w:vAlign w:val="center"/>
          </w:tcPr>
          <w:p>
            <w:pPr>
              <w:spacing w:line="400" w:lineRule="exact"/>
              <w:rPr>
                <w:rFonts w:ascii="仿宋" w:hAnsi="仿宋" w:eastAsia="仿宋" w:cs="Times New Roman"/>
                <w:bCs/>
                <w:sz w:val="24"/>
                <w:szCs w:val="24"/>
              </w:rPr>
            </w:pPr>
            <w:r>
              <w:rPr>
                <w:rFonts w:hint="eastAsia" w:ascii="仿宋" w:hAnsi="仿宋" w:eastAsia="仿宋" w:cs="Times New Roman"/>
                <w:bCs/>
                <w:sz w:val="24"/>
                <w:szCs w:val="24"/>
              </w:rPr>
              <w:t>统筹推进城乡养老均衡发展</w:t>
            </w:r>
          </w:p>
        </w:tc>
        <w:tc>
          <w:tcPr>
            <w:tcW w:w="1276" w:type="dxa"/>
            <w:vAlign w:val="center"/>
          </w:tcPr>
          <w:p>
            <w:pPr>
              <w:spacing w:line="400" w:lineRule="exact"/>
              <w:rPr>
                <w:rFonts w:ascii="仿宋" w:hAnsi="仿宋" w:eastAsia="仿宋"/>
                <w:bCs/>
                <w:spacing w:val="8"/>
                <w:kern w:val="0"/>
                <w:sz w:val="24"/>
                <w:szCs w:val="24"/>
                <w:shd w:val="clear" w:color="auto" w:fill="FFFFFF"/>
              </w:rPr>
            </w:pPr>
            <w:r>
              <w:rPr>
                <w:rFonts w:hint="eastAsia" w:ascii="仿宋" w:hAnsi="仿宋" w:eastAsia="仿宋"/>
                <w:sz w:val="24"/>
              </w:rPr>
              <w:t>区民政局</w:t>
            </w:r>
          </w:p>
        </w:tc>
        <w:tc>
          <w:tcPr>
            <w:tcW w:w="3594" w:type="dxa"/>
            <w:vAlign w:val="center"/>
          </w:tcPr>
          <w:p>
            <w:pPr>
              <w:spacing w:line="400" w:lineRule="exact"/>
              <w:rPr>
                <w:rFonts w:ascii="仿宋" w:hAnsi="仿宋" w:eastAsia="仿宋"/>
                <w:bCs/>
                <w:sz w:val="24"/>
                <w:szCs w:val="24"/>
              </w:rPr>
            </w:pPr>
            <w:r>
              <w:rPr>
                <w:rFonts w:hint="eastAsia" w:ascii="仿宋" w:hAnsi="仿宋" w:eastAsia="仿宋"/>
                <w:sz w:val="24"/>
              </w:rPr>
              <w:t>区发展改革委、区财政局、区农业农村委、区卫生健康委、区残联、各镇街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spacing w:line="400" w:lineRule="exact"/>
              <w:jc w:val="center"/>
              <w:rPr>
                <w:rFonts w:ascii="Times New Roman" w:hAnsi="Times New Roman" w:eastAsia="仿宋" w:cs="Times New Roman"/>
                <w:bCs/>
                <w:sz w:val="24"/>
                <w:szCs w:val="24"/>
              </w:rPr>
            </w:pPr>
            <w:r>
              <w:rPr>
                <w:rFonts w:ascii="Times New Roman" w:hAnsi="Times New Roman" w:eastAsia="仿宋" w:cs="Times New Roman"/>
                <w:bCs/>
                <w:sz w:val="24"/>
                <w:szCs w:val="24"/>
              </w:rPr>
              <w:t>12</w:t>
            </w:r>
          </w:p>
        </w:tc>
        <w:tc>
          <w:tcPr>
            <w:tcW w:w="3260" w:type="dxa"/>
            <w:vAlign w:val="center"/>
          </w:tcPr>
          <w:p>
            <w:pPr>
              <w:spacing w:line="400" w:lineRule="exact"/>
              <w:rPr>
                <w:rFonts w:ascii="仿宋" w:hAnsi="仿宋" w:eastAsia="仿宋" w:cs="Times New Roman"/>
                <w:bCs/>
                <w:sz w:val="24"/>
                <w:szCs w:val="24"/>
              </w:rPr>
            </w:pPr>
            <w:r>
              <w:rPr>
                <w:rFonts w:hint="eastAsia" w:ascii="仿宋" w:hAnsi="仿宋" w:eastAsia="仿宋"/>
                <w:sz w:val="24"/>
              </w:rPr>
              <w:t>完善农村互助养老服务体系</w:t>
            </w:r>
          </w:p>
        </w:tc>
        <w:tc>
          <w:tcPr>
            <w:tcW w:w="1276" w:type="dxa"/>
            <w:vAlign w:val="center"/>
          </w:tcPr>
          <w:p>
            <w:pPr>
              <w:spacing w:line="400" w:lineRule="exact"/>
              <w:rPr>
                <w:rFonts w:ascii="仿宋" w:hAnsi="仿宋" w:eastAsia="仿宋"/>
                <w:bCs/>
                <w:spacing w:val="8"/>
                <w:kern w:val="0"/>
                <w:sz w:val="24"/>
                <w:szCs w:val="24"/>
                <w:shd w:val="clear" w:color="auto" w:fill="FFFFFF"/>
              </w:rPr>
            </w:pPr>
            <w:r>
              <w:rPr>
                <w:rFonts w:hint="eastAsia" w:ascii="仿宋" w:hAnsi="仿宋" w:eastAsia="仿宋"/>
                <w:sz w:val="24"/>
              </w:rPr>
              <w:t>区民政局</w:t>
            </w:r>
          </w:p>
        </w:tc>
        <w:tc>
          <w:tcPr>
            <w:tcW w:w="3594" w:type="dxa"/>
            <w:vAlign w:val="center"/>
          </w:tcPr>
          <w:p>
            <w:pPr>
              <w:spacing w:line="400" w:lineRule="exact"/>
              <w:rPr>
                <w:rFonts w:ascii="仿宋" w:hAnsi="仿宋" w:eastAsia="仿宋"/>
                <w:bCs/>
                <w:sz w:val="24"/>
                <w:szCs w:val="24"/>
              </w:rPr>
            </w:pPr>
            <w:r>
              <w:rPr>
                <w:rFonts w:hint="eastAsia" w:ascii="仿宋" w:hAnsi="仿宋" w:eastAsia="仿宋"/>
                <w:sz w:val="24"/>
              </w:rPr>
              <w:t>区财政局、区卫生健康委、区农业农村委、区残联、各镇街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spacing w:line="400" w:lineRule="exact"/>
              <w:jc w:val="center"/>
              <w:rPr>
                <w:rFonts w:ascii="Times New Roman" w:hAnsi="Times New Roman" w:eastAsia="仿宋" w:cs="Times New Roman"/>
                <w:bCs/>
                <w:sz w:val="24"/>
                <w:szCs w:val="24"/>
              </w:rPr>
            </w:pPr>
            <w:r>
              <w:rPr>
                <w:rFonts w:ascii="Times New Roman" w:hAnsi="Times New Roman" w:eastAsia="仿宋" w:cs="Times New Roman"/>
                <w:bCs/>
                <w:sz w:val="24"/>
                <w:szCs w:val="24"/>
              </w:rPr>
              <w:t>13</w:t>
            </w:r>
          </w:p>
        </w:tc>
        <w:tc>
          <w:tcPr>
            <w:tcW w:w="3260" w:type="dxa"/>
            <w:vAlign w:val="center"/>
          </w:tcPr>
          <w:p>
            <w:pPr>
              <w:spacing w:line="400" w:lineRule="exact"/>
              <w:rPr>
                <w:rFonts w:ascii="仿宋" w:hAnsi="仿宋" w:eastAsia="仿宋" w:cs="Times New Roman"/>
                <w:bCs/>
                <w:sz w:val="24"/>
                <w:szCs w:val="24"/>
              </w:rPr>
            </w:pPr>
            <w:r>
              <w:rPr>
                <w:rFonts w:hint="eastAsia" w:ascii="仿宋" w:hAnsi="仿宋" w:eastAsia="仿宋"/>
                <w:sz w:val="24"/>
              </w:rPr>
              <w:t>完善社区居家养老服务评级制度</w:t>
            </w:r>
          </w:p>
        </w:tc>
        <w:tc>
          <w:tcPr>
            <w:tcW w:w="1276" w:type="dxa"/>
            <w:vAlign w:val="center"/>
          </w:tcPr>
          <w:p>
            <w:pPr>
              <w:spacing w:line="400" w:lineRule="exact"/>
              <w:rPr>
                <w:rFonts w:ascii="仿宋" w:hAnsi="仿宋" w:eastAsia="仿宋"/>
                <w:bCs/>
                <w:spacing w:val="8"/>
                <w:kern w:val="0"/>
                <w:sz w:val="24"/>
                <w:szCs w:val="24"/>
                <w:shd w:val="clear" w:color="auto" w:fill="FFFFFF"/>
              </w:rPr>
            </w:pPr>
            <w:r>
              <w:rPr>
                <w:rFonts w:hint="eastAsia" w:ascii="仿宋" w:hAnsi="仿宋" w:eastAsia="仿宋"/>
                <w:sz w:val="24"/>
              </w:rPr>
              <w:t>区民政局</w:t>
            </w:r>
          </w:p>
        </w:tc>
        <w:tc>
          <w:tcPr>
            <w:tcW w:w="3594" w:type="dxa"/>
            <w:vAlign w:val="center"/>
          </w:tcPr>
          <w:p>
            <w:pPr>
              <w:spacing w:line="400" w:lineRule="exact"/>
              <w:rPr>
                <w:rFonts w:ascii="仿宋" w:hAnsi="仿宋" w:eastAsia="仿宋"/>
                <w:bCs/>
                <w:sz w:val="24"/>
                <w:szCs w:val="24"/>
              </w:rPr>
            </w:pPr>
            <w:r>
              <w:rPr>
                <w:rFonts w:hint="eastAsia" w:ascii="仿宋" w:hAnsi="仿宋" w:eastAsia="仿宋"/>
                <w:sz w:val="24"/>
              </w:rPr>
              <w:t>区财政局、区市场监管局、各镇街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spacing w:line="400" w:lineRule="exact"/>
              <w:jc w:val="center"/>
              <w:rPr>
                <w:rFonts w:ascii="Times New Roman" w:hAnsi="Times New Roman" w:eastAsia="仿宋" w:cs="Times New Roman"/>
                <w:bCs/>
                <w:sz w:val="24"/>
                <w:szCs w:val="24"/>
              </w:rPr>
            </w:pPr>
            <w:r>
              <w:rPr>
                <w:rFonts w:ascii="Times New Roman" w:hAnsi="Times New Roman" w:eastAsia="仿宋" w:cs="Times New Roman"/>
                <w:bCs/>
                <w:sz w:val="24"/>
                <w:szCs w:val="24"/>
              </w:rPr>
              <w:t>14</w:t>
            </w:r>
          </w:p>
        </w:tc>
        <w:tc>
          <w:tcPr>
            <w:tcW w:w="3260" w:type="dxa"/>
            <w:vAlign w:val="center"/>
          </w:tcPr>
          <w:p>
            <w:pPr>
              <w:spacing w:line="400" w:lineRule="exact"/>
              <w:rPr>
                <w:rFonts w:ascii="仿宋" w:hAnsi="仿宋" w:eastAsia="仿宋" w:cs="Times New Roman"/>
                <w:bCs/>
                <w:sz w:val="24"/>
                <w:szCs w:val="24"/>
              </w:rPr>
            </w:pPr>
            <w:r>
              <w:rPr>
                <w:rFonts w:hint="eastAsia" w:ascii="仿宋" w:hAnsi="仿宋" w:eastAsia="仿宋" w:cs="Times New Roman"/>
                <w:bCs/>
                <w:sz w:val="24"/>
                <w:szCs w:val="24"/>
              </w:rPr>
              <w:t>强化公办养老机构服务能力</w:t>
            </w:r>
          </w:p>
        </w:tc>
        <w:tc>
          <w:tcPr>
            <w:tcW w:w="1276" w:type="dxa"/>
            <w:vAlign w:val="center"/>
          </w:tcPr>
          <w:p>
            <w:pPr>
              <w:spacing w:line="400" w:lineRule="exact"/>
              <w:rPr>
                <w:rFonts w:ascii="仿宋" w:hAnsi="仿宋" w:eastAsia="仿宋"/>
                <w:bCs/>
                <w:spacing w:val="8"/>
                <w:kern w:val="0"/>
                <w:sz w:val="24"/>
                <w:szCs w:val="24"/>
                <w:shd w:val="clear" w:color="auto" w:fill="FFFFFF"/>
              </w:rPr>
            </w:pPr>
            <w:r>
              <w:rPr>
                <w:rFonts w:ascii="仿宋" w:hAnsi="仿宋" w:eastAsia="仿宋"/>
                <w:bCs/>
                <w:spacing w:val="8"/>
                <w:kern w:val="0"/>
                <w:sz w:val="24"/>
                <w:szCs w:val="24"/>
                <w:shd w:val="clear" w:color="auto" w:fill="FFFFFF"/>
              </w:rPr>
              <w:t>区民政局</w:t>
            </w:r>
          </w:p>
        </w:tc>
        <w:tc>
          <w:tcPr>
            <w:tcW w:w="3594" w:type="dxa"/>
            <w:vAlign w:val="center"/>
          </w:tcPr>
          <w:p>
            <w:pPr>
              <w:spacing w:line="400" w:lineRule="exact"/>
              <w:rPr>
                <w:rFonts w:ascii="仿宋" w:hAnsi="仿宋" w:eastAsia="仿宋"/>
                <w:bCs/>
                <w:sz w:val="24"/>
                <w:szCs w:val="24"/>
              </w:rPr>
            </w:pPr>
            <w:r>
              <w:rPr>
                <w:rFonts w:hint="eastAsia" w:ascii="仿宋" w:hAnsi="仿宋" w:eastAsia="仿宋"/>
                <w:bCs/>
                <w:sz w:val="24"/>
                <w:szCs w:val="24"/>
              </w:rPr>
              <w:t>区发展改革委、区财政局、区卫生健康委、区国资委、各镇街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spacing w:line="400" w:lineRule="exact"/>
              <w:jc w:val="center"/>
              <w:rPr>
                <w:rFonts w:ascii="Times New Roman" w:hAnsi="Times New Roman" w:eastAsia="仿宋" w:cs="Times New Roman"/>
                <w:bCs/>
                <w:sz w:val="24"/>
                <w:szCs w:val="24"/>
              </w:rPr>
            </w:pPr>
            <w:r>
              <w:rPr>
                <w:rFonts w:ascii="Times New Roman" w:hAnsi="Times New Roman" w:eastAsia="仿宋" w:cs="Times New Roman"/>
                <w:bCs/>
                <w:sz w:val="24"/>
                <w:szCs w:val="24"/>
              </w:rPr>
              <w:t>15</w:t>
            </w:r>
          </w:p>
        </w:tc>
        <w:tc>
          <w:tcPr>
            <w:tcW w:w="3260" w:type="dxa"/>
            <w:vAlign w:val="center"/>
          </w:tcPr>
          <w:p>
            <w:pPr>
              <w:spacing w:line="400" w:lineRule="exact"/>
              <w:rPr>
                <w:rFonts w:ascii="仿宋" w:hAnsi="仿宋" w:eastAsia="仿宋" w:cs="Times New Roman"/>
                <w:bCs/>
                <w:sz w:val="24"/>
                <w:szCs w:val="24"/>
              </w:rPr>
            </w:pPr>
            <w:r>
              <w:rPr>
                <w:rFonts w:hint="eastAsia" w:ascii="仿宋" w:hAnsi="仿宋" w:eastAsia="仿宋" w:cs="Times New Roman"/>
                <w:bCs/>
                <w:sz w:val="24"/>
                <w:szCs w:val="24"/>
              </w:rPr>
              <w:t>引导社会办养老机构有序发展</w:t>
            </w:r>
          </w:p>
        </w:tc>
        <w:tc>
          <w:tcPr>
            <w:tcW w:w="1276" w:type="dxa"/>
            <w:vAlign w:val="center"/>
          </w:tcPr>
          <w:p>
            <w:pPr>
              <w:spacing w:line="400" w:lineRule="exact"/>
              <w:rPr>
                <w:rFonts w:ascii="仿宋" w:hAnsi="仿宋" w:eastAsia="仿宋"/>
                <w:bCs/>
                <w:spacing w:val="8"/>
                <w:kern w:val="0"/>
                <w:sz w:val="24"/>
                <w:szCs w:val="24"/>
                <w:shd w:val="clear" w:color="auto" w:fill="FFFFFF"/>
              </w:rPr>
            </w:pPr>
            <w:r>
              <w:rPr>
                <w:rFonts w:ascii="仿宋" w:hAnsi="仿宋" w:eastAsia="仿宋"/>
                <w:bCs/>
                <w:spacing w:val="8"/>
                <w:kern w:val="0"/>
                <w:sz w:val="24"/>
                <w:szCs w:val="24"/>
                <w:shd w:val="clear" w:color="auto" w:fill="FFFFFF"/>
              </w:rPr>
              <w:t>区民政局</w:t>
            </w:r>
          </w:p>
        </w:tc>
        <w:tc>
          <w:tcPr>
            <w:tcW w:w="3594" w:type="dxa"/>
            <w:vAlign w:val="center"/>
          </w:tcPr>
          <w:p>
            <w:pPr>
              <w:spacing w:line="400" w:lineRule="exact"/>
              <w:rPr>
                <w:rFonts w:ascii="仿宋" w:hAnsi="仿宋" w:eastAsia="仿宋"/>
                <w:bCs/>
                <w:sz w:val="24"/>
                <w:szCs w:val="24"/>
              </w:rPr>
            </w:pPr>
            <w:r>
              <w:rPr>
                <w:rFonts w:hint="eastAsia" w:ascii="仿宋" w:hAnsi="仿宋" w:eastAsia="仿宋"/>
                <w:bCs/>
                <w:sz w:val="24"/>
                <w:szCs w:val="24"/>
              </w:rPr>
              <w:t>区发展改革委、区市场监管局、各镇街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spacing w:line="400" w:lineRule="exact"/>
              <w:jc w:val="center"/>
              <w:rPr>
                <w:rFonts w:ascii="Times New Roman" w:hAnsi="Times New Roman" w:eastAsia="仿宋" w:cs="Times New Roman"/>
                <w:bCs/>
                <w:sz w:val="24"/>
                <w:szCs w:val="24"/>
              </w:rPr>
            </w:pPr>
            <w:r>
              <w:rPr>
                <w:rFonts w:ascii="Times New Roman" w:hAnsi="Times New Roman" w:eastAsia="仿宋" w:cs="Times New Roman"/>
                <w:bCs/>
                <w:sz w:val="24"/>
                <w:szCs w:val="24"/>
              </w:rPr>
              <w:t>16</w:t>
            </w:r>
          </w:p>
        </w:tc>
        <w:tc>
          <w:tcPr>
            <w:tcW w:w="3260" w:type="dxa"/>
            <w:vAlign w:val="center"/>
          </w:tcPr>
          <w:p>
            <w:pPr>
              <w:spacing w:line="400" w:lineRule="exact"/>
              <w:rPr>
                <w:rFonts w:ascii="仿宋" w:hAnsi="仿宋" w:eastAsia="仿宋" w:cs="Times New Roman"/>
                <w:bCs/>
                <w:sz w:val="24"/>
                <w:szCs w:val="24"/>
              </w:rPr>
            </w:pPr>
            <w:r>
              <w:rPr>
                <w:rFonts w:hint="eastAsia" w:ascii="仿宋" w:hAnsi="仿宋" w:eastAsia="仿宋" w:cs="Times New Roman"/>
                <w:bCs/>
                <w:sz w:val="24"/>
                <w:szCs w:val="24"/>
              </w:rPr>
              <w:t>增强农村养老机构服务能力</w:t>
            </w:r>
          </w:p>
        </w:tc>
        <w:tc>
          <w:tcPr>
            <w:tcW w:w="1276" w:type="dxa"/>
            <w:vAlign w:val="center"/>
          </w:tcPr>
          <w:p>
            <w:pPr>
              <w:spacing w:line="400" w:lineRule="exact"/>
              <w:rPr>
                <w:rFonts w:ascii="仿宋" w:hAnsi="仿宋" w:eastAsia="仿宋"/>
                <w:bCs/>
                <w:spacing w:val="8"/>
                <w:kern w:val="0"/>
                <w:sz w:val="24"/>
                <w:szCs w:val="24"/>
                <w:shd w:val="clear" w:color="auto" w:fill="FFFFFF"/>
              </w:rPr>
            </w:pPr>
            <w:r>
              <w:rPr>
                <w:rFonts w:ascii="仿宋" w:hAnsi="仿宋" w:eastAsia="仿宋"/>
                <w:bCs/>
                <w:spacing w:val="8"/>
                <w:kern w:val="0"/>
                <w:sz w:val="24"/>
                <w:szCs w:val="24"/>
                <w:shd w:val="clear" w:color="auto" w:fill="FFFFFF"/>
              </w:rPr>
              <w:t>区民政局</w:t>
            </w:r>
          </w:p>
        </w:tc>
        <w:tc>
          <w:tcPr>
            <w:tcW w:w="3594" w:type="dxa"/>
            <w:vAlign w:val="center"/>
          </w:tcPr>
          <w:p>
            <w:pPr>
              <w:spacing w:line="400" w:lineRule="exact"/>
              <w:rPr>
                <w:rFonts w:ascii="仿宋" w:hAnsi="仿宋" w:eastAsia="仿宋"/>
                <w:bCs/>
                <w:sz w:val="24"/>
                <w:szCs w:val="24"/>
              </w:rPr>
            </w:pPr>
            <w:r>
              <w:rPr>
                <w:rFonts w:ascii="仿宋" w:hAnsi="仿宋" w:eastAsia="仿宋"/>
                <w:bCs/>
                <w:spacing w:val="8"/>
                <w:kern w:val="0"/>
                <w:sz w:val="24"/>
                <w:szCs w:val="24"/>
                <w:shd w:val="clear" w:color="auto" w:fill="FFFFFF"/>
              </w:rPr>
              <w:t>区发展改革委、区财政局、</w:t>
            </w:r>
            <w:r>
              <w:rPr>
                <w:rFonts w:hint="eastAsia" w:ascii="仿宋" w:hAnsi="仿宋" w:eastAsia="仿宋"/>
                <w:sz w:val="24"/>
              </w:rPr>
              <w:t>区农业农村委、</w:t>
            </w:r>
            <w:r>
              <w:rPr>
                <w:rFonts w:ascii="仿宋" w:hAnsi="仿宋" w:eastAsia="仿宋"/>
                <w:bCs/>
                <w:spacing w:val="8"/>
                <w:kern w:val="0"/>
                <w:sz w:val="24"/>
                <w:szCs w:val="24"/>
                <w:shd w:val="clear" w:color="auto" w:fill="FFFFFF"/>
              </w:rPr>
              <w:t>区卫生健康委、</w:t>
            </w:r>
            <w:r>
              <w:rPr>
                <w:rFonts w:hint="eastAsia" w:ascii="仿宋" w:hAnsi="仿宋" w:eastAsia="仿宋"/>
                <w:bCs/>
                <w:spacing w:val="8"/>
                <w:kern w:val="0"/>
                <w:sz w:val="24"/>
                <w:szCs w:val="24"/>
                <w:shd w:val="clear" w:color="auto" w:fill="FFFFFF"/>
              </w:rPr>
              <w:t>区残联、</w:t>
            </w:r>
            <w:r>
              <w:rPr>
                <w:rFonts w:ascii="仿宋" w:hAnsi="仿宋" w:eastAsia="仿宋"/>
                <w:bCs/>
                <w:spacing w:val="8"/>
                <w:kern w:val="0"/>
                <w:sz w:val="24"/>
                <w:szCs w:val="24"/>
                <w:shd w:val="clear" w:color="auto" w:fill="FFFFFF"/>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spacing w:line="400" w:lineRule="exact"/>
              <w:jc w:val="center"/>
              <w:rPr>
                <w:rFonts w:ascii="Times New Roman" w:hAnsi="Times New Roman" w:eastAsia="仿宋" w:cs="Times New Roman"/>
                <w:bCs/>
                <w:sz w:val="24"/>
                <w:szCs w:val="24"/>
              </w:rPr>
            </w:pPr>
            <w:r>
              <w:rPr>
                <w:rFonts w:ascii="Times New Roman" w:hAnsi="Times New Roman" w:eastAsia="仿宋" w:cs="Times New Roman"/>
                <w:bCs/>
                <w:sz w:val="24"/>
                <w:szCs w:val="24"/>
              </w:rPr>
              <w:t>17</w:t>
            </w:r>
          </w:p>
        </w:tc>
        <w:tc>
          <w:tcPr>
            <w:tcW w:w="3260" w:type="dxa"/>
            <w:vAlign w:val="center"/>
          </w:tcPr>
          <w:p>
            <w:pPr>
              <w:spacing w:line="400" w:lineRule="exact"/>
              <w:rPr>
                <w:rFonts w:ascii="仿宋" w:hAnsi="仿宋" w:eastAsia="仿宋" w:cs="Times New Roman"/>
                <w:bCs/>
                <w:sz w:val="24"/>
                <w:szCs w:val="24"/>
              </w:rPr>
            </w:pPr>
            <w:r>
              <w:rPr>
                <w:rFonts w:hint="eastAsia" w:ascii="仿宋" w:hAnsi="仿宋" w:eastAsia="仿宋"/>
                <w:sz w:val="24"/>
              </w:rPr>
              <w:t>创新医养结合服务模式</w:t>
            </w:r>
          </w:p>
        </w:tc>
        <w:tc>
          <w:tcPr>
            <w:tcW w:w="1276" w:type="dxa"/>
            <w:vAlign w:val="center"/>
          </w:tcPr>
          <w:p>
            <w:pPr>
              <w:spacing w:line="400" w:lineRule="exact"/>
              <w:rPr>
                <w:rFonts w:ascii="仿宋" w:hAnsi="仿宋" w:eastAsia="仿宋"/>
                <w:bCs/>
                <w:spacing w:val="8"/>
                <w:kern w:val="0"/>
                <w:sz w:val="24"/>
                <w:szCs w:val="24"/>
                <w:shd w:val="clear" w:color="auto" w:fill="FFFFFF"/>
              </w:rPr>
            </w:pPr>
            <w:r>
              <w:rPr>
                <w:rFonts w:hint="eastAsia" w:ascii="仿宋" w:hAnsi="仿宋" w:eastAsia="仿宋"/>
                <w:sz w:val="24"/>
              </w:rPr>
              <w:t>区卫生健康委</w:t>
            </w:r>
          </w:p>
        </w:tc>
        <w:tc>
          <w:tcPr>
            <w:tcW w:w="3594" w:type="dxa"/>
            <w:vAlign w:val="center"/>
          </w:tcPr>
          <w:p>
            <w:pPr>
              <w:spacing w:line="400" w:lineRule="exact"/>
              <w:rPr>
                <w:rFonts w:ascii="仿宋" w:hAnsi="仿宋" w:eastAsia="仿宋"/>
                <w:bCs/>
                <w:sz w:val="24"/>
                <w:szCs w:val="24"/>
              </w:rPr>
            </w:pPr>
            <w:r>
              <w:rPr>
                <w:rFonts w:hint="eastAsia" w:ascii="仿宋" w:hAnsi="仿宋" w:eastAsia="仿宋"/>
                <w:sz w:val="24"/>
              </w:rPr>
              <w:t>区民政局、区医保局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spacing w:line="400" w:lineRule="exact"/>
              <w:jc w:val="center"/>
              <w:rPr>
                <w:rFonts w:ascii="Times New Roman" w:hAnsi="Times New Roman" w:eastAsia="仿宋" w:cs="Times New Roman"/>
                <w:bCs/>
                <w:sz w:val="24"/>
                <w:szCs w:val="24"/>
              </w:rPr>
            </w:pPr>
            <w:r>
              <w:rPr>
                <w:rFonts w:ascii="Times New Roman" w:hAnsi="Times New Roman" w:eastAsia="仿宋" w:cs="Times New Roman"/>
                <w:bCs/>
                <w:sz w:val="24"/>
                <w:szCs w:val="24"/>
              </w:rPr>
              <w:t>18</w:t>
            </w:r>
          </w:p>
        </w:tc>
        <w:tc>
          <w:tcPr>
            <w:tcW w:w="3260" w:type="dxa"/>
            <w:vAlign w:val="center"/>
          </w:tcPr>
          <w:p>
            <w:pPr>
              <w:spacing w:line="400" w:lineRule="exact"/>
              <w:rPr>
                <w:rFonts w:ascii="仿宋" w:hAnsi="仿宋" w:eastAsia="仿宋" w:cs="Times New Roman"/>
                <w:bCs/>
                <w:sz w:val="24"/>
                <w:szCs w:val="24"/>
              </w:rPr>
            </w:pPr>
            <w:r>
              <w:rPr>
                <w:rFonts w:hint="eastAsia" w:ascii="仿宋" w:hAnsi="仿宋" w:eastAsia="仿宋" w:cs="Times New Roman"/>
                <w:bCs/>
                <w:sz w:val="24"/>
                <w:szCs w:val="24"/>
              </w:rPr>
              <w:t>推动医养结合服务拓展至社区、家庭</w:t>
            </w:r>
          </w:p>
        </w:tc>
        <w:tc>
          <w:tcPr>
            <w:tcW w:w="1276" w:type="dxa"/>
            <w:vAlign w:val="center"/>
          </w:tcPr>
          <w:p>
            <w:pPr>
              <w:spacing w:line="400" w:lineRule="exact"/>
              <w:rPr>
                <w:rFonts w:ascii="仿宋" w:hAnsi="仿宋" w:eastAsia="仿宋"/>
                <w:bCs/>
                <w:spacing w:val="8"/>
                <w:kern w:val="0"/>
                <w:sz w:val="24"/>
                <w:szCs w:val="24"/>
                <w:shd w:val="clear" w:color="auto" w:fill="FFFFFF"/>
              </w:rPr>
            </w:pPr>
            <w:r>
              <w:rPr>
                <w:rFonts w:hint="eastAsia" w:ascii="仿宋" w:hAnsi="仿宋" w:eastAsia="仿宋"/>
                <w:sz w:val="24"/>
              </w:rPr>
              <w:t>区卫生健康委</w:t>
            </w:r>
          </w:p>
        </w:tc>
        <w:tc>
          <w:tcPr>
            <w:tcW w:w="3594" w:type="dxa"/>
            <w:vAlign w:val="center"/>
          </w:tcPr>
          <w:p>
            <w:pPr>
              <w:spacing w:line="400" w:lineRule="exact"/>
              <w:rPr>
                <w:rFonts w:ascii="仿宋" w:hAnsi="仿宋" w:eastAsia="仿宋"/>
                <w:bCs/>
                <w:sz w:val="24"/>
                <w:szCs w:val="24"/>
              </w:rPr>
            </w:pPr>
            <w:r>
              <w:rPr>
                <w:rFonts w:hint="eastAsia" w:ascii="仿宋" w:hAnsi="仿宋" w:eastAsia="仿宋"/>
                <w:sz w:val="24"/>
              </w:rPr>
              <w:t>区民政局、区医保局、各镇街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spacing w:line="400" w:lineRule="exact"/>
              <w:jc w:val="center"/>
              <w:rPr>
                <w:rFonts w:ascii="Times New Roman" w:hAnsi="Times New Roman" w:eastAsia="仿宋" w:cs="Times New Roman"/>
                <w:bCs/>
                <w:sz w:val="24"/>
                <w:szCs w:val="24"/>
              </w:rPr>
            </w:pPr>
            <w:r>
              <w:rPr>
                <w:rFonts w:ascii="Times New Roman" w:hAnsi="Times New Roman" w:eastAsia="仿宋" w:cs="Times New Roman"/>
                <w:bCs/>
                <w:sz w:val="24"/>
                <w:szCs w:val="24"/>
              </w:rPr>
              <w:t>19</w:t>
            </w:r>
          </w:p>
        </w:tc>
        <w:tc>
          <w:tcPr>
            <w:tcW w:w="3260" w:type="dxa"/>
            <w:vAlign w:val="center"/>
          </w:tcPr>
          <w:p>
            <w:pPr>
              <w:spacing w:line="400" w:lineRule="exact"/>
              <w:rPr>
                <w:rFonts w:ascii="仿宋" w:hAnsi="仿宋" w:eastAsia="仿宋" w:cs="Times New Roman"/>
                <w:bCs/>
                <w:sz w:val="24"/>
                <w:szCs w:val="24"/>
              </w:rPr>
            </w:pPr>
            <w:r>
              <w:rPr>
                <w:rFonts w:hint="eastAsia" w:ascii="仿宋" w:hAnsi="仿宋" w:eastAsia="仿宋" w:cs="Times New Roman"/>
                <w:bCs/>
                <w:sz w:val="24"/>
                <w:szCs w:val="24"/>
              </w:rPr>
              <w:t>构建多元化为老服务队伍</w:t>
            </w:r>
          </w:p>
        </w:tc>
        <w:tc>
          <w:tcPr>
            <w:tcW w:w="1276" w:type="dxa"/>
            <w:vAlign w:val="center"/>
          </w:tcPr>
          <w:p>
            <w:pPr>
              <w:spacing w:line="400" w:lineRule="exact"/>
              <w:rPr>
                <w:rFonts w:ascii="仿宋" w:hAnsi="仿宋" w:eastAsia="仿宋"/>
                <w:bCs/>
                <w:spacing w:val="8"/>
                <w:kern w:val="0"/>
                <w:sz w:val="24"/>
                <w:szCs w:val="24"/>
                <w:shd w:val="clear" w:color="auto" w:fill="FFFFFF"/>
              </w:rPr>
            </w:pPr>
            <w:r>
              <w:rPr>
                <w:rFonts w:hint="eastAsia" w:ascii="仿宋" w:hAnsi="仿宋" w:eastAsia="仿宋"/>
                <w:bCs/>
                <w:spacing w:val="8"/>
                <w:kern w:val="0"/>
                <w:sz w:val="24"/>
                <w:szCs w:val="24"/>
                <w:shd w:val="clear" w:color="auto" w:fill="FFFFFF"/>
              </w:rPr>
              <w:t>区人力社保局</w:t>
            </w:r>
          </w:p>
        </w:tc>
        <w:tc>
          <w:tcPr>
            <w:tcW w:w="3594" w:type="dxa"/>
            <w:vAlign w:val="center"/>
          </w:tcPr>
          <w:p>
            <w:pPr>
              <w:spacing w:line="400" w:lineRule="exact"/>
              <w:rPr>
                <w:rFonts w:ascii="仿宋" w:hAnsi="仿宋" w:eastAsia="仿宋"/>
                <w:bCs/>
                <w:sz w:val="24"/>
                <w:szCs w:val="24"/>
              </w:rPr>
            </w:pPr>
            <w:r>
              <w:rPr>
                <w:rFonts w:hint="eastAsia" w:ascii="仿宋" w:hAnsi="仿宋" w:eastAsia="仿宋"/>
                <w:bCs/>
                <w:sz w:val="24"/>
                <w:szCs w:val="24"/>
              </w:rPr>
              <w:t>区民政局、区卫生健康委、区财政局、区教委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spacing w:line="400" w:lineRule="exact"/>
              <w:jc w:val="center"/>
              <w:rPr>
                <w:rFonts w:ascii="Times New Roman" w:hAnsi="Times New Roman" w:eastAsia="仿宋" w:cs="Times New Roman"/>
                <w:bCs/>
                <w:sz w:val="24"/>
                <w:szCs w:val="24"/>
              </w:rPr>
            </w:pPr>
            <w:r>
              <w:rPr>
                <w:rFonts w:ascii="Times New Roman" w:hAnsi="Times New Roman" w:eastAsia="仿宋" w:cs="Times New Roman"/>
                <w:bCs/>
                <w:sz w:val="24"/>
                <w:szCs w:val="24"/>
              </w:rPr>
              <w:t>20</w:t>
            </w:r>
          </w:p>
        </w:tc>
        <w:tc>
          <w:tcPr>
            <w:tcW w:w="3260" w:type="dxa"/>
            <w:vAlign w:val="center"/>
          </w:tcPr>
          <w:p>
            <w:pPr>
              <w:spacing w:line="400" w:lineRule="exact"/>
              <w:rPr>
                <w:rFonts w:ascii="仿宋" w:hAnsi="仿宋" w:eastAsia="仿宋" w:cs="Times New Roman"/>
                <w:bCs/>
                <w:sz w:val="24"/>
                <w:szCs w:val="24"/>
              </w:rPr>
            </w:pPr>
            <w:r>
              <w:rPr>
                <w:rFonts w:hint="eastAsia" w:ascii="仿宋" w:hAnsi="仿宋" w:eastAsia="仿宋" w:cs="Times New Roman"/>
                <w:bCs/>
                <w:sz w:val="24"/>
                <w:szCs w:val="24"/>
              </w:rPr>
              <w:t>完善养老服务人才培养体系</w:t>
            </w:r>
          </w:p>
        </w:tc>
        <w:tc>
          <w:tcPr>
            <w:tcW w:w="1276" w:type="dxa"/>
            <w:vAlign w:val="center"/>
          </w:tcPr>
          <w:p>
            <w:pPr>
              <w:spacing w:line="400" w:lineRule="exact"/>
              <w:rPr>
                <w:rFonts w:ascii="仿宋" w:hAnsi="仿宋" w:eastAsia="仿宋"/>
                <w:bCs/>
                <w:spacing w:val="8"/>
                <w:kern w:val="0"/>
                <w:sz w:val="24"/>
                <w:szCs w:val="24"/>
                <w:shd w:val="clear" w:color="auto" w:fill="FFFFFF"/>
              </w:rPr>
            </w:pPr>
            <w:r>
              <w:rPr>
                <w:rFonts w:hint="eastAsia" w:ascii="仿宋" w:hAnsi="仿宋" w:eastAsia="仿宋"/>
                <w:bCs/>
                <w:spacing w:val="8"/>
                <w:kern w:val="0"/>
                <w:sz w:val="24"/>
                <w:szCs w:val="24"/>
                <w:shd w:val="clear" w:color="auto" w:fill="FFFFFF"/>
              </w:rPr>
              <w:t>区人力社保局</w:t>
            </w:r>
          </w:p>
        </w:tc>
        <w:tc>
          <w:tcPr>
            <w:tcW w:w="3594" w:type="dxa"/>
            <w:vAlign w:val="center"/>
          </w:tcPr>
          <w:p>
            <w:pPr>
              <w:spacing w:line="400" w:lineRule="exact"/>
              <w:rPr>
                <w:rFonts w:ascii="仿宋" w:hAnsi="仿宋" w:eastAsia="仿宋"/>
                <w:bCs/>
                <w:sz w:val="24"/>
                <w:szCs w:val="24"/>
              </w:rPr>
            </w:pPr>
            <w:r>
              <w:rPr>
                <w:rFonts w:hint="eastAsia" w:ascii="仿宋" w:hAnsi="仿宋" w:eastAsia="仿宋"/>
                <w:bCs/>
                <w:sz w:val="24"/>
                <w:szCs w:val="24"/>
              </w:rPr>
              <w:t>区民政局、区教委、区卫生健康委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spacing w:line="400" w:lineRule="exact"/>
              <w:jc w:val="center"/>
              <w:rPr>
                <w:rFonts w:ascii="Times New Roman" w:hAnsi="Times New Roman" w:eastAsia="仿宋" w:cs="Times New Roman"/>
                <w:bCs/>
                <w:sz w:val="24"/>
                <w:szCs w:val="24"/>
              </w:rPr>
            </w:pPr>
            <w:r>
              <w:rPr>
                <w:rFonts w:ascii="Times New Roman" w:hAnsi="Times New Roman" w:eastAsia="仿宋" w:cs="Times New Roman"/>
                <w:bCs/>
                <w:sz w:val="24"/>
                <w:szCs w:val="24"/>
              </w:rPr>
              <w:t>21</w:t>
            </w:r>
          </w:p>
        </w:tc>
        <w:tc>
          <w:tcPr>
            <w:tcW w:w="3260" w:type="dxa"/>
            <w:vAlign w:val="center"/>
          </w:tcPr>
          <w:p>
            <w:pPr>
              <w:spacing w:line="400" w:lineRule="exact"/>
              <w:rPr>
                <w:rFonts w:ascii="仿宋" w:hAnsi="仿宋" w:eastAsia="仿宋" w:cs="Times New Roman"/>
                <w:bCs/>
                <w:sz w:val="24"/>
                <w:szCs w:val="24"/>
              </w:rPr>
            </w:pPr>
            <w:r>
              <w:rPr>
                <w:rFonts w:hint="eastAsia" w:ascii="仿宋" w:hAnsi="仿宋" w:eastAsia="仿宋" w:cs="Times New Roman"/>
                <w:bCs/>
                <w:sz w:val="24"/>
                <w:szCs w:val="24"/>
              </w:rPr>
              <w:t>健全养老服务人才激励和保障机制</w:t>
            </w:r>
          </w:p>
        </w:tc>
        <w:tc>
          <w:tcPr>
            <w:tcW w:w="1276" w:type="dxa"/>
            <w:vAlign w:val="center"/>
          </w:tcPr>
          <w:p>
            <w:pPr>
              <w:spacing w:line="400" w:lineRule="exact"/>
              <w:rPr>
                <w:rFonts w:ascii="仿宋" w:hAnsi="仿宋" w:eastAsia="仿宋"/>
                <w:bCs/>
                <w:spacing w:val="8"/>
                <w:kern w:val="0"/>
                <w:sz w:val="24"/>
                <w:szCs w:val="24"/>
                <w:shd w:val="clear" w:color="auto" w:fill="FFFFFF"/>
              </w:rPr>
            </w:pPr>
            <w:r>
              <w:rPr>
                <w:rFonts w:hint="eastAsia" w:ascii="仿宋" w:hAnsi="仿宋" w:eastAsia="仿宋"/>
                <w:bCs/>
                <w:spacing w:val="8"/>
                <w:kern w:val="0"/>
                <w:sz w:val="24"/>
                <w:szCs w:val="24"/>
                <w:shd w:val="clear" w:color="auto" w:fill="FFFFFF"/>
              </w:rPr>
              <w:t>区人力社保局</w:t>
            </w:r>
          </w:p>
        </w:tc>
        <w:tc>
          <w:tcPr>
            <w:tcW w:w="3594" w:type="dxa"/>
            <w:vAlign w:val="center"/>
          </w:tcPr>
          <w:p>
            <w:pPr>
              <w:spacing w:line="400" w:lineRule="exact"/>
              <w:rPr>
                <w:rFonts w:ascii="仿宋" w:hAnsi="仿宋" w:eastAsia="仿宋"/>
                <w:bCs/>
                <w:sz w:val="24"/>
                <w:szCs w:val="24"/>
              </w:rPr>
            </w:pPr>
            <w:r>
              <w:rPr>
                <w:rFonts w:hint="eastAsia" w:ascii="仿宋" w:hAnsi="仿宋" w:eastAsia="仿宋"/>
                <w:bCs/>
                <w:sz w:val="24"/>
                <w:szCs w:val="24"/>
              </w:rPr>
              <w:t>区民政局、区财政局、区委宣传部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spacing w:line="400" w:lineRule="exact"/>
              <w:jc w:val="center"/>
              <w:rPr>
                <w:rFonts w:ascii="Times New Roman" w:hAnsi="Times New Roman" w:eastAsia="仿宋" w:cs="Times New Roman"/>
                <w:bCs/>
                <w:sz w:val="24"/>
                <w:szCs w:val="24"/>
              </w:rPr>
            </w:pPr>
            <w:r>
              <w:rPr>
                <w:rFonts w:ascii="Times New Roman" w:hAnsi="Times New Roman" w:eastAsia="仿宋" w:cs="Times New Roman"/>
                <w:bCs/>
                <w:sz w:val="24"/>
                <w:szCs w:val="24"/>
              </w:rPr>
              <w:t>22</w:t>
            </w:r>
          </w:p>
        </w:tc>
        <w:tc>
          <w:tcPr>
            <w:tcW w:w="3260" w:type="dxa"/>
            <w:vAlign w:val="center"/>
          </w:tcPr>
          <w:p>
            <w:pPr>
              <w:spacing w:line="400" w:lineRule="exact"/>
              <w:rPr>
                <w:rFonts w:ascii="仿宋" w:hAnsi="仿宋" w:eastAsia="仿宋" w:cs="Times New Roman"/>
                <w:bCs/>
                <w:sz w:val="24"/>
                <w:szCs w:val="24"/>
              </w:rPr>
            </w:pPr>
            <w:r>
              <w:rPr>
                <w:rFonts w:hint="eastAsia" w:ascii="仿宋" w:hAnsi="仿宋" w:eastAsia="仿宋" w:cs="Times New Roman"/>
                <w:bCs/>
                <w:sz w:val="24"/>
                <w:szCs w:val="24"/>
              </w:rPr>
              <w:t>增强家庭照护者培育力度</w:t>
            </w:r>
          </w:p>
        </w:tc>
        <w:tc>
          <w:tcPr>
            <w:tcW w:w="1276" w:type="dxa"/>
            <w:vAlign w:val="center"/>
          </w:tcPr>
          <w:p>
            <w:pPr>
              <w:spacing w:line="400" w:lineRule="exact"/>
              <w:rPr>
                <w:rFonts w:ascii="仿宋" w:hAnsi="仿宋" w:eastAsia="仿宋"/>
                <w:bCs/>
                <w:spacing w:val="8"/>
                <w:kern w:val="0"/>
                <w:sz w:val="24"/>
                <w:szCs w:val="24"/>
                <w:shd w:val="clear" w:color="auto" w:fill="FFFFFF"/>
              </w:rPr>
            </w:pPr>
            <w:r>
              <w:rPr>
                <w:rFonts w:hint="eastAsia" w:ascii="仿宋" w:hAnsi="仿宋" w:eastAsia="仿宋"/>
                <w:bCs/>
                <w:sz w:val="24"/>
                <w:szCs w:val="24"/>
              </w:rPr>
              <w:t>区民政局</w:t>
            </w:r>
          </w:p>
        </w:tc>
        <w:tc>
          <w:tcPr>
            <w:tcW w:w="3594" w:type="dxa"/>
            <w:vAlign w:val="center"/>
          </w:tcPr>
          <w:p>
            <w:pPr>
              <w:spacing w:line="400" w:lineRule="exact"/>
              <w:rPr>
                <w:rFonts w:ascii="仿宋" w:hAnsi="仿宋" w:eastAsia="仿宋"/>
                <w:bCs/>
                <w:sz w:val="24"/>
                <w:szCs w:val="24"/>
              </w:rPr>
            </w:pPr>
            <w:r>
              <w:rPr>
                <w:rFonts w:hint="eastAsia" w:ascii="仿宋" w:hAnsi="仿宋" w:eastAsia="仿宋"/>
                <w:bCs/>
                <w:spacing w:val="8"/>
                <w:kern w:val="0"/>
                <w:sz w:val="24"/>
                <w:szCs w:val="24"/>
                <w:shd w:val="clear" w:color="auto" w:fill="FFFFFF"/>
              </w:rPr>
              <w:t>区人力社保局</w:t>
            </w:r>
            <w:r>
              <w:rPr>
                <w:rFonts w:hint="eastAsia" w:ascii="仿宋" w:hAnsi="仿宋" w:eastAsia="仿宋"/>
                <w:bCs/>
                <w:sz w:val="24"/>
                <w:szCs w:val="24"/>
              </w:rPr>
              <w:t>、区教委</w:t>
            </w:r>
            <w:r>
              <w:rPr>
                <w:rFonts w:hint="eastAsia" w:ascii="仿宋" w:hAnsi="仿宋" w:eastAsia="仿宋"/>
                <w:bCs/>
                <w:spacing w:val="8"/>
                <w:kern w:val="0"/>
                <w:sz w:val="24"/>
                <w:szCs w:val="24"/>
                <w:shd w:val="clear" w:color="auto" w:fill="FFFFFF"/>
              </w:rPr>
              <w:t>、</w:t>
            </w:r>
            <w:r>
              <w:rPr>
                <w:rFonts w:hint="eastAsia" w:ascii="仿宋" w:hAnsi="仿宋" w:eastAsia="仿宋"/>
                <w:bCs/>
                <w:sz w:val="24"/>
                <w:szCs w:val="24"/>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spacing w:line="400" w:lineRule="exact"/>
              <w:jc w:val="center"/>
              <w:rPr>
                <w:rFonts w:ascii="Times New Roman" w:hAnsi="Times New Roman" w:eastAsia="仿宋" w:cs="Times New Roman"/>
                <w:bCs/>
                <w:sz w:val="24"/>
                <w:szCs w:val="24"/>
              </w:rPr>
            </w:pPr>
            <w:r>
              <w:rPr>
                <w:rFonts w:ascii="Times New Roman" w:hAnsi="Times New Roman" w:eastAsia="仿宋" w:cs="Times New Roman"/>
                <w:bCs/>
                <w:sz w:val="24"/>
                <w:szCs w:val="24"/>
              </w:rPr>
              <w:t>23</w:t>
            </w:r>
          </w:p>
        </w:tc>
        <w:tc>
          <w:tcPr>
            <w:tcW w:w="3260" w:type="dxa"/>
            <w:vAlign w:val="center"/>
          </w:tcPr>
          <w:p>
            <w:pPr>
              <w:spacing w:line="400" w:lineRule="exact"/>
              <w:rPr>
                <w:rFonts w:ascii="仿宋" w:hAnsi="仿宋" w:eastAsia="仿宋" w:cs="Times New Roman"/>
                <w:bCs/>
                <w:sz w:val="24"/>
                <w:szCs w:val="24"/>
              </w:rPr>
            </w:pPr>
            <w:r>
              <w:rPr>
                <w:rFonts w:hint="eastAsia" w:ascii="仿宋" w:hAnsi="仿宋" w:eastAsia="仿宋" w:cs="Times New Roman"/>
                <w:bCs/>
                <w:sz w:val="24"/>
                <w:szCs w:val="24"/>
              </w:rPr>
              <w:t>推进养老服务多业态融合发展</w:t>
            </w:r>
          </w:p>
        </w:tc>
        <w:tc>
          <w:tcPr>
            <w:tcW w:w="1276" w:type="dxa"/>
            <w:vAlign w:val="center"/>
          </w:tcPr>
          <w:p>
            <w:pPr>
              <w:spacing w:line="400" w:lineRule="exact"/>
              <w:rPr>
                <w:rFonts w:ascii="仿宋" w:hAnsi="仿宋" w:eastAsia="仿宋"/>
                <w:bCs/>
                <w:spacing w:val="8"/>
                <w:kern w:val="0"/>
                <w:sz w:val="24"/>
                <w:szCs w:val="24"/>
                <w:shd w:val="clear" w:color="auto" w:fill="FFFFFF"/>
              </w:rPr>
            </w:pPr>
            <w:r>
              <w:rPr>
                <w:rFonts w:ascii="仿宋" w:hAnsi="仿宋" w:eastAsia="仿宋"/>
                <w:sz w:val="24"/>
              </w:rPr>
              <w:t>区民政局</w:t>
            </w:r>
          </w:p>
        </w:tc>
        <w:tc>
          <w:tcPr>
            <w:tcW w:w="3594" w:type="dxa"/>
            <w:vAlign w:val="center"/>
          </w:tcPr>
          <w:p>
            <w:pPr>
              <w:spacing w:line="400" w:lineRule="exact"/>
              <w:rPr>
                <w:rFonts w:ascii="仿宋" w:hAnsi="仿宋" w:eastAsia="仿宋"/>
                <w:bCs/>
                <w:spacing w:val="8"/>
                <w:kern w:val="0"/>
                <w:sz w:val="24"/>
                <w:szCs w:val="24"/>
                <w:shd w:val="clear" w:color="auto" w:fill="FFFFFF"/>
              </w:rPr>
            </w:pPr>
            <w:r>
              <w:rPr>
                <w:rFonts w:ascii="仿宋" w:hAnsi="仿宋" w:eastAsia="仿宋"/>
                <w:sz w:val="24"/>
              </w:rPr>
              <w:t>区发展改革委、区教委、区科技局、区商务委、区文化旅游委、区体育局、各镇街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spacing w:line="400" w:lineRule="exact"/>
              <w:jc w:val="center"/>
              <w:rPr>
                <w:rFonts w:ascii="Times New Roman" w:hAnsi="Times New Roman" w:eastAsia="仿宋" w:cs="Times New Roman"/>
                <w:bCs/>
                <w:sz w:val="24"/>
                <w:szCs w:val="24"/>
              </w:rPr>
            </w:pPr>
            <w:r>
              <w:rPr>
                <w:rFonts w:ascii="Times New Roman" w:hAnsi="Times New Roman" w:eastAsia="仿宋" w:cs="Times New Roman"/>
                <w:bCs/>
                <w:sz w:val="24"/>
                <w:szCs w:val="24"/>
              </w:rPr>
              <w:t>24</w:t>
            </w:r>
          </w:p>
        </w:tc>
        <w:tc>
          <w:tcPr>
            <w:tcW w:w="3260" w:type="dxa"/>
            <w:vAlign w:val="center"/>
          </w:tcPr>
          <w:p>
            <w:pPr>
              <w:spacing w:line="400" w:lineRule="exact"/>
              <w:rPr>
                <w:rFonts w:ascii="仿宋" w:hAnsi="仿宋" w:eastAsia="仿宋" w:cs="Times New Roman"/>
                <w:bCs/>
                <w:sz w:val="24"/>
                <w:szCs w:val="24"/>
              </w:rPr>
            </w:pPr>
            <w:r>
              <w:rPr>
                <w:rFonts w:hint="eastAsia" w:ascii="仿宋" w:hAnsi="仿宋" w:eastAsia="仿宋"/>
                <w:sz w:val="24"/>
              </w:rPr>
              <w:t>营造敬老爱老助老社会环境</w:t>
            </w:r>
          </w:p>
        </w:tc>
        <w:tc>
          <w:tcPr>
            <w:tcW w:w="1276" w:type="dxa"/>
            <w:vAlign w:val="center"/>
          </w:tcPr>
          <w:p>
            <w:pPr>
              <w:spacing w:line="400" w:lineRule="exact"/>
              <w:rPr>
                <w:rFonts w:ascii="仿宋" w:hAnsi="仿宋" w:eastAsia="仿宋"/>
                <w:bCs/>
                <w:spacing w:val="8"/>
                <w:kern w:val="0"/>
                <w:sz w:val="24"/>
                <w:szCs w:val="24"/>
                <w:shd w:val="clear" w:color="auto" w:fill="FFFFFF"/>
              </w:rPr>
            </w:pPr>
            <w:r>
              <w:rPr>
                <w:rFonts w:ascii="仿宋" w:hAnsi="仿宋" w:eastAsia="仿宋"/>
                <w:sz w:val="24"/>
              </w:rPr>
              <w:t>区</w:t>
            </w:r>
            <w:r>
              <w:rPr>
                <w:rFonts w:hint="eastAsia" w:ascii="仿宋" w:hAnsi="仿宋" w:eastAsia="仿宋"/>
                <w:sz w:val="24"/>
              </w:rPr>
              <w:t>民政局</w:t>
            </w:r>
          </w:p>
        </w:tc>
        <w:tc>
          <w:tcPr>
            <w:tcW w:w="3594" w:type="dxa"/>
            <w:vAlign w:val="center"/>
          </w:tcPr>
          <w:p>
            <w:pPr>
              <w:spacing w:line="400" w:lineRule="exact"/>
              <w:rPr>
                <w:rFonts w:ascii="仿宋" w:hAnsi="仿宋" w:eastAsia="仿宋"/>
                <w:bCs/>
                <w:spacing w:val="8"/>
                <w:kern w:val="0"/>
                <w:sz w:val="24"/>
                <w:szCs w:val="24"/>
                <w:shd w:val="clear" w:color="auto" w:fill="FFFFFF"/>
              </w:rPr>
            </w:pPr>
            <w:r>
              <w:rPr>
                <w:rFonts w:hint="eastAsia" w:ascii="仿宋" w:hAnsi="仿宋" w:eastAsia="仿宋"/>
                <w:sz w:val="24"/>
              </w:rPr>
              <w:t>区委宣传部、区住房城乡建委、</w:t>
            </w:r>
            <w:r>
              <w:rPr>
                <w:rFonts w:ascii="仿宋" w:hAnsi="仿宋" w:eastAsia="仿宋"/>
                <w:sz w:val="24"/>
              </w:rPr>
              <w:t>区公安分局、区</w:t>
            </w:r>
            <w:r>
              <w:rPr>
                <w:rFonts w:hint="eastAsia" w:ascii="仿宋" w:hAnsi="仿宋" w:eastAsia="仿宋"/>
                <w:sz w:val="24"/>
              </w:rPr>
              <w:t>市</w:t>
            </w:r>
            <w:r>
              <w:rPr>
                <w:rFonts w:ascii="仿宋" w:hAnsi="仿宋" w:eastAsia="仿宋"/>
                <w:sz w:val="24"/>
              </w:rPr>
              <w:t>场监管局</w:t>
            </w:r>
            <w:r>
              <w:rPr>
                <w:rFonts w:hint="eastAsia" w:ascii="仿宋" w:hAnsi="仿宋" w:eastAsia="仿宋"/>
                <w:sz w:val="24"/>
              </w:rPr>
              <w:t>、</w:t>
            </w:r>
            <w:r>
              <w:rPr>
                <w:rFonts w:ascii="仿宋" w:hAnsi="仿宋" w:eastAsia="仿宋"/>
                <w:sz w:val="24"/>
              </w:rPr>
              <w:t>区文化旅游委、各镇街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spacing w:line="400" w:lineRule="exact"/>
              <w:jc w:val="center"/>
              <w:rPr>
                <w:rFonts w:ascii="Times New Roman" w:hAnsi="Times New Roman" w:eastAsia="仿宋" w:cs="Times New Roman"/>
                <w:bCs/>
                <w:sz w:val="24"/>
                <w:szCs w:val="24"/>
              </w:rPr>
            </w:pPr>
            <w:r>
              <w:rPr>
                <w:rFonts w:ascii="Times New Roman" w:hAnsi="Times New Roman" w:eastAsia="仿宋" w:cs="Times New Roman"/>
                <w:bCs/>
                <w:sz w:val="24"/>
                <w:szCs w:val="24"/>
              </w:rPr>
              <w:t>25</w:t>
            </w:r>
          </w:p>
        </w:tc>
        <w:tc>
          <w:tcPr>
            <w:tcW w:w="3260" w:type="dxa"/>
            <w:vAlign w:val="center"/>
          </w:tcPr>
          <w:p>
            <w:pPr>
              <w:spacing w:line="400" w:lineRule="exact"/>
              <w:rPr>
                <w:rFonts w:ascii="仿宋" w:hAnsi="仿宋" w:eastAsia="仿宋" w:cs="Times New Roman"/>
                <w:bCs/>
                <w:sz w:val="24"/>
                <w:szCs w:val="24"/>
              </w:rPr>
            </w:pPr>
            <w:r>
              <w:rPr>
                <w:rFonts w:hint="eastAsia" w:ascii="仿宋" w:hAnsi="仿宋" w:eastAsia="仿宋" w:cs="Times New Roman"/>
                <w:bCs/>
                <w:sz w:val="24"/>
                <w:szCs w:val="24"/>
              </w:rPr>
              <w:t>完善特殊困难老年人关爱服务体系</w:t>
            </w:r>
          </w:p>
        </w:tc>
        <w:tc>
          <w:tcPr>
            <w:tcW w:w="1276" w:type="dxa"/>
            <w:vAlign w:val="center"/>
          </w:tcPr>
          <w:p>
            <w:pPr>
              <w:spacing w:line="400" w:lineRule="exact"/>
              <w:rPr>
                <w:rFonts w:ascii="仿宋" w:hAnsi="仿宋" w:eastAsia="仿宋"/>
                <w:bCs/>
                <w:spacing w:val="8"/>
                <w:kern w:val="0"/>
                <w:sz w:val="24"/>
                <w:szCs w:val="24"/>
                <w:shd w:val="clear" w:color="auto" w:fill="FFFFFF"/>
              </w:rPr>
            </w:pPr>
            <w:r>
              <w:rPr>
                <w:rFonts w:ascii="仿宋" w:hAnsi="仿宋" w:eastAsia="仿宋"/>
                <w:sz w:val="24"/>
              </w:rPr>
              <w:t>区民政局</w:t>
            </w:r>
          </w:p>
        </w:tc>
        <w:tc>
          <w:tcPr>
            <w:tcW w:w="3594" w:type="dxa"/>
            <w:vAlign w:val="center"/>
          </w:tcPr>
          <w:p>
            <w:pPr>
              <w:spacing w:line="400" w:lineRule="exact"/>
              <w:rPr>
                <w:rFonts w:ascii="仿宋" w:hAnsi="仿宋" w:eastAsia="仿宋"/>
                <w:bCs/>
                <w:spacing w:val="8"/>
                <w:kern w:val="0"/>
                <w:sz w:val="24"/>
                <w:szCs w:val="24"/>
                <w:shd w:val="clear" w:color="auto" w:fill="FFFFFF"/>
              </w:rPr>
            </w:pPr>
            <w:r>
              <w:rPr>
                <w:rFonts w:ascii="仿宋" w:hAnsi="仿宋" w:eastAsia="仿宋"/>
                <w:sz w:val="24"/>
              </w:rPr>
              <w:t>区人力社保局、区卫生健康委、</w:t>
            </w:r>
            <w:r>
              <w:rPr>
                <w:rFonts w:hint="eastAsia" w:ascii="仿宋" w:hAnsi="仿宋" w:eastAsia="仿宋"/>
                <w:sz w:val="24"/>
              </w:rPr>
              <w:t>区住房城乡建委、</w:t>
            </w:r>
            <w:r>
              <w:rPr>
                <w:rFonts w:ascii="仿宋" w:hAnsi="仿宋" w:eastAsia="仿宋"/>
                <w:sz w:val="24"/>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spacing w:line="400" w:lineRule="exact"/>
              <w:jc w:val="center"/>
              <w:rPr>
                <w:rFonts w:ascii="Times New Roman" w:hAnsi="Times New Roman" w:eastAsia="仿宋" w:cs="Times New Roman"/>
                <w:bCs/>
                <w:sz w:val="24"/>
                <w:szCs w:val="24"/>
              </w:rPr>
            </w:pPr>
            <w:r>
              <w:rPr>
                <w:rFonts w:ascii="Times New Roman" w:hAnsi="Times New Roman" w:eastAsia="仿宋" w:cs="Times New Roman"/>
                <w:bCs/>
                <w:sz w:val="24"/>
                <w:szCs w:val="24"/>
              </w:rPr>
              <w:t>26</w:t>
            </w:r>
          </w:p>
        </w:tc>
        <w:tc>
          <w:tcPr>
            <w:tcW w:w="3260" w:type="dxa"/>
            <w:vAlign w:val="center"/>
          </w:tcPr>
          <w:p>
            <w:pPr>
              <w:spacing w:line="400" w:lineRule="exact"/>
              <w:rPr>
                <w:rFonts w:ascii="仿宋" w:hAnsi="仿宋" w:eastAsia="仿宋" w:cs="Times New Roman"/>
                <w:bCs/>
                <w:sz w:val="24"/>
                <w:szCs w:val="24"/>
              </w:rPr>
            </w:pPr>
            <w:r>
              <w:rPr>
                <w:rFonts w:hint="eastAsia" w:ascii="仿宋" w:hAnsi="仿宋" w:eastAsia="仿宋"/>
                <w:sz w:val="24"/>
              </w:rPr>
              <w:t>促进老年人社会参与</w:t>
            </w:r>
          </w:p>
        </w:tc>
        <w:tc>
          <w:tcPr>
            <w:tcW w:w="1276" w:type="dxa"/>
            <w:vAlign w:val="center"/>
          </w:tcPr>
          <w:p>
            <w:pPr>
              <w:spacing w:line="400" w:lineRule="exact"/>
              <w:rPr>
                <w:rFonts w:ascii="仿宋" w:hAnsi="仿宋" w:eastAsia="仿宋"/>
                <w:bCs/>
                <w:spacing w:val="8"/>
                <w:kern w:val="0"/>
                <w:sz w:val="24"/>
                <w:szCs w:val="24"/>
                <w:shd w:val="clear" w:color="auto" w:fill="FFFFFF"/>
              </w:rPr>
            </w:pPr>
            <w:r>
              <w:rPr>
                <w:rFonts w:ascii="仿宋" w:hAnsi="仿宋" w:eastAsia="仿宋"/>
                <w:sz w:val="24"/>
              </w:rPr>
              <w:t>区民政局</w:t>
            </w:r>
          </w:p>
        </w:tc>
        <w:tc>
          <w:tcPr>
            <w:tcW w:w="3594" w:type="dxa"/>
            <w:vAlign w:val="center"/>
          </w:tcPr>
          <w:p>
            <w:pPr>
              <w:spacing w:line="400" w:lineRule="exact"/>
              <w:rPr>
                <w:rFonts w:ascii="仿宋" w:hAnsi="仿宋" w:eastAsia="仿宋"/>
                <w:bCs/>
                <w:spacing w:val="8"/>
                <w:kern w:val="0"/>
                <w:sz w:val="24"/>
                <w:szCs w:val="24"/>
                <w:shd w:val="clear" w:color="auto" w:fill="FFFFFF"/>
              </w:rPr>
            </w:pPr>
            <w:r>
              <w:rPr>
                <w:rFonts w:ascii="仿宋" w:hAnsi="仿宋" w:eastAsia="仿宋"/>
                <w:sz w:val="24"/>
              </w:rPr>
              <w:t>区委组织部、</w:t>
            </w:r>
            <w:r>
              <w:rPr>
                <w:rFonts w:hint="eastAsia" w:ascii="仿宋" w:hAnsi="仿宋" w:eastAsia="仿宋"/>
                <w:sz w:val="24"/>
              </w:rPr>
              <w:t>区政法委、</w:t>
            </w:r>
            <w:r>
              <w:rPr>
                <w:rFonts w:ascii="仿宋" w:hAnsi="仿宋" w:eastAsia="仿宋"/>
                <w:sz w:val="24"/>
              </w:rPr>
              <w:t>区教委、区卫生健康委、各镇街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spacing w:line="400" w:lineRule="exact"/>
              <w:jc w:val="center"/>
              <w:rPr>
                <w:rFonts w:ascii="Times New Roman" w:hAnsi="Times New Roman" w:eastAsia="仿宋" w:cs="Times New Roman"/>
                <w:bCs/>
                <w:sz w:val="24"/>
                <w:szCs w:val="24"/>
              </w:rPr>
            </w:pPr>
            <w:r>
              <w:rPr>
                <w:rFonts w:ascii="Times New Roman" w:hAnsi="Times New Roman" w:eastAsia="仿宋" w:cs="Times New Roman"/>
                <w:bCs/>
                <w:sz w:val="24"/>
                <w:szCs w:val="24"/>
              </w:rPr>
              <w:t>27</w:t>
            </w:r>
          </w:p>
        </w:tc>
        <w:tc>
          <w:tcPr>
            <w:tcW w:w="3260" w:type="dxa"/>
            <w:vAlign w:val="center"/>
          </w:tcPr>
          <w:p>
            <w:pPr>
              <w:spacing w:line="400" w:lineRule="exact"/>
              <w:rPr>
                <w:rFonts w:ascii="仿宋" w:hAnsi="仿宋" w:eastAsia="仿宋" w:cs="Times New Roman"/>
                <w:bCs/>
                <w:sz w:val="24"/>
                <w:szCs w:val="24"/>
              </w:rPr>
            </w:pPr>
            <w:r>
              <w:rPr>
                <w:rFonts w:hint="eastAsia" w:ascii="仿宋" w:hAnsi="仿宋" w:eastAsia="仿宋" w:cs="Times New Roman"/>
                <w:bCs/>
                <w:sz w:val="24"/>
                <w:szCs w:val="24"/>
              </w:rPr>
              <w:t>构建养老服务地方标准体系</w:t>
            </w:r>
          </w:p>
        </w:tc>
        <w:tc>
          <w:tcPr>
            <w:tcW w:w="1276" w:type="dxa"/>
            <w:vAlign w:val="center"/>
          </w:tcPr>
          <w:p>
            <w:pPr>
              <w:spacing w:line="400" w:lineRule="exact"/>
              <w:rPr>
                <w:rFonts w:ascii="仿宋" w:hAnsi="仿宋" w:eastAsia="仿宋"/>
                <w:bCs/>
                <w:spacing w:val="8"/>
                <w:kern w:val="0"/>
                <w:sz w:val="24"/>
                <w:szCs w:val="24"/>
                <w:shd w:val="clear" w:color="auto" w:fill="FFFFFF"/>
              </w:rPr>
            </w:pPr>
            <w:r>
              <w:rPr>
                <w:rFonts w:ascii="仿宋" w:hAnsi="仿宋" w:eastAsia="仿宋"/>
                <w:sz w:val="24"/>
              </w:rPr>
              <w:t>区民政局</w:t>
            </w:r>
          </w:p>
        </w:tc>
        <w:tc>
          <w:tcPr>
            <w:tcW w:w="3594" w:type="dxa"/>
            <w:vAlign w:val="center"/>
          </w:tcPr>
          <w:p>
            <w:pPr>
              <w:spacing w:line="400" w:lineRule="exact"/>
              <w:rPr>
                <w:rFonts w:ascii="仿宋" w:hAnsi="仿宋" w:eastAsia="仿宋"/>
                <w:bCs/>
                <w:spacing w:val="8"/>
                <w:kern w:val="0"/>
                <w:sz w:val="24"/>
                <w:szCs w:val="24"/>
                <w:shd w:val="clear" w:color="auto" w:fill="FFFFFF"/>
              </w:rPr>
            </w:pPr>
            <w:r>
              <w:rPr>
                <w:rFonts w:ascii="仿宋" w:hAnsi="仿宋" w:eastAsia="仿宋"/>
                <w:sz w:val="24"/>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spacing w:line="400" w:lineRule="exact"/>
              <w:jc w:val="center"/>
              <w:rPr>
                <w:rFonts w:ascii="Times New Roman" w:hAnsi="Times New Roman" w:eastAsia="仿宋" w:cs="Times New Roman"/>
                <w:bCs/>
                <w:sz w:val="24"/>
                <w:szCs w:val="24"/>
              </w:rPr>
            </w:pPr>
            <w:r>
              <w:rPr>
                <w:rFonts w:ascii="Times New Roman" w:hAnsi="Times New Roman" w:eastAsia="仿宋" w:cs="Times New Roman"/>
                <w:bCs/>
                <w:sz w:val="24"/>
                <w:szCs w:val="24"/>
              </w:rPr>
              <w:t>28</w:t>
            </w:r>
          </w:p>
        </w:tc>
        <w:tc>
          <w:tcPr>
            <w:tcW w:w="3260" w:type="dxa"/>
            <w:vAlign w:val="center"/>
          </w:tcPr>
          <w:p>
            <w:pPr>
              <w:spacing w:line="400" w:lineRule="exact"/>
              <w:rPr>
                <w:rFonts w:ascii="仿宋" w:hAnsi="仿宋" w:eastAsia="仿宋" w:cs="Times New Roman"/>
                <w:bCs/>
                <w:sz w:val="24"/>
                <w:szCs w:val="24"/>
              </w:rPr>
            </w:pPr>
            <w:r>
              <w:rPr>
                <w:rFonts w:hint="eastAsia" w:ascii="仿宋" w:hAnsi="仿宋" w:eastAsia="仿宋" w:cs="Times New Roman"/>
                <w:bCs/>
                <w:sz w:val="24"/>
                <w:szCs w:val="24"/>
              </w:rPr>
              <w:t>推进“智慧养老”建设</w:t>
            </w:r>
          </w:p>
        </w:tc>
        <w:tc>
          <w:tcPr>
            <w:tcW w:w="1276" w:type="dxa"/>
            <w:vAlign w:val="center"/>
          </w:tcPr>
          <w:p>
            <w:pPr>
              <w:spacing w:line="400" w:lineRule="exact"/>
              <w:rPr>
                <w:rFonts w:ascii="仿宋" w:hAnsi="仿宋" w:eastAsia="仿宋"/>
                <w:bCs/>
                <w:spacing w:val="8"/>
                <w:kern w:val="0"/>
                <w:sz w:val="24"/>
                <w:szCs w:val="24"/>
                <w:shd w:val="clear" w:color="auto" w:fill="FFFFFF"/>
              </w:rPr>
            </w:pPr>
            <w:r>
              <w:rPr>
                <w:rFonts w:ascii="仿宋" w:hAnsi="仿宋" w:eastAsia="仿宋"/>
                <w:sz w:val="24"/>
              </w:rPr>
              <w:t>区民政局</w:t>
            </w:r>
          </w:p>
        </w:tc>
        <w:tc>
          <w:tcPr>
            <w:tcW w:w="3594" w:type="dxa"/>
            <w:vAlign w:val="center"/>
          </w:tcPr>
          <w:p>
            <w:pPr>
              <w:spacing w:line="400" w:lineRule="exact"/>
              <w:rPr>
                <w:rFonts w:ascii="仿宋" w:hAnsi="仿宋" w:eastAsia="仿宋"/>
                <w:bCs/>
                <w:spacing w:val="8"/>
                <w:kern w:val="0"/>
                <w:sz w:val="24"/>
                <w:szCs w:val="24"/>
                <w:shd w:val="clear" w:color="auto" w:fill="FFFFFF"/>
              </w:rPr>
            </w:pPr>
            <w:r>
              <w:rPr>
                <w:rFonts w:ascii="仿宋" w:hAnsi="仿宋" w:eastAsia="仿宋"/>
                <w:sz w:val="24"/>
              </w:rPr>
              <w:t>区经济信息委、各镇街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spacing w:line="400" w:lineRule="exact"/>
              <w:jc w:val="center"/>
              <w:rPr>
                <w:rFonts w:ascii="Times New Roman" w:hAnsi="Times New Roman" w:eastAsia="仿宋" w:cs="Times New Roman"/>
                <w:bCs/>
                <w:sz w:val="24"/>
                <w:szCs w:val="24"/>
              </w:rPr>
            </w:pPr>
            <w:r>
              <w:rPr>
                <w:rFonts w:ascii="Times New Roman" w:hAnsi="Times New Roman" w:eastAsia="仿宋" w:cs="Times New Roman"/>
                <w:bCs/>
                <w:sz w:val="24"/>
                <w:szCs w:val="24"/>
              </w:rPr>
              <w:t>29</w:t>
            </w:r>
          </w:p>
        </w:tc>
        <w:tc>
          <w:tcPr>
            <w:tcW w:w="3260" w:type="dxa"/>
            <w:vAlign w:val="center"/>
          </w:tcPr>
          <w:p>
            <w:pPr>
              <w:spacing w:line="400" w:lineRule="exact"/>
              <w:rPr>
                <w:rFonts w:ascii="仿宋" w:hAnsi="仿宋" w:eastAsia="仿宋" w:cs="Times New Roman"/>
                <w:bCs/>
                <w:sz w:val="24"/>
                <w:szCs w:val="24"/>
              </w:rPr>
            </w:pPr>
            <w:r>
              <w:rPr>
                <w:rFonts w:hint="eastAsia" w:ascii="仿宋" w:hAnsi="仿宋" w:eastAsia="仿宋" w:cs="Times New Roman"/>
                <w:bCs/>
                <w:sz w:val="24"/>
                <w:szCs w:val="24"/>
              </w:rPr>
              <w:t>健全养老服务综合监管机制</w:t>
            </w:r>
          </w:p>
        </w:tc>
        <w:tc>
          <w:tcPr>
            <w:tcW w:w="1276" w:type="dxa"/>
            <w:vAlign w:val="center"/>
          </w:tcPr>
          <w:p>
            <w:pPr>
              <w:spacing w:line="400" w:lineRule="exact"/>
              <w:rPr>
                <w:rFonts w:ascii="仿宋" w:hAnsi="仿宋" w:eastAsia="仿宋"/>
                <w:bCs/>
                <w:spacing w:val="8"/>
                <w:kern w:val="0"/>
                <w:sz w:val="24"/>
                <w:szCs w:val="24"/>
                <w:shd w:val="clear" w:color="auto" w:fill="FFFFFF"/>
              </w:rPr>
            </w:pPr>
            <w:r>
              <w:rPr>
                <w:rFonts w:hint="eastAsia" w:ascii="仿宋" w:hAnsi="仿宋" w:eastAsia="仿宋"/>
                <w:bCs/>
                <w:sz w:val="24"/>
                <w:szCs w:val="24"/>
              </w:rPr>
              <w:t>区民政局</w:t>
            </w:r>
          </w:p>
        </w:tc>
        <w:tc>
          <w:tcPr>
            <w:tcW w:w="3594" w:type="dxa"/>
            <w:vAlign w:val="center"/>
          </w:tcPr>
          <w:p>
            <w:pPr>
              <w:spacing w:line="400" w:lineRule="exact"/>
              <w:rPr>
                <w:rFonts w:ascii="仿宋" w:hAnsi="仿宋" w:eastAsia="仿宋"/>
                <w:bCs/>
                <w:spacing w:val="8"/>
                <w:kern w:val="0"/>
                <w:sz w:val="24"/>
                <w:szCs w:val="24"/>
                <w:shd w:val="clear" w:color="auto" w:fill="FFFFFF"/>
              </w:rPr>
            </w:pPr>
            <w:r>
              <w:rPr>
                <w:rFonts w:hint="eastAsia" w:ascii="仿宋" w:hAnsi="仿宋" w:eastAsia="仿宋"/>
                <w:bCs/>
                <w:sz w:val="24"/>
                <w:szCs w:val="24"/>
              </w:rPr>
              <w:t>区财政局、区住房城乡建委、区公安分局、区卫生健康委、区应急局、区市场监管局、区消防救援支队、各镇街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spacing w:line="400" w:lineRule="exact"/>
              <w:jc w:val="center"/>
              <w:rPr>
                <w:rFonts w:ascii="Times New Roman" w:hAnsi="Times New Roman" w:eastAsia="仿宋" w:cs="Times New Roman"/>
                <w:bCs/>
                <w:sz w:val="24"/>
                <w:szCs w:val="24"/>
              </w:rPr>
            </w:pPr>
            <w:r>
              <w:rPr>
                <w:rFonts w:ascii="Times New Roman" w:hAnsi="Times New Roman" w:eastAsia="仿宋" w:cs="Times New Roman"/>
                <w:bCs/>
                <w:sz w:val="24"/>
                <w:szCs w:val="24"/>
              </w:rPr>
              <w:t>30</w:t>
            </w:r>
          </w:p>
        </w:tc>
        <w:tc>
          <w:tcPr>
            <w:tcW w:w="3260" w:type="dxa"/>
            <w:vAlign w:val="center"/>
          </w:tcPr>
          <w:p>
            <w:pPr>
              <w:spacing w:line="400" w:lineRule="exact"/>
              <w:rPr>
                <w:rFonts w:ascii="仿宋" w:hAnsi="仿宋" w:eastAsia="仿宋" w:cs="Times New Roman"/>
                <w:bCs/>
                <w:sz w:val="24"/>
                <w:szCs w:val="24"/>
              </w:rPr>
            </w:pPr>
            <w:r>
              <w:rPr>
                <w:rFonts w:hint="eastAsia" w:ascii="仿宋" w:hAnsi="仿宋" w:eastAsia="仿宋" w:cs="Times New Roman"/>
                <w:bCs/>
                <w:sz w:val="24"/>
                <w:szCs w:val="24"/>
              </w:rPr>
              <w:t>健全养老服务领域应急保障体系</w:t>
            </w:r>
          </w:p>
        </w:tc>
        <w:tc>
          <w:tcPr>
            <w:tcW w:w="1276" w:type="dxa"/>
            <w:vAlign w:val="center"/>
          </w:tcPr>
          <w:p>
            <w:pPr>
              <w:spacing w:line="400" w:lineRule="exact"/>
              <w:rPr>
                <w:rFonts w:ascii="仿宋" w:hAnsi="仿宋" w:eastAsia="仿宋"/>
                <w:bCs/>
                <w:spacing w:val="8"/>
                <w:kern w:val="0"/>
                <w:sz w:val="24"/>
                <w:szCs w:val="24"/>
                <w:shd w:val="clear" w:color="auto" w:fill="FFFFFF"/>
              </w:rPr>
            </w:pPr>
            <w:r>
              <w:rPr>
                <w:rFonts w:ascii="仿宋" w:hAnsi="仿宋" w:eastAsia="仿宋"/>
                <w:sz w:val="24"/>
              </w:rPr>
              <w:t>区民政局</w:t>
            </w:r>
          </w:p>
        </w:tc>
        <w:tc>
          <w:tcPr>
            <w:tcW w:w="3594" w:type="dxa"/>
            <w:vAlign w:val="center"/>
          </w:tcPr>
          <w:p>
            <w:pPr>
              <w:spacing w:line="400" w:lineRule="exact"/>
              <w:rPr>
                <w:rFonts w:ascii="仿宋" w:hAnsi="仿宋" w:eastAsia="仿宋"/>
                <w:bCs/>
                <w:spacing w:val="8"/>
                <w:kern w:val="0"/>
                <w:sz w:val="24"/>
                <w:szCs w:val="24"/>
                <w:shd w:val="clear" w:color="auto" w:fill="FFFFFF"/>
              </w:rPr>
            </w:pPr>
            <w:r>
              <w:rPr>
                <w:rFonts w:hint="eastAsia" w:ascii="仿宋" w:hAnsi="仿宋" w:eastAsia="仿宋"/>
                <w:sz w:val="24"/>
              </w:rPr>
              <w:t>区财政局、</w:t>
            </w:r>
            <w:r>
              <w:rPr>
                <w:rFonts w:ascii="仿宋" w:hAnsi="仿宋" w:eastAsia="仿宋"/>
                <w:sz w:val="24"/>
              </w:rPr>
              <w:t>区住房城乡建委、区卫生健康委、区应急局、区公安分局、区市场监管局、区消防救援支队、各镇街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spacing w:line="400" w:lineRule="exact"/>
              <w:jc w:val="center"/>
              <w:rPr>
                <w:rFonts w:ascii="Times New Roman" w:hAnsi="Times New Roman" w:eastAsia="仿宋" w:cs="Times New Roman"/>
                <w:bCs/>
                <w:sz w:val="24"/>
                <w:szCs w:val="24"/>
              </w:rPr>
            </w:pPr>
            <w:r>
              <w:rPr>
                <w:rFonts w:ascii="Times New Roman" w:hAnsi="Times New Roman" w:eastAsia="仿宋" w:cs="Times New Roman"/>
                <w:bCs/>
                <w:sz w:val="24"/>
                <w:szCs w:val="24"/>
              </w:rPr>
              <w:t>31</w:t>
            </w:r>
          </w:p>
        </w:tc>
        <w:tc>
          <w:tcPr>
            <w:tcW w:w="3260" w:type="dxa"/>
            <w:vAlign w:val="center"/>
          </w:tcPr>
          <w:p>
            <w:pPr>
              <w:spacing w:line="400" w:lineRule="exact"/>
              <w:rPr>
                <w:rFonts w:ascii="仿宋" w:hAnsi="仿宋" w:eastAsia="仿宋" w:cs="Times New Roman"/>
                <w:bCs/>
                <w:sz w:val="24"/>
                <w:szCs w:val="24"/>
              </w:rPr>
            </w:pPr>
            <w:r>
              <w:rPr>
                <w:rFonts w:hint="eastAsia" w:ascii="仿宋" w:hAnsi="仿宋" w:eastAsia="仿宋" w:cs="Times New Roman"/>
                <w:bCs/>
                <w:sz w:val="24"/>
                <w:szCs w:val="24"/>
              </w:rPr>
              <w:t>推进成渝地区养老事业协同发展</w:t>
            </w:r>
          </w:p>
        </w:tc>
        <w:tc>
          <w:tcPr>
            <w:tcW w:w="1276" w:type="dxa"/>
            <w:vAlign w:val="center"/>
          </w:tcPr>
          <w:p>
            <w:pPr>
              <w:spacing w:line="400" w:lineRule="exact"/>
              <w:rPr>
                <w:rFonts w:ascii="仿宋" w:hAnsi="仿宋" w:eastAsia="仿宋"/>
                <w:bCs/>
                <w:spacing w:val="8"/>
                <w:kern w:val="0"/>
                <w:sz w:val="24"/>
                <w:szCs w:val="24"/>
                <w:shd w:val="clear" w:color="auto" w:fill="FFFFFF"/>
              </w:rPr>
            </w:pPr>
            <w:r>
              <w:rPr>
                <w:rFonts w:ascii="仿宋" w:hAnsi="仿宋" w:eastAsia="仿宋"/>
                <w:sz w:val="24"/>
              </w:rPr>
              <w:t>区民政局</w:t>
            </w:r>
          </w:p>
        </w:tc>
        <w:tc>
          <w:tcPr>
            <w:tcW w:w="3594" w:type="dxa"/>
            <w:vAlign w:val="center"/>
          </w:tcPr>
          <w:p>
            <w:pPr>
              <w:spacing w:line="400" w:lineRule="exact"/>
              <w:rPr>
                <w:rFonts w:ascii="仿宋" w:hAnsi="仿宋" w:eastAsia="仿宋"/>
                <w:bCs/>
                <w:spacing w:val="8"/>
                <w:kern w:val="0"/>
                <w:sz w:val="24"/>
                <w:szCs w:val="24"/>
                <w:shd w:val="clear" w:color="auto" w:fill="FFFFFF"/>
              </w:rPr>
            </w:pPr>
            <w:r>
              <w:rPr>
                <w:rFonts w:hint="eastAsia" w:ascii="仿宋" w:hAnsi="仿宋" w:eastAsia="仿宋"/>
                <w:bCs/>
                <w:spacing w:val="8"/>
                <w:kern w:val="0"/>
                <w:sz w:val="24"/>
                <w:szCs w:val="24"/>
                <w:shd w:val="clear" w:color="auto" w:fill="FFFFFF"/>
              </w:rPr>
              <w:t>区发展改革委、区财政局、区规划和自然资源局、区住房城乡建委、区卫生健康委、区医保局、区人力社保局、区经济信息委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spacing w:line="400" w:lineRule="exact"/>
              <w:jc w:val="center"/>
              <w:rPr>
                <w:rFonts w:ascii="Times New Roman" w:hAnsi="Times New Roman" w:eastAsia="仿宋" w:cs="Times New Roman"/>
                <w:bCs/>
                <w:sz w:val="24"/>
                <w:szCs w:val="24"/>
              </w:rPr>
            </w:pPr>
            <w:r>
              <w:rPr>
                <w:rFonts w:ascii="Times New Roman" w:hAnsi="Times New Roman" w:eastAsia="仿宋" w:cs="Times New Roman"/>
                <w:bCs/>
                <w:sz w:val="24"/>
                <w:szCs w:val="24"/>
              </w:rPr>
              <w:t>32</w:t>
            </w:r>
          </w:p>
        </w:tc>
        <w:tc>
          <w:tcPr>
            <w:tcW w:w="3260" w:type="dxa"/>
            <w:vAlign w:val="center"/>
          </w:tcPr>
          <w:p>
            <w:pPr>
              <w:spacing w:line="400" w:lineRule="exact"/>
              <w:rPr>
                <w:rFonts w:ascii="仿宋" w:hAnsi="仿宋" w:eastAsia="仿宋" w:cs="Times New Roman"/>
                <w:bCs/>
                <w:sz w:val="24"/>
                <w:szCs w:val="24"/>
              </w:rPr>
            </w:pPr>
            <w:r>
              <w:rPr>
                <w:rFonts w:hint="eastAsia" w:ascii="仿宋" w:hAnsi="仿宋" w:eastAsia="仿宋"/>
                <w:sz w:val="24"/>
              </w:rPr>
              <w:t>加强组织领导</w:t>
            </w:r>
          </w:p>
        </w:tc>
        <w:tc>
          <w:tcPr>
            <w:tcW w:w="1276" w:type="dxa"/>
            <w:vAlign w:val="center"/>
          </w:tcPr>
          <w:p>
            <w:pPr>
              <w:spacing w:line="400" w:lineRule="exact"/>
              <w:rPr>
                <w:rFonts w:ascii="仿宋" w:hAnsi="仿宋" w:eastAsia="仿宋"/>
                <w:bCs/>
                <w:spacing w:val="8"/>
                <w:kern w:val="0"/>
                <w:sz w:val="24"/>
                <w:szCs w:val="24"/>
                <w:shd w:val="clear" w:color="auto" w:fill="FFFFFF"/>
              </w:rPr>
            </w:pPr>
            <w:r>
              <w:rPr>
                <w:rFonts w:ascii="仿宋" w:hAnsi="仿宋" w:eastAsia="仿宋"/>
                <w:sz w:val="24"/>
              </w:rPr>
              <w:t>区民政局</w:t>
            </w:r>
          </w:p>
        </w:tc>
        <w:tc>
          <w:tcPr>
            <w:tcW w:w="3594" w:type="dxa"/>
            <w:vAlign w:val="center"/>
          </w:tcPr>
          <w:p>
            <w:pPr>
              <w:spacing w:line="400" w:lineRule="exact"/>
              <w:rPr>
                <w:rFonts w:ascii="仿宋" w:hAnsi="仿宋" w:eastAsia="仿宋"/>
                <w:bCs/>
                <w:spacing w:val="8"/>
                <w:kern w:val="0"/>
                <w:sz w:val="24"/>
                <w:szCs w:val="24"/>
                <w:shd w:val="clear" w:color="auto" w:fill="FFFFFF"/>
              </w:rPr>
            </w:pPr>
            <w:r>
              <w:rPr>
                <w:rFonts w:ascii="仿宋" w:hAnsi="仿宋" w:eastAsia="仿宋"/>
                <w:sz w:val="24"/>
              </w:rPr>
              <w:t>区委组织部、区委编办、区发展改革委、区教委、区科技局、区经济信息委</w:t>
            </w:r>
            <w:r>
              <w:rPr>
                <w:rFonts w:hint="eastAsia" w:ascii="仿宋" w:hAnsi="仿宋" w:eastAsia="仿宋"/>
                <w:sz w:val="24"/>
              </w:rPr>
              <w:t>、</w:t>
            </w:r>
            <w:r>
              <w:rPr>
                <w:rFonts w:ascii="仿宋" w:hAnsi="仿宋" w:eastAsia="仿宋"/>
                <w:sz w:val="24"/>
              </w:rPr>
              <w:t>区财政局、区人力社保局、区规划</w:t>
            </w:r>
            <w:r>
              <w:rPr>
                <w:rFonts w:hint="eastAsia" w:ascii="仿宋" w:hAnsi="仿宋" w:eastAsia="仿宋"/>
                <w:sz w:val="24"/>
              </w:rPr>
              <w:t>和</w:t>
            </w:r>
            <w:r>
              <w:rPr>
                <w:rFonts w:ascii="仿宋" w:hAnsi="仿宋" w:eastAsia="仿宋"/>
                <w:sz w:val="24"/>
              </w:rPr>
              <w:t>自然资源局、区生态环境局、区住房城乡建委、区文化旅游委、区卫生健康委、区应急局、区消防救援支队、区国资委、区市场监管局、区</w:t>
            </w:r>
            <w:r>
              <w:rPr>
                <w:rFonts w:hint="eastAsia" w:ascii="仿宋" w:hAnsi="仿宋" w:eastAsia="仿宋"/>
                <w:sz w:val="24"/>
              </w:rPr>
              <w:t>农业农村</w:t>
            </w:r>
            <w:r>
              <w:rPr>
                <w:rFonts w:ascii="仿宋" w:hAnsi="仿宋" w:eastAsia="仿宋"/>
                <w:sz w:val="24"/>
              </w:rPr>
              <w:t>委、区医保局、区公安分局、团区委、区残联、区红十字会、区税务局、各镇街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spacing w:line="400" w:lineRule="exact"/>
              <w:jc w:val="center"/>
              <w:rPr>
                <w:rFonts w:ascii="Times New Roman" w:hAnsi="Times New Roman" w:eastAsia="仿宋" w:cs="Times New Roman"/>
                <w:bCs/>
                <w:sz w:val="24"/>
                <w:szCs w:val="24"/>
              </w:rPr>
            </w:pPr>
            <w:r>
              <w:rPr>
                <w:rFonts w:ascii="Times New Roman" w:hAnsi="Times New Roman" w:eastAsia="仿宋" w:cs="Times New Roman"/>
                <w:bCs/>
                <w:sz w:val="24"/>
                <w:szCs w:val="24"/>
              </w:rPr>
              <w:t>33</w:t>
            </w:r>
          </w:p>
        </w:tc>
        <w:tc>
          <w:tcPr>
            <w:tcW w:w="3260" w:type="dxa"/>
            <w:vAlign w:val="center"/>
          </w:tcPr>
          <w:p>
            <w:pPr>
              <w:spacing w:line="400" w:lineRule="exact"/>
              <w:rPr>
                <w:rFonts w:ascii="仿宋" w:hAnsi="仿宋" w:eastAsia="仿宋" w:cs="Times New Roman"/>
                <w:bCs/>
                <w:sz w:val="24"/>
                <w:szCs w:val="24"/>
              </w:rPr>
            </w:pPr>
            <w:r>
              <w:rPr>
                <w:rFonts w:hint="eastAsia" w:ascii="仿宋" w:hAnsi="仿宋" w:eastAsia="仿宋"/>
                <w:sz w:val="24"/>
              </w:rPr>
              <w:t>强化设施保障</w:t>
            </w:r>
          </w:p>
        </w:tc>
        <w:tc>
          <w:tcPr>
            <w:tcW w:w="1276" w:type="dxa"/>
            <w:vAlign w:val="center"/>
          </w:tcPr>
          <w:p>
            <w:pPr>
              <w:spacing w:line="400" w:lineRule="exact"/>
              <w:rPr>
                <w:rFonts w:ascii="仿宋" w:hAnsi="仿宋" w:eastAsia="仿宋"/>
                <w:bCs/>
                <w:spacing w:val="8"/>
                <w:kern w:val="0"/>
                <w:sz w:val="24"/>
                <w:szCs w:val="24"/>
                <w:shd w:val="clear" w:color="auto" w:fill="FFFFFF"/>
              </w:rPr>
            </w:pPr>
            <w:r>
              <w:rPr>
                <w:rFonts w:ascii="仿宋" w:hAnsi="仿宋" w:eastAsia="仿宋"/>
                <w:sz w:val="24"/>
              </w:rPr>
              <w:t>区民政局</w:t>
            </w:r>
          </w:p>
        </w:tc>
        <w:tc>
          <w:tcPr>
            <w:tcW w:w="3594" w:type="dxa"/>
            <w:vAlign w:val="center"/>
          </w:tcPr>
          <w:p>
            <w:pPr>
              <w:spacing w:line="400" w:lineRule="exact"/>
              <w:rPr>
                <w:rFonts w:ascii="仿宋" w:hAnsi="仿宋" w:eastAsia="仿宋"/>
                <w:bCs/>
                <w:spacing w:val="8"/>
                <w:kern w:val="0"/>
                <w:sz w:val="24"/>
                <w:szCs w:val="24"/>
                <w:shd w:val="clear" w:color="auto" w:fill="FFFFFF"/>
              </w:rPr>
            </w:pPr>
            <w:r>
              <w:rPr>
                <w:rFonts w:ascii="仿宋" w:hAnsi="仿宋" w:eastAsia="仿宋"/>
                <w:sz w:val="24"/>
              </w:rPr>
              <w:t>区规划</w:t>
            </w:r>
            <w:r>
              <w:rPr>
                <w:rFonts w:hint="eastAsia" w:ascii="仿宋" w:hAnsi="仿宋" w:eastAsia="仿宋"/>
                <w:sz w:val="24"/>
              </w:rPr>
              <w:t>和</w:t>
            </w:r>
            <w:r>
              <w:rPr>
                <w:rFonts w:ascii="仿宋" w:hAnsi="仿宋" w:eastAsia="仿宋"/>
                <w:sz w:val="24"/>
              </w:rPr>
              <w:t>自然资源局、区住房城乡建委、区国资委、各镇街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spacing w:line="400" w:lineRule="exact"/>
              <w:jc w:val="center"/>
              <w:rPr>
                <w:rFonts w:ascii="Times New Roman" w:hAnsi="Times New Roman" w:eastAsia="仿宋" w:cs="Times New Roman"/>
                <w:bCs/>
                <w:sz w:val="24"/>
                <w:szCs w:val="24"/>
              </w:rPr>
            </w:pPr>
            <w:r>
              <w:rPr>
                <w:rFonts w:ascii="Times New Roman" w:hAnsi="Times New Roman" w:eastAsia="仿宋" w:cs="Times New Roman"/>
                <w:bCs/>
                <w:sz w:val="24"/>
                <w:szCs w:val="24"/>
              </w:rPr>
              <w:t>34</w:t>
            </w:r>
          </w:p>
        </w:tc>
        <w:tc>
          <w:tcPr>
            <w:tcW w:w="3260" w:type="dxa"/>
            <w:vAlign w:val="center"/>
          </w:tcPr>
          <w:p>
            <w:pPr>
              <w:spacing w:line="400" w:lineRule="exact"/>
              <w:rPr>
                <w:rFonts w:ascii="仿宋" w:hAnsi="仿宋" w:eastAsia="仿宋" w:cs="Times New Roman"/>
                <w:bCs/>
                <w:sz w:val="24"/>
                <w:szCs w:val="24"/>
              </w:rPr>
            </w:pPr>
            <w:r>
              <w:rPr>
                <w:rFonts w:hint="eastAsia" w:ascii="仿宋" w:hAnsi="仿宋" w:eastAsia="仿宋"/>
                <w:sz w:val="24"/>
              </w:rPr>
              <w:t>统筹资金投入</w:t>
            </w:r>
          </w:p>
        </w:tc>
        <w:tc>
          <w:tcPr>
            <w:tcW w:w="1276" w:type="dxa"/>
            <w:vAlign w:val="center"/>
          </w:tcPr>
          <w:p>
            <w:pPr>
              <w:spacing w:line="400" w:lineRule="exact"/>
              <w:rPr>
                <w:rFonts w:ascii="仿宋" w:hAnsi="仿宋" w:eastAsia="仿宋"/>
                <w:bCs/>
                <w:spacing w:val="8"/>
                <w:kern w:val="0"/>
                <w:sz w:val="24"/>
                <w:szCs w:val="24"/>
                <w:shd w:val="clear" w:color="auto" w:fill="FFFFFF"/>
              </w:rPr>
            </w:pPr>
            <w:r>
              <w:rPr>
                <w:rFonts w:ascii="仿宋" w:hAnsi="仿宋" w:eastAsia="仿宋"/>
                <w:sz w:val="24"/>
              </w:rPr>
              <w:t>区财政局</w:t>
            </w:r>
          </w:p>
        </w:tc>
        <w:tc>
          <w:tcPr>
            <w:tcW w:w="3594" w:type="dxa"/>
            <w:vAlign w:val="center"/>
          </w:tcPr>
          <w:p>
            <w:pPr>
              <w:spacing w:line="400" w:lineRule="exact"/>
              <w:rPr>
                <w:rFonts w:ascii="仿宋" w:hAnsi="仿宋" w:eastAsia="仿宋"/>
                <w:bCs/>
                <w:spacing w:val="8"/>
                <w:kern w:val="0"/>
                <w:sz w:val="24"/>
                <w:szCs w:val="24"/>
                <w:shd w:val="clear" w:color="auto" w:fill="FFFFFF"/>
              </w:rPr>
            </w:pPr>
            <w:r>
              <w:rPr>
                <w:rFonts w:ascii="仿宋" w:hAnsi="仿宋" w:eastAsia="仿宋"/>
                <w:sz w:val="24"/>
              </w:rPr>
              <w:t>区民政局、区残联、各镇街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spacing w:line="400" w:lineRule="exact"/>
              <w:jc w:val="center"/>
              <w:rPr>
                <w:rFonts w:ascii="Times New Roman" w:hAnsi="Times New Roman" w:eastAsia="仿宋" w:cs="Times New Roman"/>
                <w:bCs/>
                <w:sz w:val="24"/>
                <w:szCs w:val="24"/>
              </w:rPr>
            </w:pPr>
            <w:r>
              <w:rPr>
                <w:rFonts w:ascii="Times New Roman" w:hAnsi="Times New Roman" w:eastAsia="仿宋" w:cs="Times New Roman"/>
                <w:bCs/>
                <w:sz w:val="24"/>
                <w:szCs w:val="24"/>
              </w:rPr>
              <w:t>35</w:t>
            </w:r>
          </w:p>
        </w:tc>
        <w:tc>
          <w:tcPr>
            <w:tcW w:w="3260" w:type="dxa"/>
            <w:vAlign w:val="center"/>
          </w:tcPr>
          <w:p>
            <w:pPr>
              <w:spacing w:line="400" w:lineRule="exact"/>
              <w:rPr>
                <w:rFonts w:ascii="仿宋" w:hAnsi="仿宋" w:eastAsia="仿宋" w:cs="Times New Roman"/>
                <w:bCs/>
                <w:sz w:val="24"/>
                <w:szCs w:val="24"/>
              </w:rPr>
            </w:pPr>
            <w:r>
              <w:rPr>
                <w:rFonts w:hint="eastAsia" w:ascii="仿宋" w:hAnsi="仿宋" w:eastAsia="仿宋"/>
                <w:sz w:val="24"/>
              </w:rPr>
              <w:t>加大社会宣传</w:t>
            </w:r>
          </w:p>
        </w:tc>
        <w:tc>
          <w:tcPr>
            <w:tcW w:w="1276" w:type="dxa"/>
            <w:vAlign w:val="center"/>
          </w:tcPr>
          <w:p>
            <w:pPr>
              <w:spacing w:line="400" w:lineRule="exact"/>
              <w:rPr>
                <w:rFonts w:ascii="仿宋" w:hAnsi="仿宋" w:eastAsia="仿宋"/>
                <w:bCs/>
                <w:spacing w:val="8"/>
                <w:kern w:val="0"/>
                <w:sz w:val="24"/>
                <w:szCs w:val="24"/>
                <w:shd w:val="clear" w:color="auto" w:fill="FFFFFF"/>
              </w:rPr>
            </w:pPr>
            <w:r>
              <w:rPr>
                <w:rFonts w:ascii="仿宋" w:hAnsi="仿宋" w:eastAsia="仿宋"/>
                <w:sz w:val="24"/>
              </w:rPr>
              <w:t>区民政局</w:t>
            </w:r>
          </w:p>
        </w:tc>
        <w:tc>
          <w:tcPr>
            <w:tcW w:w="3594" w:type="dxa"/>
            <w:vAlign w:val="center"/>
          </w:tcPr>
          <w:p>
            <w:pPr>
              <w:spacing w:line="400" w:lineRule="exact"/>
              <w:rPr>
                <w:rFonts w:ascii="仿宋" w:hAnsi="仿宋" w:eastAsia="仿宋"/>
                <w:bCs/>
                <w:spacing w:val="8"/>
                <w:kern w:val="0"/>
                <w:sz w:val="24"/>
                <w:szCs w:val="24"/>
                <w:shd w:val="clear" w:color="auto" w:fill="FFFFFF"/>
              </w:rPr>
            </w:pPr>
            <w:r>
              <w:rPr>
                <w:rFonts w:hint="eastAsia" w:ascii="仿宋" w:hAnsi="仿宋" w:eastAsia="仿宋"/>
                <w:sz w:val="24"/>
              </w:rPr>
              <w:t>区委宣传部、</w:t>
            </w:r>
            <w:r>
              <w:rPr>
                <w:rFonts w:ascii="仿宋" w:hAnsi="仿宋" w:eastAsia="仿宋"/>
                <w:sz w:val="24"/>
              </w:rPr>
              <w:t>各镇街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4" w:type="dxa"/>
            <w:vAlign w:val="center"/>
          </w:tcPr>
          <w:p>
            <w:pPr>
              <w:spacing w:line="400" w:lineRule="exact"/>
              <w:jc w:val="center"/>
              <w:rPr>
                <w:rFonts w:ascii="Times New Roman" w:hAnsi="Times New Roman" w:eastAsia="仿宋" w:cs="Times New Roman"/>
                <w:bCs/>
                <w:sz w:val="24"/>
                <w:szCs w:val="24"/>
              </w:rPr>
            </w:pPr>
            <w:r>
              <w:rPr>
                <w:rFonts w:ascii="Times New Roman" w:hAnsi="Times New Roman" w:eastAsia="仿宋" w:cs="Times New Roman"/>
                <w:bCs/>
                <w:sz w:val="24"/>
                <w:szCs w:val="24"/>
              </w:rPr>
              <w:t>36</w:t>
            </w:r>
          </w:p>
        </w:tc>
        <w:tc>
          <w:tcPr>
            <w:tcW w:w="3260" w:type="dxa"/>
            <w:vAlign w:val="center"/>
          </w:tcPr>
          <w:p>
            <w:pPr>
              <w:spacing w:line="400" w:lineRule="exact"/>
              <w:rPr>
                <w:rFonts w:ascii="仿宋" w:hAnsi="仿宋" w:eastAsia="仿宋" w:cs="Times New Roman"/>
                <w:bCs/>
                <w:sz w:val="24"/>
                <w:szCs w:val="24"/>
              </w:rPr>
            </w:pPr>
            <w:r>
              <w:rPr>
                <w:rFonts w:hint="eastAsia" w:ascii="仿宋" w:hAnsi="仿宋" w:eastAsia="仿宋"/>
                <w:sz w:val="24"/>
              </w:rPr>
              <w:t>健全监测评估</w:t>
            </w:r>
          </w:p>
        </w:tc>
        <w:tc>
          <w:tcPr>
            <w:tcW w:w="1276" w:type="dxa"/>
            <w:vAlign w:val="center"/>
          </w:tcPr>
          <w:p>
            <w:pPr>
              <w:spacing w:line="400" w:lineRule="exact"/>
              <w:rPr>
                <w:rFonts w:ascii="仿宋" w:hAnsi="仿宋" w:eastAsia="仿宋"/>
                <w:bCs/>
                <w:spacing w:val="8"/>
                <w:kern w:val="0"/>
                <w:sz w:val="24"/>
                <w:szCs w:val="24"/>
                <w:shd w:val="clear" w:color="auto" w:fill="FFFFFF"/>
              </w:rPr>
            </w:pPr>
            <w:r>
              <w:rPr>
                <w:rFonts w:ascii="仿宋" w:hAnsi="仿宋" w:eastAsia="仿宋"/>
                <w:sz w:val="24"/>
              </w:rPr>
              <w:t>区民政局</w:t>
            </w:r>
          </w:p>
        </w:tc>
        <w:tc>
          <w:tcPr>
            <w:tcW w:w="3594" w:type="dxa"/>
            <w:vAlign w:val="center"/>
          </w:tcPr>
          <w:p>
            <w:pPr>
              <w:spacing w:line="400" w:lineRule="exact"/>
              <w:rPr>
                <w:rFonts w:ascii="仿宋" w:hAnsi="仿宋" w:eastAsia="仿宋"/>
                <w:bCs/>
                <w:spacing w:val="8"/>
                <w:kern w:val="0"/>
                <w:sz w:val="24"/>
                <w:szCs w:val="24"/>
                <w:shd w:val="clear" w:color="auto" w:fill="FFFFFF"/>
              </w:rPr>
            </w:pPr>
            <w:r>
              <w:rPr>
                <w:rFonts w:ascii="仿宋" w:hAnsi="仿宋" w:eastAsia="仿宋"/>
                <w:sz w:val="24"/>
              </w:rPr>
              <w:t>区政府督查办、区发展改革委、区教委、区科技局、区经济信息委、区财政局、区人力社保局、区规划</w:t>
            </w:r>
            <w:r>
              <w:rPr>
                <w:rFonts w:hint="eastAsia" w:ascii="仿宋" w:hAnsi="仿宋" w:eastAsia="仿宋"/>
                <w:sz w:val="24"/>
              </w:rPr>
              <w:t>和</w:t>
            </w:r>
            <w:r>
              <w:rPr>
                <w:rFonts w:ascii="仿宋" w:hAnsi="仿宋" w:eastAsia="仿宋"/>
                <w:sz w:val="24"/>
              </w:rPr>
              <w:t>自然资源局、区生态环境局、区住房城乡建委、区市场监管局、区统计局、区</w:t>
            </w:r>
            <w:r>
              <w:rPr>
                <w:rFonts w:hint="eastAsia" w:ascii="仿宋" w:hAnsi="仿宋" w:eastAsia="仿宋"/>
                <w:sz w:val="24"/>
              </w:rPr>
              <w:t>农业农村</w:t>
            </w:r>
            <w:r>
              <w:rPr>
                <w:rFonts w:ascii="仿宋" w:hAnsi="仿宋" w:eastAsia="仿宋"/>
                <w:sz w:val="24"/>
              </w:rPr>
              <w:t>委、区医保局、区公安分局、各镇街</w:t>
            </w:r>
          </w:p>
        </w:tc>
      </w:tr>
    </w:tbl>
    <w:p>
      <w:pPr>
        <w:pStyle w:val="2"/>
        <w:ind w:firstLine="0" w:firstLineChars="0"/>
      </w:pPr>
    </w:p>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altName w:val="黑体"/>
    <w:panose1 w:val="02010601030101010101"/>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cs="Times New Roman"/>
        <w:sz w:val="24"/>
      </w:rP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728418381"/>
    </w:sdtPr>
    <w:sdtEndPr>
      <w:rPr>
        <w:rFonts w:ascii="Times New Roman" w:hAnsi="Times New Roman" w:cs="Times New Roman"/>
        <w:sz w:val="24"/>
      </w:rPr>
    </w:sdtEndPr>
    <w:sdtContent>
      <w:p>
        <w:pPr>
          <w:pStyle w:val="7"/>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PAGE   \* MERGEFORMAT</w:instrText>
        </w:r>
        <w:r>
          <w:rPr>
            <w:rFonts w:ascii="Times New Roman" w:hAnsi="Times New Roman" w:cs="Times New Roman"/>
            <w:sz w:val="24"/>
          </w:rPr>
          <w:fldChar w:fldCharType="separate"/>
        </w:r>
        <w:r>
          <w:rPr>
            <w:rFonts w:ascii="Times New Roman" w:hAnsi="Times New Roman" w:cs="Times New Roman"/>
            <w:sz w:val="24"/>
            <w:lang w:val="zh-CN"/>
          </w:rPr>
          <w:t>17</w:t>
        </w:r>
        <w:r>
          <w:rPr>
            <w:rFonts w:ascii="Times New Roman" w:hAnsi="Times New Roman" w:cs="Times New Roman"/>
            <w:sz w:val="24"/>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5NDEzNzk4MGNmY2NmYzQyZjhmZTFmMTExNmJhZTEifQ=="/>
  </w:docVars>
  <w:rsids>
    <w:rsidRoot w:val="00EE7C85"/>
    <w:rsid w:val="00002021"/>
    <w:rsid w:val="00002BE8"/>
    <w:rsid w:val="00005044"/>
    <w:rsid w:val="000071B4"/>
    <w:rsid w:val="0001411D"/>
    <w:rsid w:val="0001594F"/>
    <w:rsid w:val="00015FA8"/>
    <w:rsid w:val="0002023A"/>
    <w:rsid w:val="000225FF"/>
    <w:rsid w:val="000324B0"/>
    <w:rsid w:val="00034A6F"/>
    <w:rsid w:val="00045CED"/>
    <w:rsid w:val="000500FE"/>
    <w:rsid w:val="00051EE5"/>
    <w:rsid w:val="0005272B"/>
    <w:rsid w:val="000541E2"/>
    <w:rsid w:val="00055695"/>
    <w:rsid w:val="00057D67"/>
    <w:rsid w:val="00060B19"/>
    <w:rsid w:val="00060C6A"/>
    <w:rsid w:val="00061F14"/>
    <w:rsid w:val="0006295C"/>
    <w:rsid w:val="00062BA5"/>
    <w:rsid w:val="000635A3"/>
    <w:rsid w:val="00063ADA"/>
    <w:rsid w:val="00063B12"/>
    <w:rsid w:val="00075ABA"/>
    <w:rsid w:val="00077682"/>
    <w:rsid w:val="000825BA"/>
    <w:rsid w:val="00084F00"/>
    <w:rsid w:val="000900B8"/>
    <w:rsid w:val="00092973"/>
    <w:rsid w:val="00094837"/>
    <w:rsid w:val="000A1D5A"/>
    <w:rsid w:val="000A1D8A"/>
    <w:rsid w:val="000B3814"/>
    <w:rsid w:val="000B3F5A"/>
    <w:rsid w:val="000B6825"/>
    <w:rsid w:val="000C3E87"/>
    <w:rsid w:val="000C3F19"/>
    <w:rsid w:val="000C4CFE"/>
    <w:rsid w:val="000D3BC8"/>
    <w:rsid w:val="000D7A4B"/>
    <w:rsid w:val="000E2DF9"/>
    <w:rsid w:val="000E38E8"/>
    <w:rsid w:val="000E3BAD"/>
    <w:rsid w:val="000E5A6E"/>
    <w:rsid w:val="000F7208"/>
    <w:rsid w:val="00100E7A"/>
    <w:rsid w:val="00101820"/>
    <w:rsid w:val="00105CD0"/>
    <w:rsid w:val="00106180"/>
    <w:rsid w:val="0010724D"/>
    <w:rsid w:val="00114860"/>
    <w:rsid w:val="001166E6"/>
    <w:rsid w:val="00123922"/>
    <w:rsid w:val="00124F30"/>
    <w:rsid w:val="00133D01"/>
    <w:rsid w:val="0013707D"/>
    <w:rsid w:val="001454CC"/>
    <w:rsid w:val="001456E6"/>
    <w:rsid w:val="00150DD0"/>
    <w:rsid w:val="00152BDA"/>
    <w:rsid w:val="0015400E"/>
    <w:rsid w:val="00154351"/>
    <w:rsid w:val="00154399"/>
    <w:rsid w:val="00154D53"/>
    <w:rsid w:val="00160305"/>
    <w:rsid w:val="0016574A"/>
    <w:rsid w:val="00167134"/>
    <w:rsid w:val="00167799"/>
    <w:rsid w:val="0017149D"/>
    <w:rsid w:val="001749BA"/>
    <w:rsid w:val="00182F72"/>
    <w:rsid w:val="00186919"/>
    <w:rsid w:val="00190BCC"/>
    <w:rsid w:val="00192732"/>
    <w:rsid w:val="00194962"/>
    <w:rsid w:val="001952B7"/>
    <w:rsid w:val="00196B2F"/>
    <w:rsid w:val="001977CB"/>
    <w:rsid w:val="001A0E44"/>
    <w:rsid w:val="001A3823"/>
    <w:rsid w:val="001A4D54"/>
    <w:rsid w:val="001A75BB"/>
    <w:rsid w:val="001B2C43"/>
    <w:rsid w:val="001B450E"/>
    <w:rsid w:val="001B50C4"/>
    <w:rsid w:val="001B787E"/>
    <w:rsid w:val="001C21C9"/>
    <w:rsid w:val="001C5FFA"/>
    <w:rsid w:val="001C673D"/>
    <w:rsid w:val="001C7CA9"/>
    <w:rsid w:val="001D0E1A"/>
    <w:rsid w:val="001D2E10"/>
    <w:rsid w:val="001D3109"/>
    <w:rsid w:val="001D5D7F"/>
    <w:rsid w:val="001E1068"/>
    <w:rsid w:val="001E1D96"/>
    <w:rsid w:val="001E6642"/>
    <w:rsid w:val="001E7A56"/>
    <w:rsid w:val="001F0BA5"/>
    <w:rsid w:val="001F1600"/>
    <w:rsid w:val="001F3769"/>
    <w:rsid w:val="001F414D"/>
    <w:rsid w:val="001F5185"/>
    <w:rsid w:val="00203BAE"/>
    <w:rsid w:val="0020620B"/>
    <w:rsid w:val="00207264"/>
    <w:rsid w:val="002107E5"/>
    <w:rsid w:val="00213350"/>
    <w:rsid w:val="00214882"/>
    <w:rsid w:val="00215BCA"/>
    <w:rsid w:val="00223E2F"/>
    <w:rsid w:val="00226928"/>
    <w:rsid w:val="00231A98"/>
    <w:rsid w:val="00233409"/>
    <w:rsid w:val="00236262"/>
    <w:rsid w:val="00237A0E"/>
    <w:rsid w:val="00240AC5"/>
    <w:rsid w:val="002531E1"/>
    <w:rsid w:val="00256AB6"/>
    <w:rsid w:val="00267152"/>
    <w:rsid w:val="00276C37"/>
    <w:rsid w:val="00277C71"/>
    <w:rsid w:val="00284930"/>
    <w:rsid w:val="0029356E"/>
    <w:rsid w:val="002A55CC"/>
    <w:rsid w:val="002A6C1A"/>
    <w:rsid w:val="002B121E"/>
    <w:rsid w:val="002B513B"/>
    <w:rsid w:val="002B785F"/>
    <w:rsid w:val="002C07C0"/>
    <w:rsid w:val="002C50C1"/>
    <w:rsid w:val="002C5D7E"/>
    <w:rsid w:val="002E0899"/>
    <w:rsid w:val="002E1F8A"/>
    <w:rsid w:val="002E3EAE"/>
    <w:rsid w:val="002E7ABB"/>
    <w:rsid w:val="002F2770"/>
    <w:rsid w:val="002F5352"/>
    <w:rsid w:val="002F76C4"/>
    <w:rsid w:val="002F77B7"/>
    <w:rsid w:val="003015ED"/>
    <w:rsid w:val="00302456"/>
    <w:rsid w:val="0031113E"/>
    <w:rsid w:val="0032007B"/>
    <w:rsid w:val="00320271"/>
    <w:rsid w:val="00321DB0"/>
    <w:rsid w:val="00325665"/>
    <w:rsid w:val="003348F1"/>
    <w:rsid w:val="00334C6B"/>
    <w:rsid w:val="00337C81"/>
    <w:rsid w:val="003460CE"/>
    <w:rsid w:val="00347DCD"/>
    <w:rsid w:val="00351528"/>
    <w:rsid w:val="003608C3"/>
    <w:rsid w:val="00360F74"/>
    <w:rsid w:val="003617AF"/>
    <w:rsid w:val="0036203B"/>
    <w:rsid w:val="003624FE"/>
    <w:rsid w:val="0036484D"/>
    <w:rsid w:val="00370612"/>
    <w:rsid w:val="003707A2"/>
    <w:rsid w:val="003715C7"/>
    <w:rsid w:val="0037606D"/>
    <w:rsid w:val="0037706E"/>
    <w:rsid w:val="00380546"/>
    <w:rsid w:val="00381A42"/>
    <w:rsid w:val="003851AD"/>
    <w:rsid w:val="003867FE"/>
    <w:rsid w:val="00391F54"/>
    <w:rsid w:val="00393304"/>
    <w:rsid w:val="00396FAC"/>
    <w:rsid w:val="003A0EC0"/>
    <w:rsid w:val="003A6748"/>
    <w:rsid w:val="003A78CE"/>
    <w:rsid w:val="003B05F3"/>
    <w:rsid w:val="003B175A"/>
    <w:rsid w:val="003B1AA2"/>
    <w:rsid w:val="003B1B00"/>
    <w:rsid w:val="003B2EED"/>
    <w:rsid w:val="003B300B"/>
    <w:rsid w:val="003B6848"/>
    <w:rsid w:val="003C20B0"/>
    <w:rsid w:val="003C2CA1"/>
    <w:rsid w:val="003C4A69"/>
    <w:rsid w:val="003C663C"/>
    <w:rsid w:val="003D244A"/>
    <w:rsid w:val="003D3B3C"/>
    <w:rsid w:val="003D5D2C"/>
    <w:rsid w:val="003D6E87"/>
    <w:rsid w:val="003D74EE"/>
    <w:rsid w:val="003D75E4"/>
    <w:rsid w:val="003D7B5C"/>
    <w:rsid w:val="003E016B"/>
    <w:rsid w:val="003E27A7"/>
    <w:rsid w:val="003E4DC9"/>
    <w:rsid w:val="003E5993"/>
    <w:rsid w:val="003F2778"/>
    <w:rsid w:val="003F59C8"/>
    <w:rsid w:val="003F5C72"/>
    <w:rsid w:val="0040126D"/>
    <w:rsid w:val="004070C6"/>
    <w:rsid w:val="004108A8"/>
    <w:rsid w:val="00412811"/>
    <w:rsid w:val="0041286D"/>
    <w:rsid w:val="004157C9"/>
    <w:rsid w:val="00417D7B"/>
    <w:rsid w:val="004210D3"/>
    <w:rsid w:val="00422A5C"/>
    <w:rsid w:val="00424E23"/>
    <w:rsid w:val="00426AD6"/>
    <w:rsid w:val="004317EB"/>
    <w:rsid w:val="00431CE0"/>
    <w:rsid w:val="00431EE2"/>
    <w:rsid w:val="004428C8"/>
    <w:rsid w:val="00443A49"/>
    <w:rsid w:val="00443C7C"/>
    <w:rsid w:val="00445975"/>
    <w:rsid w:val="00446C75"/>
    <w:rsid w:val="00447947"/>
    <w:rsid w:val="00447D76"/>
    <w:rsid w:val="004513B5"/>
    <w:rsid w:val="00451DD8"/>
    <w:rsid w:val="00452391"/>
    <w:rsid w:val="00453A84"/>
    <w:rsid w:val="00461C95"/>
    <w:rsid w:val="00466290"/>
    <w:rsid w:val="00474DE0"/>
    <w:rsid w:val="004849B3"/>
    <w:rsid w:val="00485B0B"/>
    <w:rsid w:val="00486834"/>
    <w:rsid w:val="0049427C"/>
    <w:rsid w:val="004A31AE"/>
    <w:rsid w:val="004A4AC8"/>
    <w:rsid w:val="004A65D0"/>
    <w:rsid w:val="004A6951"/>
    <w:rsid w:val="004A7179"/>
    <w:rsid w:val="004A7934"/>
    <w:rsid w:val="004B62AC"/>
    <w:rsid w:val="004B65E2"/>
    <w:rsid w:val="004B7249"/>
    <w:rsid w:val="004C1794"/>
    <w:rsid w:val="004C1DB2"/>
    <w:rsid w:val="004C49EB"/>
    <w:rsid w:val="004C61F6"/>
    <w:rsid w:val="004D2B2C"/>
    <w:rsid w:val="004D36A1"/>
    <w:rsid w:val="004D5170"/>
    <w:rsid w:val="004D55BE"/>
    <w:rsid w:val="004E1970"/>
    <w:rsid w:val="004E1CE1"/>
    <w:rsid w:val="004E74AA"/>
    <w:rsid w:val="004E778B"/>
    <w:rsid w:val="004F0A55"/>
    <w:rsid w:val="004F1396"/>
    <w:rsid w:val="004F1563"/>
    <w:rsid w:val="004F7F8F"/>
    <w:rsid w:val="0050012B"/>
    <w:rsid w:val="005007B0"/>
    <w:rsid w:val="005012FF"/>
    <w:rsid w:val="005104C9"/>
    <w:rsid w:val="00511465"/>
    <w:rsid w:val="00512F53"/>
    <w:rsid w:val="00521546"/>
    <w:rsid w:val="00522E76"/>
    <w:rsid w:val="0052482B"/>
    <w:rsid w:val="00526B51"/>
    <w:rsid w:val="0053215E"/>
    <w:rsid w:val="00540435"/>
    <w:rsid w:val="00541DE1"/>
    <w:rsid w:val="00542AD9"/>
    <w:rsid w:val="00544C07"/>
    <w:rsid w:val="00550DDB"/>
    <w:rsid w:val="005516EA"/>
    <w:rsid w:val="00552F75"/>
    <w:rsid w:val="00554148"/>
    <w:rsid w:val="00555644"/>
    <w:rsid w:val="00555EF7"/>
    <w:rsid w:val="005572FB"/>
    <w:rsid w:val="00557D7C"/>
    <w:rsid w:val="00562E17"/>
    <w:rsid w:val="005632D5"/>
    <w:rsid w:val="00565279"/>
    <w:rsid w:val="005655CA"/>
    <w:rsid w:val="00565DFE"/>
    <w:rsid w:val="00566263"/>
    <w:rsid w:val="00572DFB"/>
    <w:rsid w:val="005737D2"/>
    <w:rsid w:val="00575551"/>
    <w:rsid w:val="005868DC"/>
    <w:rsid w:val="0059258C"/>
    <w:rsid w:val="005927F0"/>
    <w:rsid w:val="0059280B"/>
    <w:rsid w:val="00597B36"/>
    <w:rsid w:val="005A1300"/>
    <w:rsid w:val="005B07D0"/>
    <w:rsid w:val="005B2219"/>
    <w:rsid w:val="005B47DE"/>
    <w:rsid w:val="005B529F"/>
    <w:rsid w:val="005C0FDA"/>
    <w:rsid w:val="005C1248"/>
    <w:rsid w:val="005C1BB6"/>
    <w:rsid w:val="005C1D7F"/>
    <w:rsid w:val="005C4F4B"/>
    <w:rsid w:val="005D012B"/>
    <w:rsid w:val="005D2AEC"/>
    <w:rsid w:val="005D4C25"/>
    <w:rsid w:val="005E2A39"/>
    <w:rsid w:val="005E45DE"/>
    <w:rsid w:val="005F1BBD"/>
    <w:rsid w:val="005F4DEF"/>
    <w:rsid w:val="005F70A8"/>
    <w:rsid w:val="006002C7"/>
    <w:rsid w:val="00603E9A"/>
    <w:rsid w:val="006044F6"/>
    <w:rsid w:val="00605181"/>
    <w:rsid w:val="00611E34"/>
    <w:rsid w:val="0061207D"/>
    <w:rsid w:val="00615ECA"/>
    <w:rsid w:val="006163CB"/>
    <w:rsid w:val="00622281"/>
    <w:rsid w:val="006239CA"/>
    <w:rsid w:val="0062446A"/>
    <w:rsid w:val="00624B1A"/>
    <w:rsid w:val="00627B27"/>
    <w:rsid w:val="00627BAC"/>
    <w:rsid w:val="00627D3B"/>
    <w:rsid w:val="00630BAB"/>
    <w:rsid w:val="006324BB"/>
    <w:rsid w:val="0063285F"/>
    <w:rsid w:val="00633E19"/>
    <w:rsid w:val="00636042"/>
    <w:rsid w:val="00641C6D"/>
    <w:rsid w:val="00642CF7"/>
    <w:rsid w:val="00643CCD"/>
    <w:rsid w:val="00646542"/>
    <w:rsid w:val="00651B4E"/>
    <w:rsid w:val="006540D3"/>
    <w:rsid w:val="0066066F"/>
    <w:rsid w:val="00661445"/>
    <w:rsid w:val="006636FB"/>
    <w:rsid w:val="00677A2B"/>
    <w:rsid w:val="0068005A"/>
    <w:rsid w:val="00687408"/>
    <w:rsid w:val="00690840"/>
    <w:rsid w:val="00694CED"/>
    <w:rsid w:val="00694D63"/>
    <w:rsid w:val="00695F8C"/>
    <w:rsid w:val="006A2674"/>
    <w:rsid w:val="006A396B"/>
    <w:rsid w:val="006A45ED"/>
    <w:rsid w:val="006B510E"/>
    <w:rsid w:val="006B7AE5"/>
    <w:rsid w:val="006C236F"/>
    <w:rsid w:val="006C39ED"/>
    <w:rsid w:val="006C43C6"/>
    <w:rsid w:val="006C4F82"/>
    <w:rsid w:val="006D2EF1"/>
    <w:rsid w:val="006D30BF"/>
    <w:rsid w:val="006D41FA"/>
    <w:rsid w:val="006D69E4"/>
    <w:rsid w:val="006E4E1D"/>
    <w:rsid w:val="006E62B8"/>
    <w:rsid w:val="006F56A1"/>
    <w:rsid w:val="006F68A0"/>
    <w:rsid w:val="0070165A"/>
    <w:rsid w:val="00702F4A"/>
    <w:rsid w:val="007048A5"/>
    <w:rsid w:val="00711F0F"/>
    <w:rsid w:val="007128B9"/>
    <w:rsid w:val="00715EAD"/>
    <w:rsid w:val="00724793"/>
    <w:rsid w:val="00725BF6"/>
    <w:rsid w:val="007307B0"/>
    <w:rsid w:val="00730D03"/>
    <w:rsid w:val="0073260E"/>
    <w:rsid w:val="007365E1"/>
    <w:rsid w:val="00737399"/>
    <w:rsid w:val="00737EE2"/>
    <w:rsid w:val="0075029D"/>
    <w:rsid w:val="00750512"/>
    <w:rsid w:val="00752AED"/>
    <w:rsid w:val="00753CE7"/>
    <w:rsid w:val="00753DEF"/>
    <w:rsid w:val="00754371"/>
    <w:rsid w:val="00762C6D"/>
    <w:rsid w:val="0076722E"/>
    <w:rsid w:val="00767C5B"/>
    <w:rsid w:val="00770665"/>
    <w:rsid w:val="00770B56"/>
    <w:rsid w:val="00772326"/>
    <w:rsid w:val="00780CC7"/>
    <w:rsid w:val="00781D0E"/>
    <w:rsid w:val="00783C3A"/>
    <w:rsid w:val="00784FF6"/>
    <w:rsid w:val="007877B8"/>
    <w:rsid w:val="00787974"/>
    <w:rsid w:val="00787DC9"/>
    <w:rsid w:val="00790735"/>
    <w:rsid w:val="00790825"/>
    <w:rsid w:val="00790FAC"/>
    <w:rsid w:val="0079528B"/>
    <w:rsid w:val="007A00C1"/>
    <w:rsid w:val="007A6449"/>
    <w:rsid w:val="007B5D16"/>
    <w:rsid w:val="007B62F1"/>
    <w:rsid w:val="007C0AE3"/>
    <w:rsid w:val="007C32BC"/>
    <w:rsid w:val="007C6E0D"/>
    <w:rsid w:val="007C7A79"/>
    <w:rsid w:val="007D5118"/>
    <w:rsid w:val="007D5ADE"/>
    <w:rsid w:val="007D68E6"/>
    <w:rsid w:val="007E091D"/>
    <w:rsid w:val="007E1278"/>
    <w:rsid w:val="007E2F5A"/>
    <w:rsid w:val="007F3BB2"/>
    <w:rsid w:val="0080310B"/>
    <w:rsid w:val="008037DB"/>
    <w:rsid w:val="00804061"/>
    <w:rsid w:val="0080428E"/>
    <w:rsid w:val="0080466F"/>
    <w:rsid w:val="00804734"/>
    <w:rsid w:val="008074F9"/>
    <w:rsid w:val="00811A3A"/>
    <w:rsid w:val="00813916"/>
    <w:rsid w:val="00816C3F"/>
    <w:rsid w:val="00817CD1"/>
    <w:rsid w:val="008206F5"/>
    <w:rsid w:val="00820C50"/>
    <w:rsid w:val="00823570"/>
    <w:rsid w:val="00824486"/>
    <w:rsid w:val="00827E0D"/>
    <w:rsid w:val="00831145"/>
    <w:rsid w:val="00840766"/>
    <w:rsid w:val="00841105"/>
    <w:rsid w:val="008412EF"/>
    <w:rsid w:val="00841EFB"/>
    <w:rsid w:val="00843BF9"/>
    <w:rsid w:val="00847BD5"/>
    <w:rsid w:val="008515B8"/>
    <w:rsid w:val="00851FDA"/>
    <w:rsid w:val="00852FD9"/>
    <w:rsid w:val="00857029"/>
    <w:rsid w:val="00861003"/>
    <w:rsid w:val="00861B75"/>
    <w:rsid w:val="00866B32"/>
    <w:rsid w:val="00872455"/>
    <w:rsid w:val="00873111"/>
    <w:rsid w:val="00873AEE"/>
    <w:rsid w:val="0087618A"/>
    <w:rsid w:val="00876C9A"/>
    <w:rsid w:val="00877472"/>
    <w:rsid w:val="00877E1E"/>
    <w:rsid w:val="00880355"/>
    <w:rsid w:val="00880A14"/>
    <w:rsid w:val="0088146C"/>
    <w:rsid w:val="0088363F"/>
    <w:rsid w:val="00885B10"/>
    <w:rsid w:val="0088622D"/>
    <w:rsid w:val="008939E8"/>
    <w:rsid w:val="008979FA"/>
    <w:rsid w:val="008A0239"/>
    <w:rsid w:val="008A44BA"/>
    <w:rsid w:val="008A7CCC"/>
    <w:rsid w:val="008B1B7F"/>
    <w:rsid w:val="008B2FB8"/>
    <w:rsid w:val="008B4F23"/>
    <w:rsid w:val="008B70D1"/>
    <w:rsid w:val="008C014C"/>
    <w:rsid w:val="008C25F5"/>
    <w:rsid w:val="008D14DE"/>
    <w:rsid w:val="008D254F"/>
    <w:rsid w:val="008E0B75"/>
    <w:rsid w:val="008E33FC"/>
    <w:rsid w:val="008E708D"/>
    <w:rsid w:val="008E7273"/>
    <w:rsid w:val="008E728D"/>
    <w:rsid w:val="008E78DE"/>
    <w:rsid w:val="008F5389"/>
    <w:rsid w:val="0090141B"/>
    <w:rsid w:val="00903499"/>
    <w:rsid w:val="0091574A"/>
    <w:rsid w:val="00915C2D"/>
    <w:rsid w:val="009204CE"/>
    <w:rsid w:val="00920750"/>
    <w:rsid w:val="009219F4"/>
    <w:rsid w:val="00922D1F"/>
    <w:rsid w:val="00925566"/>
    <w:rsid w:val="009267DE"/>
    <w:rsid w:val="009272E7"/>
    <w:rsid w:val="00931149"/>
    <w:rsid w:val="00933338"/>
    <w:rsid w:val="00933D2D"/>
    <w:rsid w:val="009377CF"/>
    <w:rsid w:val="00937AEF"/>
    <w:rsid w:val="00940ABC"/>
    <w:rsid w:val="00940B5A"/>
    <w:rsid w:val="0094235B"/>
    <w:rsid w:val="009450A5"/>
    <w:rsid w:val="00946520"/>
    <w:rsid w:val="00956E21"/>
    <w:rsid w:val="00957929"/>
    <w:rsid w:val="00961847"/>
    <w:rsid w:val="00961B2E"/>
    <w:rsid w:val="00962404"/>
    <w:rsid w:val="00962E87"/>
    <w:rsid w:val="0096787B"/>
    <w:rsid w:val="009815FA"/>
    <w:rsid w:val="0098401B"/>
    <w:rsid w:val="00984A88"/>
    <w:rsid w:val="00990138"/>
    <w:rsid w:val="009A5709"/>
    <w:rsid w:val="009A65BD"/>
    <w:rsid w:val="009B2F3D"/>
    <w:rsid w:val="009B6665"/>
    <w:rsid w:val="009B7FB9"/>
    <w:rsid w:val="009C2CA5"/>
    <w:rsid w:val="009C3E4F"/>
    <w:rsid w:val="009C4E5F"/>
    <w:rsid w:val="009D21D0"/>
    <w:rsid w:val="009D29F6"/>
    <w:rsid w:val="009D44AB"/>
    <w:rsid w:val="009D54E8"/>
    <w:rsid w:val="009E11F3"/>
    <w:rsid w:val="009E1FB6"/>
    <w:rsid w:val="009E1FD5"/>
    <w:rsid w:val="009E29E7"/>
    <w:rsid w:val="009E642F"/>
    <w:rsid w:val="009E72B3"/>
    <w:rsid w:val="009E7F3E"/>
    <w:rsid w:val="009F05C4"/>
    <w:rsid w:val="009F1820"/>
    <w:rsid w:val="00A00CC5"/>
    <w:rsid w:val="00A00EE8"/>
    <w:rsid w:val="00A05A48"/>
    <w:rsid w:val="00A05CE7"/>
    <w:rsid w:val="00A0789F"/>
    <w:rsid w:val="00A07CBB"/>
    <w:rsid w:val="00A11399"/>
    <w:rsid w:val="00A12185"/>
    <w:rsid w:val="00A1587F"/>
    <w:rsid w:val="00A15CF8"/>
    <w:rsid w:val="00A164BA"/>
    <w:rsid w:val="00A17207"/>
    <w:rsid w:val="00A17280"/>
    <w:rsid w:val="00A211D9"/>
    <w:rsid w:val="00A22A36"/>
    <w:rsid w:val="00A22A7C"/>
    <w:rsid w:val="00A22D9E"/>
    <w:rsid w:val="00A26150"/>
    <w:rsid w:val="00A36671"/>
    <w:rsid w:val="00A36D4B"/>
    <w:rsid w:val="00A36FBA"/>
    <w:rsid w:val="00A379AF"/>
    <w:rsid w:val="00A41A4C"/>
    <w:rsid w:val="00A43DBE"/>
    <w:rsid w:val="00A44B2E"/>
    <w:rsid w:val="00A47924"/>
    <w:rsid w:val="00A5178D"/>
    <w:rsid w:val="00A53352"/>
    <w:rsid w:val="00A53D32"/>
    <w:rsid w:val="00A5492F"/>
    <w:rsid w:val="00A558A1"/>
    <w:rsid w:val="00A55CFB"/>
    <w:rsid w:val="00A61483"/>
    <w:rsid w:val="00A6258C"/>
    <w:rsid w:val="00A64226"/>
    <w:rsid w:val="00A66DDA"/>
    <w:rsid w:val="00A70E87"/>
    <w:rsid w:val="00A713D2"/>
    <w:rsid w:val="00A73A53"/>
    <w:rsid w:val="00A76666"/>
    <w:rsid w:val="00A80611"/>
    <w:rsid w:val="00A82CD4"/>
    <w:rsid w:val="00A9635E"/>
    <w:rsid w:val="00AA0FD9"/>
    <w:rsid w:val="00AA1B88"/>
    <w:rsid w:val="00AA201E"/>
    <w:rsid w:val="00AA2DCD"/>
    <w:rsid w:val="00AA6F1A"/>
    <w:rsid w:val="00AA7ACE"/>
    <w:rsid w:val="00AA7EBC"/>
    <w:rsid w:val="00AB1A6D"/>
    <w:rsid w:val="00AB27FE"/>
    <w:rsid w:val="00AC2940"/>
    <w:rsid w:val="00AC464D"/>
    <w:rsid w:val="00AC63B5"/>
    <w:rsid w:val="00AD2D35"/>
    <w:rsid w:val="00AD3023"/>
    <w:rsid w:val="00AD3091"/>
    <w:rsid w:val="00AD3FA1"/>
    <w:rsid w:val="00AD4892"/>
    <w:rsid w:val="00AD6864"/>
    <w:rsid w:val="00AE34D5"/>
    <w:rsid w:val="00AE390E"/>
    <w:rsid w:val="00AF17E2"/>
    <w:rsid w:val="00AF4F39"/>
    <w:rsid w:val="00AF684C"/>
    <w:rsid w:val="00B01563"/>
    <w:rsid w:val="00B063C3"/>
    <w:rsid w:val="00B0700A"/>
    <w:rsid w:val="00B07372"/>
    <w:rsid w:val="00B10780"/>
    <w:rsid w:val="00B13B76"/>
    <w:rsid w:val="00B14AA2"/>
    <w:rsid w:val="00B1559B"/>
    <w:rsid w:val="00B161A4"/>
    <w:rsid w:val="00B17C5E"/>
    <w:rsid w:val="00B2120E"/>
    <w:rsid w:val="00B24960"/>
    <w:rsid w:val="00B256B6"/>
    <w:rsid w:val="00B257D9"/>
    <w:rsid w:val="00B27198"/>
    <w:rsid w:val="00B362E9"/>
    <w:rsid w:val="00B37549"/>
    <w:rsid w:val="00B4410B"/>
    <w:rsid w:val="00B45C3D"/>
    <w:rsid w:val="00B511AE"/>
    <w:rsid w:val="00B542FF"/>
    <w:rsid w:val="00B54D95"/>
    <w:rsid w:val="00B6565E"/>
    <w:rsid w:val="00B72E0C"/>
    <w:rsid w:val="00B72F50"/>
    <w:rsid w:val="00B733F1"/>
    <w:rsid w:val="00B73A7E"/>
    <w:rsid w:val="00B754F9"/>
    <w:rsid w:val="00B75E20"/>
    <w:rsid w:val="00B77782"/>
    <w:rsid w:val="00B858DE"/>
    <w:rsid w:val="00B91908"/>
    <w:rsid w:val="00B94A60"/>
    <w:rsid w:val="00B95655"/>
    <w:rsid w:val="00BA2608"/>
    <w:rsid w:val="00BA2C5E"/>
    <w:rsid w:val="00BA3D23"/>
    <w:rsid w:val="00BA4CEA"/>
    <w:rsid w:val="00BB0A33"/>
    <w:rsid w:val="00BC0A0A"/>
    <w:rsid w:val="00BC2909"/>
    <w:rsid w:val="00BC5322"/>
    <w:rsid w:val="00BC54E3"/>
    <w:rsid w:val="00BC6D5D"/>
    <w:rsid w:val="00BD7270"/>
    <w:rsid w:val="00BE2AE3"/>
    <w:rsid w:val="00BE5DB3"/>
    <w:rsid w:val="00BE65F1"/>
    <w:rsid w:val="00BF124B"/>
    <w:rsid w:val="00BF30F3"/>
    <w:rsid w:val="00BF7BB4"/>
    <w:rsid w:val="00BF7E2F"/>
    <w:rsid w:val="00C01180"/>
    <w:rsid w:val="00C04877"/>
    <w:rsid w:val="00C07AC6"/>
    <w:rsid w:val="00C116AD"/>
    <w:rsid w:val="00C11B66"/>
    <w:rsid w:val="00C122E3"/>
    <w:rsid w:val="00C12BB4"/>
    <w:rsid w:val="00C13695"/>
    <w:rsid w:val="00C13D7F"/>
    <w:rsid w:val="00C149A9"/>
    <w:rsid w:val="00C214DA"/>
    <w:rsid w:val="00C2461D"/>
    <w:rsid w:val="00C246D9"/>
    <w:rsid w:val="00C25464"/>
    <w:rsid w:val="00C25AA0"/>
    <w:rsid w:val="00C312CB"/>
    <w:rsid w:val="00C326F1"/>
    <w:rsid w:val="00C339D4"/>
    <w:rsid w:val="00C35B14"/>
    <w:rsid w:val="00C35F67"/>
    <w:rsid w:val="00C3768F"/>
    <w:rsid w:val="00C402AB"/>
    <w:rsid w:val="00C41F60"/>
    <w:rsid w:val="00C4392C"/>
    <w:rsid w:val="00C47146"/>
    <w:rsid w:val="00C47D23"/>
    <w:rsid w:val="00C5084C"/>
    <w:rsid w:val="00C51654"/>
    <w:rsid w:val="00C54CBB"/>
    <w:rsid w:val="00C55B7F"/>
    <w:rsid w:val="00C55DB0"/>
    <w:rsid w:val="00C5754E"/>
    <w:rsid w:val="00C60E93"/>
    <w:rsid w:val="00C62D63"/>
    <w:rsid w:val="00C635D1"/>
    <w:rsid w:val="00C636AF"/>
    <w:rsid w:val="00C6620E"/>
    <w:rsid w:val="00C670FE"/>
    <w:rsid w:val="00C677BB"/>
    <w:rsid w:val="00C717FF"/>
    <w:rsid w:val="00C75D6D"/>
    <w:rsid w:val="00C75E28"/>
    <w:rsid w:val="00C761E9"/>
    <w:rsid w:val="00C766E1"/>
    <w:rsid w:val="00C771D7"/>
    <w:rsid w:val="00C778D4"/>
    <w:rsid w:val="00C82BEE"/>
    <w:rsid w:val="00C84054"/>
    <w:rsid w:val="00C86701"/>
    <w:rsid w:val="00C903C4"/>
    <w:rsid w:val="00C90636"/>
    <w:rsid w:val="00C94E75"/>
    <w:rsid w:val="00CA7D81"/>
    <w:rsid w:val="00CB33F3"/>
    <w:rsid w:val="00CB608F"/>
    <w:rsid w:val="00CB65E7"/>
    <w:rsid w:val="00CC0C54"/>
    <w:rsid w:val="00CD342E"/>
    <w:rsid w:val="00CD42B3"/>
    <w:rsid w:val="00CD7F34"/>
    <w:rsid w:val="00CE49EC"/>
    <w:rsid w:val="00CF1921"/>
    <w:rsid w:val="00CF1C4A"/>
    <w:rsid w:val="00CF3734"/>
    <w:rsid w:val="00CF677F"/>
    <w:rsid w:val="00CF70B8"/>
    <w:rsid w:val="00D01B75"/>
    <w:rsid w:val="00D029E7"/>
    <w:rsid w:val="00D0323D"/>
    <w:rsid w:val="00D035C5"/>
    <w:rsid w:val="00D036C9"/>
    <w:rsid w:val="00D06CBB"/>
    <w:rsid w:val="00D11A32"/>
    <w:rsid w:val="00D13493"/>
    <w:rsid w:val="00D138B9"/>
    <w:rsid w:val="00D20550"/>
    <w:rsid w:val="00D2070B"/>
    <w:rsid w:val="00D20A48"/>
    <w:rsid w:val="00D2227B"/>
    <w:rsid w:val="00D24F52"/>
    <w:rsid w:val="00D41931"/>
    <w:rsid w:val="00D4281B"/>
    <w:rsid w:val="00D44FB3"/>
    <w:rsid w:val="00D50788"/>
    <w:rsid w:val="00D53EDA"/>
    <w:rsid w:val="00D572DA"/>
    <w:rsid w:val="00D600F0"/>
    <w:rsid w:val="00D651B0"/>
    <w:rsid w:val="00D661B5"/>
    <w:rsid w:val="00D66303"/>
    <w:rsid w:val="00D66A64"/>
    <w:rsid w:val="00D67471"/>
    <w:rsid w:val="00D705B7"/>
    <w:rsid w:val="00D75D59"/>
    <w:rsid w:val="00D82271"/>
    <w:rsid w:val="00D8713C"/>
    <w:rsid w:val="00D925CB"/>
    <w:rsid w:val="00D92FE5"/>
    <w:rsid w:val="00DA15EA"/>
    <w:rsid w:val="00DA2DD9"/>
    <w:rsid w:val="00DA2E14"/>
    <w:rsid w:val="00DA3B56"/>
    <w:rsid w:val="00DA4FDD"/>
    <w:rsid w:val="00DA7A41"/>
    <w:rsid w:val="00DB5E78"/>
    <w:rsid w:val="00DB6473"/>
    <w:rsid w:val="00DB7634"/>
    <w:rsid w:val="00DC02D5"/>
    <w:rsid w:val="00DC7B7C"/>
    <w:rsid w:val="00DC7D39"/>
    <w:rsid w:val="00DD11E4"/>
    <w:rsid w:val="00DD4F7B"/>
    <w:rsid w:val="00DD512A"/>
    <w:rsid w:val="00DD55CB"/>
    <w:rsid w:val="00DD6578"/>
    <w:rsid w:val="00DE13DF"/>
    <w:rsid w:val="00DE5308"/>
    <w:rsid w:val="00DE66E4"/>
    <w:rsid w:val="00DE7EDE"/>
    <w:rsid w:val="00DF121E"/>
    <w:rsid w:val="00DF23F8"/>
    <w:rsid w:val="00DF5016"/>
    <w:rsid w:val="00DF5BAF"/>
    <w:rsid w:val="00DF600D"/>
    <w:rsid w:val="00DF630B"/>
    <w:rsid w:val="00E009A9"/>
    <w:rsid w:val="00E01418"/>
    <w:rsid w:val="00E01595"/>
    <w:rsid w:val="00E02D01"/>
    <w:rsid w:val="00E03CA1"/>
    <w:rsid w:val="00E03FBE"/>
    <w:rsid w:val="00E04D68"/>
    <w:rsid w:val="00E059B1"/>
    <w:rsid w:val="00E07F08"/>
    <w:rsid w:val="00E1002C"/>
    <w:rsid w:val="00E201BA"/>
    <w:rsid w:val="00E20859"/>
    <w:rsid w:val="00E2154B"/>
    <w:rsid w:val="00E23366"/>
    <w:rsid w:val="00E2488D"/>
    <w:rsid w:val="00E2577B"/>
    <w:rsid w:val="00E33925"/>
    <w:rsid w:val="00E34855"/>
    <w:rsid w:val="00E3527D"/>
    <w:rsid w:val="00E352C7"/>
    <w:rsid w:val="00E3533C"/>
    <w:rsid w:val="00E37F7F"/>
    <w:rsid w:val="00E41A96"/>
    <w:rsid w:val="00E50E76"/>
    <w:rsid w:val="00E53CA7"/>
    <w:rsid w:val="00E542C1"/>
    <w:rsid w:val="00E5469F"/>
    <w:rsid w:val="00E649C0"/>
    <w:rsid w:val="00E650B0"/>
    <w:rsid w:val="00E66F8F"/>
    <w:rsid w:val="00E677BF"/>
    <w:rsid w:val="00E73789"/>
    <w:rsid w:val="00E818E1"/>
    <w:rsid w:val="00E82C54"/>
    <w:rsid w:val="00E83E7A"/>
    <w:rsid w:val="00E870EC"/>
    <w:rsid w:val="00E91F1F"/>
    <w:rsid w:val="00E92C28"/>
    <w:rsid w:val="00E96A00"/>
    <w:rsid w:val="00EA27B9"/>
    <w:rsid w:val="00EA4E9D"/>
    <w:rsid w:val="00EA747F"/>
    <w:rsid w:val="00EB1360"/>
    <w:rsid w:val="00EB41CD"/>
    <w:rsid w:val="00EC0D3F"/>
    <w:rsid w:val="00EC2274"/>
    <w:rsid w:val="00EC5278"/>
    <w:rsid w:val="00EC57F2"/>
    <w:rsid w:val="00ED11AE"/>
    <w:rsid w:val="00EE5BEA"/>
    <w:rsid w:val="00EE7C85"/>
    <w:rsid w:val="00EF184A"/>
    <w:rsid w:val="00EF2E07"/>
    <w:rsid w:val="00EF34AB"/>
    <w:rsid w:val="00EF37A1"/>
    <w:rsid w:val="00EF5F8D"/>
    <w:rsid w:val="00F00E1F"/>
    <w:rsid w:val="00F00F64"/>
    <w:rsid w:val="00F11EB3"/>
    <w:rsid w:val="00F1228A"/>
    <w:rsid w:val="00F135AA"/>
    <w:rsid w:val="00F14DB4"/>
    <w:rsid w:val="00F153C4"/>
    <w:rsid w:val="00F25166"/>
    <w:rsid w:val="00F2753F"/>
    <w:rsid w:val="00F338D6"/>
    <w:rsid w:val="00F33B0D"/>
    <w:rsid w:val="00F43D8F"/>
    <w:rsid w:val="00F445B7"/>
    <w:rsid w:val="00F47D8E"/>
    <w:rsid w:val="00F50703"/>
    <w:rsid w:val="00F52F7B"/>
    <w:rsid w:val="00F542B3"/>
    <w:rsid w:val="00F56D4C"/>
    <w:rsid w:val="00F57C5C"/>
    <w:rsid w:val="00F617D0"/>
    <w:rsid w:val="00F61C03"/>
    <w:rsid w:val="00F655BD"/>
    <w:rsid w:val="00F74467"/>
    <w:rsid w:val="00F80354"/>
    <w:rsid w:val="00F82E17"/>
    <w:rsid w:val="00F84103"/>
    <w:rsid w:val="00F848AC"/>
    <w:rsid w:val="00F9128C"/>
    <w:rsid w:val="00F94DFB"/>
    <w:rsid w:val="00F970BB"/>
    <w:rsid w:val="00F97AE4"/>
    <w:rsid w:val="00FA04E0"/>
    <w:rsid w:val="00FA3870"/>
    <w:rsid w:val="00FA5623"/>
    <w:rsid w:val="00FA7AB1"/>
    <w:rsid w:val="00FB12DD"/>
    <w:rsid w:val="00FB13FF"/>
    <w:rsid w:val="00FB17B7"/>
    <w:rsid w:val="00FB6817"/>
    <w:rsid w:val="00FB7560"/>
    <w:rsid w:val="00FB7B3E"/>
    <w:rsid w:val="00FC032C"/>
    <w:rsid w:val="00FC0DC4"/>
    <w:rsid w:val="00FC38AC"/>
    <w:rsid w:val="00FC3A1C"/>
    <w:rsid w:val="00FC3B48"/>
    <w:rsid w:val="00FC3FF9"/>
    <w:rsid w:val="00FC6042"/>
    <w:rsid w:val="00FD06DD"/>
    <w:rsid w:val="00FD6C71"/>
    <w:rsid w:val="00FE20D6"/>
    <w:rsid w:val="00FE5DA2"/>
    <w:rsid w:val="00FE5F5B"/>
    <w:rsid w:val="00FE7039"/>
    <w:rsid w:val="00FE7CD6"/>
    <w:rsid w:val="00FF3B5A"/>
    <w:rsid w:val="00FF4A7B"/>
    <w:rsid w:val="00FF5313"/>
    <w:rsid w:val="00FF6850"/>
    <w:rsid w:val="010B22B0"/>
    <w:rsid w:val="011E4892"/>
    <w:rsid w:val="01211B87"/>
    <w:rsid w:val="01343DEA"/>
    <w:rsid w:val="01453A14"/>
    <w:rsid w:val="01533E88"/>
    <w:rsid w:val="01536EE0"/>
    <w:rsid w:val="01F01BD2"/>
    <w:rsid w:val="02076F1C"/>
    <w:rsid w:val="02104022"/>
    <w:rsid w:val="0221090A"/>
    <w:rsid w:val="022C6982"/>
    <w:rsid w:val="023425A9"/>
    <w:rsid w:val="02355837"/>
    <w:rsid w:val="0267432C"/>
    <w:rsid w:val="02A04BAE"/>
    <w:rsid w:val="02A75255"/>
    <w:rsid w:val="02C1767F"/>
    <w:rsid w:val="02EC4DB7"/>
    <w:rsid w:val="036D7944"/>
    <w:rsid w:val="03820A2B"/>
    <w:rsid w:val="03D666BC"/>
    <w:rsid w:val="043D1F1E"/>
    <w:rsid w:val="044E498E"/>
    <w:rsid w:val="045C354F"/>
    <w:rsid w:val="04762137"/>
    <w:rsid w:val="047A1C27"/>
    <w:rsid w:val="04934A97"/>
    <w:rsid w:val="04AD0346"/>
    <w:rsid w:val="04B01331"/>
    <w:rsid w:val="04BE5FB8"/>
    <w:rsid w:val="04D841F1"/>
    <w:rsid w:val="04E80EFE"/>
    <w:rsid w:val="051849A5"/>
    <w:rsid w:val="053973EC"/>
    <w:rsid w:val="05B2719F"/>
    <w:rsid w:val="05B81D48"/>
    <w:rsid w:val="05CA2855"/>
    <w:rsid w:val="06122B4A"/>
    <w:rsid w:val="06277B8D"/>
    <w:rsid w:val="062C7A39"/>
    <w:rsid w:val="063616F8"/>
    <w:rsid w:val="06732409"/>
    <w:rsid w:val="068221DE"/>
    <w:rsid w:val="06984F83"/>
    <w:rsid w:val="069E4191"/>
    <w:rsid w:val="06AE5BB8"/>
    <w:rsid w:val="06F77BFB"/>
    <w:rsid w:val="070F2546"/>
    <w:rsid w:val="07265DBB"/>
    <w:rsid w:val="07442078"/>
    <w:rsid w:val="0746337B"/>
    <w:rsid w:val="07B74618"/>
    <w:rsid w:val="07BA20B0"/>
    <w:rsid w:val="07F25F78"/>
    <w:rsid w:val="083640B7"/>
    <w:rsid w:val="08422985"/>
    <w:rsid w:val="088170AA"/>
    <w:rsid w:val="08932B83"/>
    <w:rsid w:val="08B830AF"/>
    <w:rsid w:val="08C571E9"/>
    <w:rsid w:val="08EB280C"/>
    <w:rsid w:val="090441B5"/>
    <w:rsid w:val="091C7798"/>
    <w:rsid w:val="093455E9"/>
    <w:rsid w:val="09396A97"/>
    <w:rsid w:val="093D3FA7"/>
    <w:rsid w:val="095C625C"/>
    <w:rsid w:val="09655A11"/>
    <w:rsid w:val="09947D10"/>
    <w:rsid w:val="0A1D722E"/>
    <w:rsid w:val="0A4B765B"/>
    <w:rsid w:val="0A5A3B19"/>
    <w:rsid w:val="0A77115A"/>
    <w:rsid w:val="0A870BFA"/>
    <w:rsid w:val="0A8A693C"/>
    <w:rsid w:val="0AA51080"/>
    <w:rsid w:val="0AAA48E8"/>
    <w:rsid w:val="0AF21E2A"/>
    <w:rsid w:val="0B072C11"/>
    <w:rsid w:val="0B08025E"/>
    <w:rsid w:val="0B226ED5"/>
    <w:rsid w:val="0B36617C"/>
    <w:rsid w:val="0B60588F"/>
    <w:rsid w:val="0B6C32B6"/>
    <w:rsid w:val="0B703B4E"/>
    <w:rsid w:val="0BA30B90"/>
    <w:rsid w:val="0BC20A20"/>
    <w:rsid w:val="0C0A28A6"/>
    <w:rsid w:val="0C880C59"/>
    <w:rsid w:val="0C8D626F"/>
    <w:rsid w:val="0CA12092"/>
    <w:rsid w:val="0CA90E96"/>
    <w:rsid w:val="0CFA3905"/>
    <w:rsid w:val="0D197BEF"/>
    <w:rsid w:val="0D8E4B60"/>
    <w:rsid w:val="0DCE525E"/>
    <w:rsid w:val="0DE34399"/>
    <w:rsid w:val="0DF20654"/>
    <w:rsid w:val="0DF476ED"/>
    <w:rsid w:val="0E05417F"/>
    <w:rsid w:val="0E1446AE"/>
    <w:rsid w:val="0E356BBF"/>
    <w:rsid w:val="0E736EE7"/>
    <w:rsid w:val="0E752EDF"/>
    <w:rsid w:val="0E8C72CE"/>
    <w:rsid w:val="0E8D2557"/>
    <w:rsid w:val="0E8E2836"/>
    <w:rsid w:val="0E9953A0"/>
    <w:rsid w:val="0E9D4E90"/>
    <w:rsid w:val="0EA8753F"/>
    <w:rsid w:val="0EC25C56"/>
    <w:rsid w:val="0ED308B1"/>
    <w:rsid w:val="0EDA6341"/>
    <w:rsid w:val="0EE3306E"/>
    <w:rsid w:val="0F4B48EC"/>
    <w:rsid w:val="0F6C03BE"/>
    <w:rsid w:val="0F841BAC"/>
    <w:rsid w:val="0FC5187C"/>
    <w:rsid w:val="10031659"/>
    <w:rsid w:val="100D5A39"/>
    <w:rsid w:val="10541F44"/>
    <w:rsid w:val="10726E02"/>
    <w:rsid w:val="107514F4"/>
    <w:rsid w:val="10881228"/>
    <w:rsid w:val="10A372BB"/>
    <w:rsid w:val="10A43AD3"/>
    <w:rsid w:val="1123643B"/>
    <w:rsid w:val="1169091C"/>
    <w:rsid w:val="11A5605D"/>
    <w:rsid w:val="11A93B4C"/>
    <w:rsid w:val="11C832E3"/>
    <w:rsid w:val="11ED001C"/>
    <w:rsid w:val="121726F5"/>
    <w:rsid w:val="121C60CC"/>
    <w:rsid w:val="124F4753"/>
    <w:rsid w:val="126B1BB1"/>
    <w:rsid w:val="126C2B78"/>
    <w:rsid w:val="127777A6"/>
    <w:rsid w:val="12830292"/>
    <w:rsid w:val="12923505"/>
    <w:rsid w:val="12E82452"/>
    <w:rsid w:val="13044F25"/>
    <w:rsid w:val="131E7C21"/>
    <w:rsid w:val="132C0590"/>
    <w:rsid w:val="139A7BF0"/>
    <w:rsid w:val="139F5206"/>
    <w:rsid w:val="13DA7FEC"/>
    <w:rsid w:val="14124524"/>
    <w:rsid w:val="141F09C2"/>
    <w:rsid w:val="147B7751"/>
    <w:rsid w:val="14AB3CE4"/>
    <w:rsid w:val="14D41F21"/>
    <w:rsid w:val="1517558A"/>
    <w:rsid w:val="15284D87"/>
    <w:rsid w:val="152B34CA"/>
    <w:rsid w:val="153544B2"/>
    <w:rsid w:val="155618F4"/>
    <w:rsid w:val="155B515D"/>
    <w:rsid w:val="15632263"/>
    <w:rsid w:val="157B75AD"/>
    <w:rsid w:val="157F432D"/>
    <w:rsid w:val="15DB44F0"/>
    <w:rsid w:val="15EF58A5"/>
    <w:rsid w:val="16377A49"/>
    <w:rsid w:val="16BB4200"/>
    <w:rsid w:val="16DD481F"/>
    <w:rsid w:val="17141A67"/>
    <w:rsid w:val="172A3039"/>
    <w:rsid w:val="174C5E28"/>
    <w:rsid w:val="175C6F6A"/>
    <w:rsid w:val="1788081B"/>
    <w:rsid w:val="1789383B"/>
    <w:rsid w:val="17AA32D1"/>
    <w:rsid w:val="183103F7"/>
    <w:rsid w:val="184D168C"/>
    <w:rsid w:val="187C5B16"/>
    <w:rsid w:val="18D94A9E"/>
    <w:rsid w:val="18DF722B"/>
    <w:rsid w:val="18E51252"/>
    <w:rsid w:val="18EA1064"/>
    <w:rsid w:val="18EE0096"/>
    <w:rsid w:val="19181A4D"/>
    <w:rsid w:val="192D5062"/>
    <w:rsid w:val="19586DB4"/>
    <w:rsid w:val="19625D3A"/>
    <w:rsid w:val="196D6B72"/>
    <w:rsid w:val="19705FB3"/>
    <w:rsid w:val="1A457223"/>
    <w:rsid w:val="1A490912"/>
    <w:rsid w:val="1A533F79"/>
    <w:rsid w:val="1A8C7B66"/>
    <w:rsid w:val="1AFF771C"/>
    <w:rsid w:val="1B194865"/>
    <w:rsid w:val="1B416ED9"/>
    <w:rsid w:val="1BFE4A94"/>
    <w:rsid w:val="1C024584"/>
    <w:rsid w:val="1C275D99"/>
    <w:rsid w:val="1C313BEB"/>
    <w:rsid w:val="1C47573B"/>
    <w:rsid w:val="1C484400"/>
    <w:rsid w:val="1C493F61"/>
    <w:rsid w:val="1C907DE2"/>
    <w:rsid w:val="1C9A095A"/>
    <w:rsid w:val="1CAC4CD1"/>
    <w:rsid w:val="1CF20FEA"/>
    <w:rsid w:val="1CF2284B"/>
    <w:rsid w:val="1D1D037D"/>
    <w:rsid w:val="1D2E600F"/>
    <w:rsid w:val="1D4D182F"/>
    <w:rsid w:val="1D4D5CD3"/>
    <w:rsid w:val="1D5E10DB"/>
    <w:rsid w:val="1D70026F"/>
    <w:rsid w:val="1D8A2A83"/>
    <w:rsid w:val="1DAA4ED3"/>
    <w:rsid w:val="1DDB5524"/>
    <w:rsid w:val="1DDE4E5F"/>
    <w:rsid w:val="1DE025DF"/>
    <w:rsid w:val="1DEB16AD"/>
    <w:rsid w:val="1DF47EFC"/>
    <w:rsid w:val="1E1C321D"/>
    <w:rsid w:val="1E28404A"/>
    <w:rsid w:val="1E3649B9"/>
    <w:rsid w:val="1E6757C2"/>
    <w:rsid w:val="1E9B2347"/>
    <w:rsid w:val="1EA77665"/>
    <w:rsid w:val="1EDB58ED"/>
    <w:rsid w:val="1EF12973"/>
    <w:rsid w:val="1F0C571A"/>
    <w:rsid w:val="1F2E477C"/>
    <w:rsid w:val="1F4849A4"/>
    <w:rsid w:val="1F817EB6"/>
    <w:rsid w:val="1FA94D17"/>
    <w:rsid w:val="20260E01"/>
    <w:rsid w:val="203E3020"/>
    <w:rsid w:val="20835428"/>
    <w:rsid w:val="209E090C"/>
    <w:rsid w:val="20D91D20"/>
    <w:rsid w:val="213D1BBA"/>
    <w:rsid w:val="21A759F5"/>
    <w:rsid w:val="21D4519B"/>
    <w:rsid w:val="22343BC8"/>
    <w:rsid w:val="22431452"/>
    <w:rsid w:val="226338A3"/>
    <w:rsid w:val="226971BB"/>
    <w:rsid w:val="22D85A13"/>
    <w:rsid w:val="22EE7610"/>
    <w:rsid w:val="22FB6E7F"/>
    <w:rsid w:val="231F6524"/>
    <w:rsid w:val="233F7E6C"/>
    <w:rsid w:val="23611455"/>
    <w:rsid w:val="240F5FF9"/>
    <w:rsid w:val="2418150C"/>
    <w:rsid w:val="24392B0D"/>
    <w:rsid w:val="247F0D0F"/>
    <w:rsid w:val="249266C1"/>
    <w:rsid w:val="24BD373E"/>
    <w:rsid w:val="24C04FDC"/>
    <w:rsid w:val="24F73F94"/>
    <w:rsid w:val="24F917B8"/>
    <w:rsid w:val="25042927"/>
    <w:rsid w:val="25062640"/>
    <w:rsid w:val="250F09F9"/>
    <w:rsid w:val="250F7D12"/>
    <w:rsid w:val="253C34BF"/>
    <w:rsid w:val="254F21E3"/>
    <w:rsid w:val="255350E0"/>
    <w:rsid w:val="25710BA2"/>
    <w:rsid w:val="25807B05"/>
    <w:rsid w:val="259C77F7"/>
    <w:rsid w:val="25B22145"/>
    <w:rsid w:val="25B508B9"/>
    <w:rsid w:val="25DA5423"/>
    <w:rsid w:val="26176876"/>
    <w:rsid w:val="261B51CF"/>
    <w:rsid w:val="262E41C8"/>
    <w:rsid w:val="264F11E7"/>
    <w:rsid w:val="265055A1"/>
    <w:rsid w:val="26633E71"/>
    <w:rsid w:val="26975BC4"/>
    <w:rsid w:val="26DB33CE"/>
    <w:rsid w:val="26DF549E"/>
    <w:rsid w:val="26E34846"/>
    <w:rsid w:val="26F35650"/>
    <w:rsid w:val="26F947D6"/>
    <w:rsid w:val="27354DD5"/>
    <w:rsid w:val="27565784"/>
    <w:rsid w:val="276A7481"/>
    <w:rsid w:val="27777E84"/>
    <w:rsid w:val="27C43035"/>
    <w:rsid w:val="27E503BE"/>
    <w:rsid w:val="27F82CDF"/>
    <w:rsid w:val="27FA6A57"/>
    <w:rsid w:val="283627B9"/>
    <w:rsid w:val="284D7980"/>
    <w:rsid w:val="288F719F"/>
    <w:rsid w:val="28B85A47"/>
    <w:rsid w:val="28C12480"/>
    <w:rsid w:val="28CB4A9B"/>
    <w:rsid w:val="28DE741C"/>
    <w:rsid w:val="28E26D4E"/>
    <w:rsid w:val="28E514B5"/>
    <w:rsid w:val="28EB017F"/>
    <w:rsid w:val="290A2CCA"/>
    <w:rsid w:val="29211DC2"/>
    <w:rsid w:val="29233D8C"/>
    <w:rsid w:val="297D0B3C"/>
    <w:rsid w:val="29A6269F"/>
    <w:rsid w:val="29B733F6"/>
    <w:rsid w:val="29FE366D"/>
    <w:rsid w:val="2A004B0E"/>
    <w:rsid w:val="2A0C15B2"/>
    <w:rsid w:val="2AC84BEB"/>
    <w:rsid w:val="2AC87988"/>
    <w:rsid w:val="2AD57308"/>
    <w:rsid w:val="2B0379D1"/>
    <w:rsid w:val="2B056078"/>
    <w:rsid w:val="2B5717CB"/>
    <w:rsid w:val="2B683CD8"/>
    <w:rsid w:val="2B9B66B6"/>
    <w:rsid w:val="2BB37649"/>
    <w:rsid w:val="2BBA4113"/>
    <w:rsid w:val="2BF2003B"/>
    <w:rsid w:val="2BF57C61"/>
    <w:rsid w:val="2CE41EE0"/>
    <w:rsid w:val="2CEC262F"/>
    <w:rsid w:val="2CF20E1C"/>
    <w:rsid w:val="2CF75313"/>
    <w:rsid w:val="2D7C3A6A"/>
    <w:rsid w:val="2DB41456"/>
    <w:rsid w:val="2DD469DF"/>
    <w:rsid w:val="2DDF5E3D"/>
    <w:rsid w:val="2DFB7085"/>
    <w:rsid w:val="2E0E6DB8"/>
    <w:rsid w:val="2E322C13"/>
    <w:rsid w:val="2E6B1950"/>
    <w:rsid w:val="2EAE40F8"/>
    <w:rsid w:val="2EBA2832"/>
    <w:rsid w:val="2F414F6C"/>
    <w:rsid w:val="2F8512FC"/>
    <w:rsid w:val="2F917CC5"/>
    <w:rsid w:val="2FBA10E3"/>
    <w:rsid w:val="2FBB4372"/>
    <w:rsid w:val="2FDA2486"/>
    <w:rsid w:val="300114B1"/>
    <w:rsid w:val="30063EE1"/>
    <w:rsid w:val="30204B81"/>
    <w:rsid w:val="304E16EE"/>
    <w:rsid w:val="30601421"/>
    <w:rsid w:val="30615592"/>
    <w:rsid w:val="30893C43"/>
    <w:rsid w:val="30B17ECF"/>
    <w:rsid w:val="30BE4139"/>
    <w:rsid w:val="30C419B0"/>
    <w:rsid w:val="31117344"/>
    <w:rsid w:val="314658EC"/>
    <w:rsid w:val="31482E0F"/>
    <w:rsid w:val="314B20D2"/>
    <w:rsid w:val="31630C52"/>
    <w:rsid w:val="317E6003"/>
    <w:rsid w:val="31B25CAD"/>
    <w:rsid w:val="31C91C1F"/>
    <w:rsid w:val="31F938DC"/>
    <w:rsid w:val="324A4137"/>
    <w:rsid w:val="324E54ED"/>
    <w:rsid w:val="32B15F03"/>
    <w:rsid w:val="32CF2C6D"/>
    <w:rsid w:val="32D16004"/>
    <w:rsid w:val="32E07700"/>
    <w:rsid w:val="331B0050"/>
    <w:rsid w:val="33595231"/>
    <w:rsid w:val="338A0DB2"/>
    <w:rsid w:val="33B73F97"/>
    <w:rsid w:val="33D95C8E"/>
    <w:rsid w:val="34164C19"/>
    <w:rsid w:val="342531B0"/>
    <w:rsid w:val="3442156A"/>
    <w:rsid w:val="34431A58"/>
    <w:rsid w:val="3444307F"/>
    <w:rsid w:val="34621C0C"/>
    <w:rsid w:val="348F1705"/>
    <w:rsid w:val="349D2C44"/>
    <w:rsid w:val="34A73AC3"/>
    <w:rsid w:val="34CA0F36"/>
    <w:rsid w:val="34D83C7C"/>
    <w:rsid w:val="350B5E00"/>
    <w:rsid w:val="353C420B"/>
    <w:rsid w:val="353F3CFB"/>
    <w:rsid w:val="35532DBC"/>
    <w:rsid w:val="35697B53"/>
    <w:rsid w:val="35F42D38"/>
    <w:rsid w:val="36201D7F"/>
    <w:rsid w:val="362A3A8B"/>
    <w:rsid w:val="363350EB"/>
    <w:rsid w:val="364F591B"/>
    <w:rsid w:val="36540A09"/>
    <w:rsid w:val="368801FB"/>
    <w:rsid w:val="36960120"/>
    <w:rsid w:val="371511B8"/>
    <w:rsid w:val="37200240"/>
    <w:rsid w:val="3752365C"/>
    <w:rsid w:val="37557806"/>
    <w:rsid w:val="37641351"/>
    <w:rsid w:val="376C4F60"/>
    <w:rsid w:val="377604AE"/>
    <w:rsid w:val="37785C00"/>
    <w:rsid w:val="37D83F93"/>
    <w:rsid w:val="37FA215C"/>
    <w:rsid w:val="382A05EF"/>
    <w:rsid w:val="384B29B7"/>
    <w:rsid w:val="386A72E1"/>
    <w:rsid w:val="38773CE4"/>
    <w:rsid w:val="387C2BC5"/>
    <w:rsid w:val="38912AC0"/>
    <w:rsid w:val="38A722E3"/>
    <w:rsid w:val="38A9615A"/>
    <w:rsid w:val="38E03A75"/>
    <w:rsid w:val="38F1355F"/>
    <w:rsid w:val="39294ED4"/>
    <w:rsid w:val="3986639D"/>
    <w:rsid w:val="398D3DAB"/>
    <w:rsid w:val="39A974DD"/>
    <w:rsid w:val="39AD3929"/>
    <w:rsid w:val="39C50A6C"/>
    <w:rsid w:val="39C944DB"/>
    <w:rsid w:val="39ED1F78"/>
    <w:rsid w:val="39EF7777"/>
    <w:rsid w:val="3A001741"/>
    <w:rsid w:val="3A1157A4"/>
    <w:rsid w:val="3A137505"/>
    <w:rsid w:val="3A503E15"/>
    <w:rsid w:val="3A577D39"/>
    <w:rsid w:val="3AA30888"/>
    <w:rsid w:val="3AC0783E"/>
    <w:rsid w:val="3ADD1FEC"/>
    <w:rsid w:val="3B235596"/>
    <w:rsid w:val="3B276C2B"/>
    <w:rsid w:val="3B2F5BD2"/>
    <w:rsid w:val="3B9F1AC7"/>
    <w:rsid w:val="3BA64AD4"/>
    <w:rsid w:val="3BA67BFE"/>
    <w:rsid w:val="3BC10E97"/>
    <w:rsid w:val="3BCE68F6"/>
    <w:rsid w:val="3BE7177E"/>
    <w:rsid w:val="3BE81DB4"/>
    <w:rsid w:val="3BE90D47"/>
    <w:rsid w:val="3BF33A92"/>
    <w:rsid w:val="3C033CD5"/>
    <w:rsid w:val="3C067321"/>
    <w:rsid w:val="3C7D094D"/>
    <w:rsid w:val="3CB106FF"/>
    <w:rsid w:val="3CC86CCC"/>
    <w:rsid w:val="3CDD4AE2"/>
    <w:rsid w:val="3D6C58AA"/>
    <w:rsid w:val="3D711136"/>
    <w:rsid w:val="3DA4074B"/>
    <w:rsid w:val="3DEF1E24"/>
    <w:rsid w:val="3E03340C"/>
    <w:rsid w:val="3E285EB1"/>
    <w:rsid w:val="3E2972F7"/>
    <w:rsid w:val="3E2A7542"/>
    <w:rsid w:val="3E2B6F65"/>
    <w:rsid w:val="3E3574C9"/>
    <w:rsid w:val="3E3C4DB4"/>
    <w:rsid w:val="3E8721E3"/>
    <w:rsid w:val="3ED608CB"/>
    <w:rsid w:val="3EF1250A"/>
    <w:rsid w:val="3F663878"/>
    <w:rsid w:val="3F854F4E"/>
    <w:rsid w:val="3FCE168F"/>
    <w:rsid w:val="3FD57736"/>
    <w:rsid w:val="3FE62B98"/>
    <w:rsid w:val="3FEA59F4"/>
    <w:rsid w:val="3FF978C6"/>
    <w:rsid w:val="404D19C2"/>
    <w:rsid w:val="40605327"/>
    <w:rsid w:val="40862D4A"/>
    <w:rsid w:val="40866C82"/>
    <w:rsid w:val="40C61775"/>
    <w:rsid w:val="411464E6"/>
    <w:rsid w:val="412169AB"/>
    <w:rsid w:val="412D70FE"/>
    <w:rsid w:val="414E29EF"/>
    <w:rsid w:val="415839A9"/>
    <w:rsid w:val="417D6CC8"/>
    <w:rsid w:val="41A75AF3"/>
    <w:rsid w:val="41C412CA"/>
    <w:rsid w:val="41DF489C"/>
    <w:rsid w:val="41F138B8"/>
    <w:rsid w:val="41F63745"/>
    <w:rsid w:val="422A71FD"/>
    <w:rsid w:val="422B7AE1"/>
    <w:rsid w:val="424934BE"/>
    <w:rsid w:val="42605D66"/>
    <w:rsid w:val="427C06FC"/>
    <w:rsid w:val="436062ED"/>
    <w:rsid w:val="43672BC1"/>
    <w:rsid w:val="438A4CDB"/>
    <w:rsid w:val="43B12268"/>
    <w:rsid w:val="43BA27E2"/>
    <w:rsid w:val="43D321DE"/>
    <w:rsid w:val="44006D3C"/>
    <w:rsid w:val="44583A21"/>
    <w:rsid w:val="44793683"/>
    <w:rsid w:val="44A02630"/>
    <w:rsid w:val="44D37FBC"/>
    <w:rsid w:val="44F56185"/>
    <w:rsid w:val="44F72877"/>
    <w:rsid w:val="44FD0AE0"/>
    <w:rsid w:val="452E63FB"/>
    <w:rsid w:val="45494171"/>
    <w:rsid w:val="45992FB4"/>
    <w:rsid w:val="45E5104F"/>
    <w:rsid w:val="45FE72BB"/>
    <w:rsid w:val="461C0922"/>
    <w:rsid w:val="46662DCA"/>
    <w:rsid w:val="46804F4A"/>
    <w:rsid w:val="468050AC"/>
    <w:rsid w:val="4683634C"/>
    <w:rsid w:val="46A05B8A"/>
    <w:rsid w:val="46A240EA"/>
    <w:rsid w:val="46B11AF3"/>
    <w:rsid w:val="47032343"/>
    <w:rsid w:val="471C5C4A"/>
    <w:rsid w:val="47206B69"/>
    <w:rsid w:val="47213261"/>
    <w:rsid w:val="474433F3"/>
    <w:rsid w:val="474E1516"/>
    <w:rsid w:val="475428FB"/>
    <w:rsid w:val="47634ABA"/>
    <w:rsid w:val="47AF6745"/>
    <w:rsid w:val="47CD5197"/>
    <w:rsid w:val="47F31035"/>
    <w:rsid w:val="481779A7"/>
    <w:rsid w:val="48345AED"/>
    <w:rsid w:val="484F23EF"/>
    <w:rsid w:val="48583B2F"/>
    <w:rsid w:val="487B5B30"/>
    <w:rsid w:val="488F1E3F"/>
    <w:rsid w:val="48A577C5"/>
    <w:rsid w:val="48AA4D91"/>
    <w:rsid w:val="48B34200"/>
    <w:rsid w:val="48B55FF4"/>
    <w:rsid w:val="48B83F5F"/>
    <w:rsid w:val="48BF2D31"/>
    <w:rsid w:val="493F2369"/>
    <w:rsid w:val="497951B4"/>
    <w:rsid w:val="49AE2DA6"/>
    <w:rsid w:val="49BF12C3"/>
    <w:rsid w:val="49DE02B9"/>
    <w:rsid w:val="49E07638"/>
    <w:rsid w:val="49FB2BAD"/>
    <w:rsid w:val="4A1B043B"/>
    <w:rsid w:val="4A6A4F1F"/>
    <w:rsid w:val="4AB368C6"/>
    <w:rsid w:val="4B0921FB"/>
    <w:rsid w:val="4B624E10"/>
    <w:rsid w:val="4BAA3845"/>
    <w:rsid w:val="4BC3391C"/>
    <w:rsid w:val="4BE87E41"/>
    <w:rsid w:val="4BF076A6"/>
    <w:rsid w:val="4BF24EAD"/>
    <w:rsid w:val="4BFB3467"/>
    <w:rsid w:val="4C765DFD"/>
    <w:rsid w:val="4CE86CA4"/>
    <w:rsid w:val="4D354789"/>
    <w:rsid w:val="4D4166E0"/>
    <w:rsid w:val="4D556BC6"/>
    <w:rsid w:val="4D5D25E6"/>
    <w:rsid w:val="4DAE15C6"/>
    <w:rsid w:val="4E1F24C4"/>
    <w:rsid w:val="4E2B0E69"/>
    <w:rsid w:val="4E3C6BD2"/>
    <w:rsid w:val="4E4B4C66"/>
    <w:rsid w:val="4E5C1022"/>
    <w:rsid w:val="4EA019A4"/>
    <w:rsid w:val="4EEC508F"/>
    <w:rsid w:val="4EFD324F"/>
    <w:rsid w:val="4F0A6CD0"/>
    <w:rsid w:val="4F145549"/>
    <w:rsid w:val="4F61335F"/>
    <w:rsid w:val="4F6962E4"/>
    <w:rsid w:val="4F752B14"/>
    <w:rsid w:val="4F8151E4"/>
    <w:rsid w:val="4F864119"/>
    <w:rsid w:val="4FC6709B"/>
    <w:rsid w:val="500674A1"/>
    <w:rsid w:val="50191DB5"/>
    <w:rsid w:val="504A0F29"/>
    <w:rsid w:val="509558CA"/>
    <w:rsid w:val="509947B0"/>
    <w:rsid w:val="50B45146"/>
    <w:rsid w:val="50CF213B"/>
    <w:rsid w:val="50F25C6E"/>
    <w:rsid w:val="511A58F1"/>
    <w:rsid w:val="512D7E50"/>
    <w:rsid w:val="51D44EF3"/>
    <w:rsid w:val="51E814D8"/>
    <w:rsid w:val="51E90E1F"/>
    <w:rsid w:val="520C2D5F"/>
    <w:rsid w:val="52287B99"/>
    <w:rsid w:val="523A167B"/>
    <w:rsid w:val="526B4101"/>
    <w:rsid w:val="527C26D8"/>
    <w:rsid w:val="52840667"/>
    <w:rsid w:val="52A2745B"/>
    <w:rsid w:val="52AB4326"/>
    <w:rsid w:val="52B61649"/>
    <w:rsid w:val="52C85CE2"/>
    <w:rsid w:val="52D613D4"/>
    <w:rsid w:val="530136E7"/>
    <w:rsid w:val="532820A9"/>
    <w:rsid w:val="53A414A2"/>
    <w:rsid w:val="53A6324B"/>
    <w:rsid w:val="53CD5259"/>
    <w:rsid w:val="53FD74E0"/>
    <w:rsid w:val="54084F80"/>
    <w:rsid w:val="540C7D32"/>
    <w:rsid w:val="54180AEA"/>
    <w:rsid w:val="54384218"/>
    <w:rsid w:val="545F361A"/>
    <w:rsid w:val="54764129"/>
    <w:rsid w:val="54815C87"/>
    <w:rsid w:val="54A454D1"/>
    <w:rsid w:val="54AD1051"/>
    <w:rsid w:val="54EE3C23"/>
    <w:rsid w:val="54FF0E27"/>
    <w:rsid w:val="55202DAA"/>
    <w:rsid w:val="55313209"/>
    <w:rsid w:val="556D1A70"/>
    <w:rsid w:val="55A34E0E"/>
    <w:rsid w:val="55C0458D"/>
    <w:rsid w:val="565D3B8A"/>
    <w:rsid w:val="56644F18"/>
    <w:rsid w:val="56660E24"/>
    <w:rsid w:val="567F7FA4"/>
    <w:rsid w:val="56F4757D"/>
    <w:rsid w:val="570A1802"/>
    <w:rsid w:val="57157DE3"/>
    <w:rsid w:val="5730129E"/>
    <w:rsid w:val="5741165C"/>
    <w:rsid w:val="57AB64C3"/>
    <w:rsid w:val="57D91936"/>
    <w:rsid w:val="57F75F10"/>
    <w:rsid w:val="582901C7"/>
    <w:rsid w:val="584C035A"/>
    <w:rsid w:val="584C63C9"/>
    <w:rsid w:val="5875165E"/>
    <w:rsid w:val="58F22CAF"/>
    <w:rsid w:val="59177201"/>
    <w:rsid w:val="591D4842"/>
    <w:rsid w:val="59487F97"/>
    <w:rsid w:val="596D4604"/>
    <w:rsid w:val="596F4300"/>
    <w:rsid w:val="59D1269B"/>
    <w:rsid w:val="59EE2FE3"/>
    <w:rsid w:val="5A0D44AA"/>
    <w:rsid w:val="5A20041E"/>
    <w:rsid w:val="5A504F83"/>
    <w:rsid w:val="5A5E5E14"/>
    <w:rsid w:val="5A683600"/>
    <w:rsid w:val="5A6C60F1"/>
    <w:rsid w:val="5A9C7376"/>
    <w:rsid w:val="5A9D4E9D"/>
    <w:rsid w:val="5AA1242F"/>
    <w:rsid w:val="5ADA1C4D"/>
    <w:rsid w:val="5B136F0D"/>
    <w:rsid w:val="5B2230FF"/>
    <w:rsid w:val="5B4B2200"/>
    <w:rsid w:val="5B813992"/>
    <w:rsid w:val="5BA850E3"/>
    <w:rsid w:val="5BC621D1"/>
    <w:rsid w:val="5BE56AFB"/>
    <w:rsid w:val="5BEB5230"/>
    <w:rsid w:val="5BFE38C4"/>
    <w:rsid w:val="5C180C7F"/>
    <w:rsid w:val="5C1E5F51"/>
    <w:rsid w:val="5C546444"/>
    <w:rsid w:val="5C6C02A1"/>
    <w:rsid w:val="5C9E2E5F"/>
    <w:rsid w:val="5CC11127"/>
    <w:rsid w:val="5CC80DAC"/>
    <w:rsid w:val="5CCB1C6A"/>
    <w:rsid w:val="5CD019D7"/>
    <w:rsid w:val="5CD04419"/>
    <w:rsid w:val="5CDD43EE"/>
    <w:rsid w:val="5D4F365E"/>
    <w:rsid w:val="5D8F6D1E"/>
    <w:rsid w:val="5DAC027C"/>
    <w:rsid w:val="5E1231BA"/>
    <w:rsid w:val="5E126B85"/>
    <w:rsid w:val="5E7B72A3"/>
    <w:rsid w:val="5E8967F1"/>
    <w:rsid w:val="5EA12991"/>
    <w:rsid w:val="5EBA3CB3"/>
    <w:rsid w:val="5EC20423"/>
    <w:rsid w:val="5EC22858"/>
    <w:rsid w:val="5EF03D6F"/>
    <w:rsid w:val="5F013C4C"/>
    <w:rsid w:val="5F3508E0"/>
    <w:rsid w:val="5F39068C"/>
    <w:rsid w:val="5F447FDD"/>
    <w:rsid w:val="5F781A34"/>
    <w:rsid w:val="5F797126"/>
    <w:rsid w:val="5F914549"/>
    <w:rsid w:val="5FEF619A"/>
    <w:rsid w:val="5FFA5BB9"/>
    <w:rsid w:val="60247AC7"/>
    <w:rsid w:val="6038538E"/>
    <w:rsid w:val="603B43A7"/>
    <w:rsid w:val="6051650D"/>
    <w:rsid w:val="608200F6"/>
    <w:rsid w:val="60DF620F"/>
    <w:rsid w:val="610A1AD2"/>
    <w:rsid w:val="613E38F4"/>
    <w:rsid w:val="614C5323"/>
    <w:rsid w:val="61722BDF"/>
    <w:rsid w:val="61806AB2"/>
    <w:rsid w:val="620B60B7"/>
    <w:rsid w:val="621C2B4B"/>
    <w:rsid w:val="626E172C"/>
    <w:rsid w:val="627F638C"/>
    <w:rsid w:val="62B334AF"/>
    <w:rsid w:val="62BF00A6"/>
    <w:rsid w:val="63215C89"/>
    <w:rsid w:val="632223E3"/>
    <w:rsid w:val="63253C81"/>
    <w:rsid w:val="635B76A3"/>
    <w:rsid w:val="635D166D"/>
    <w:rsid w:val="63A33B1E"/>
    <w:rsid w:val="63B66D2A"/>
    <w:rsid w:val="63C811DC"/>
    <w:rsid w:val="63D47B81"/>
    <w:rsid w:val="63F034CA"/>
    <w:rsid w:val="640F2DFD"/>
    <w:rsid w:val="6439404D"/>
    <w:rsid w:val="64414217"/>
    <w:rsid w:val="64C866B8"/>
    <w:rsid w:val="64D920A5"/>
    <w:rsid w:val="64E548F7"/>
    <w:rsid w:val="65564173"/>
    <w:rsid w:val="655A40B6"/>
    <w:rsid w:val="6578565E"/>
    <w:rsid w:val="65790044"/>
    <w:rsid w:val="65975EE4"/>
    <w:rsid w:val="65BD003E"/>
    <w:rsid w:val="65C36135"/>
    <w:rsid w:val="65DF5837"/>
    <w:rsid w:val="65EA6629"/>
    <w:rsid w:val="65F17A91"/>
    <w:rsid w:val="65F53411"/>
    <w:rsid w:val="65F8742B"/>
    <w:rsid w:val="66541327"/>
    <w:rsid w:val="666845B1"/>
    <w:rsid w:val="66821B81"/>
    <w:rsid w:val="67026C51"/>
    <w:rsid w:val="670507BA"/>
    <w:rsid w:val="67851192"/>
    <w:rsid w:val="67982C74"/>
    <w:rsid w:val="67A72D76"/>
    <w:rsid w:val="67BB4F53"/>
    <w:rsid w:val="67C320D8"/>
    <w:rsid w:val="67D349DF"/>
    <w:rsid w:val="67E52EAC"/>
    <w:rsid w:val="68004A7F"/>
    <w:rsid w:val="685D63B6"/>
    <w:rsid w:val="685E3EBD"/>
    <w:rsid w:val="688356D2"/>
    <w:rsid w:val="68856285"/>
    <w:rsid w:val="689E11ED"/>
    <w:rsid w:val="68ED6FEF"/>
    <w:rsid w:val="68EF2D67"/>
    <w:rsid w:val="69A13E64"/>
    <w:rsid w:val="69BD2E65"/>
    <w:rsid w:val="69C925B7"/>
    <w:rsid w:val="69E71C90"/>
    <w:rsid w:val="6A226AC0"/>
    <w:rsid w:val="6A843F7F"/>
    <w:rsid w:val="6AE03ECA"/>
    <w:rsid w:val="6B785296"/>
    <w:rsid w:val="6B914020"/>
    <w:rsid w:val="6BB33A07"/>
    <w:rsid w:val="6C4F1E42"/>
    <w:rsid w:val="6C700663"/>
    <w:rsid w:val="6C852B4E"/>
    <w:rsid w:val="6CA945F1"/>
    <w:rsid w:val="6CCA0F33"/>
    <w:rsid w:val="6CD4062A"/>
    <w:rsid w:val="6CE16E6B"/>
    <w:rsid w:val="6D2603F9"/>
    <w:rsid w:val="6D260D22"/>
    <w:rsid w:val="6D400035"/>
    <w:rsid w:val="6D5533B5"/>
    <w:rsid w:val="6D661315"/>
    <w:rsid w:val="6D6655C2"/>
    <w:rsid w:val="6D7868A1"/>
    <w:rsid w:val="6D824959"/>
    <w:rsid w:val="6D9914F3"/>
    <w:rsid w:val="6DFA4942"/>
    <w:rsid w:val="6E100ED5"/>
    <w:rsid w:val="6E197DA1"/>
    <w:rsid w:val="6E313E22"/>
    <w:rsid w:val="6E6C5654"/>
    <w:rsid w:val="6EAB53E9"/>
    <w:rsid w:val="6EBF4F8A"/>
    <w:rsid w:val="6EE02FE9"/>
    <w:rsid w:val="6EFA03DD"/>
    <w:rsid w:val="6F5347D8"/>
    <w:rsid w:val="6F564CDB"/>
    <w:rsid w:val="6F656188"/>
    <w:rsid w:val="6F783E7C"/>
    <w:rsid w:val="6F9F0C2A"/>
    <w:rsid w:val="6FCC3FA2"/>
    <w:rsid w:val="6FE36B36"/>
    <w:rsid w:val="6FFB0243"/>
    <w:rsid w:val="700E7345"/>
    <w:rsid w:val="70270673"/>
    <w:rsid w:val="704F058F"/>
    <w:rsid w:val="70576A3D"/>
    <w:rsid w:val="70666005"/>
    <w:rsid w:val="70761FC0"/>
    <w:rsid w:val="707C55FA"/>
    <w:rsid w:val="70FC0717"/>
    <w:rsid w:val="715F4802"/>
    <w:rsid w:val="719D724B"/>
    <w:rsid w:val="723F4D5F"/>
    <w:rsid w:val="725A0D7A"/>
    <w:rsid w:val="72892995"/>
    <w:rsid w:val="72914E8F"/>
    <w:rsid w:val="73010267"/>
    <w:rsid w:val="73076D1D"/>
    <w:rsid w:val="734737A0"/>
    <w:rsid w:val="73510438"/>
    <w:rsid w:val="73743FA2"/>
    <w:rsid w:val="73927111"/>
    <w:rsid w:val="7395275D"/>
    <w:rsid w:val="73DC0680"/>
    <w:rsid w:val="73E32B92"/>
    <w:rsid w:val="73FB6A64"/>
    <w:rsid w:val="74147B26"/>
    <w:rsid w:val="7416389E"/>
    <w:rsid w:val="741F752E"/>
    <w:rsid w:val="74212243"/>
    <w:rsid w:val="7440091B"/>
    <w:rsid w:val="7452064E"/>
    <w:rsid w:val="7476258E"/>
    <w:rsid w:val="7483123D"/>
    <w:rsid w:val="74982505"/>
    <w:rsid w:val="749D3FBF"/>
    <w:rsid w:val="74AC6F32"/>
    <w:rsid w:val="74B11819"/>
    <w:rsid w:val="74C74B98"/>
    <w:rsid w:val="74D3353D"/>
    <w:rsid w:val="752B3379"/>
    <w:rsid w:val="753A7A60"/>
    <w:rsid w:val="75502DDF"/>
    <w:rsid w:val="75791AD4"/>
    <w:rsid w:val="75813E0D"/>
    <w:rsid w:val="758908DD"/>
    <w:rsid w:val="75BE243F"/>
    <w:rsid w:val="75F23E97"/>
    <w:rsid w:val="7602300F"/>
    <w:rsid w:val="76424E1E"/>
    <w:rsid w:val="764A1842"/>
    <w:rsid w:val="765913BB"/>
    <w:rsid w:val="76E77774"/>
    <w:rsid w:val="774A4CB4"/>
    <w:rsid w:val="7778661E"/>
    <w:rsid w:val="779D4895"/>
    <w:rsid w:val="779F2D82"/>
    <w:rsid w:val="77A15610"/>
    <w:rsid w:val="77A80CB1"/>
    <w:rsid w:val="77B21A58"/>
    <w:rsid w:val="77B5517C"/>
    <w:rsid w:val="77E20AD3"/>
    <w:rsid w:val="780103C1"/>
    <w:rsid w:val="781A41AA"/>
    <w:rsid w:val="783D066F"/>
    <w:rsid w:val="786C3B6A"/>
    <w:rsid w:val="78854BDB"/>
    <w:rsid w:val="788E1ADF"/>
    <w:rsid w:val="78AF35B0"/>
    <w:rsid w:val="78C6192B"/>
    <w:rsid w:val="79505A98"/>
    <w:rsid w:val="798B40AB"/>
    <w:rsid w:val="79C67B14"/>
    <w:rsid w:val="7A011EC5"/>
    <w:rsid w:val="7A115146"/>
    <w:rsid w:val="7A3B22B0"/>
    <w:rsid w:val="7A523156"/>
    <w:rsid w:val="7A7C01D3"/>
    <w:rsid w:val="7A86532E"/>
    <w:rsid w:val="7AA95AB7"/>
    <w:rsid w:val="7AAA11E4"/>
    <w:rsid w:val="7AAC6D0A"/>
    <w:rsid w:val="7AC71D39"/>
    <w:rsid w:val="7AD324E9"/>
    <w:rsid w:val="7AE479FD"/>
    <w:rsid w:val="7B077A6A"/>
    <w:rsid w:val="7B1143A9"/>
    <w:rsid w:val="7B486B8B"/>
    <w:rsid w:val="7B4F3686"/>
    <w:rsid w:val="7B754C21"/>
    <w:rsid w:val="7B7C1E9E"/>
    <w:rsid w:val="7B9D5142"/>
    <w:rsid w:val="7BA40F7B"/>
    <w:rsid w:val="7C0422DB"/>
    <w:rsid w:val="7C281711"/>
    <w:rsid w:val="7C345209"/>
    <w:rsid w:val="7C776EA4"/>
    <w:rsid w:val="7C99506C"/>
    <w:rsid w:val="7C9D6FAC"/>
    <w:rsid w:val="7CC232F4"/>
    <w:rsid w:val="7CC52305"/>
    <w:rsid w:val="7D1B1F25"/>
    <w:rsid w:val="7D2C5EE0"/>
    <w:rsid w:val="7D3426D0"/>
    <w:rsid w:val="7D40798F"/>
    <w:rsid w:val="7D7E623C"/>
    <w:rsid w:val="7D7F0706"/>
    <w:rsid w:val="7D89072D"/>
    <w:rsid w:val="7DAA5057"/>
    <w:rsid w:val="7DBB54B6"/>
    <w:rsid w:val="7E191883"/>
    <w:rsid w:val="7E2766A8"/>
    <w:rsid w:val="7E2F7CA9"/>
    <w:rsid w:val="7E41284A"/>
    <w:rsid w:val="7E876A7F"/>
    <w:rsid w:val="7E93579B"/>
    <w:rsid w:val="7E9C7095"/>
    <w:rsid w:val="7E9E4BBC"/>
    <w:rsid w:val="7EA45F4A"/>
    <w:rsid w:val="7EAB5EE6"/>
    <w:rsid w:val="7ED56487"/>
    <w:rsid w:val="7EF71FB2"/>
    <w:rsid w:val="7EFF1C16"/>
    <w:rsid w:val="7F571B96"/>
    <w:rsid w:val="7F9476E5"/>
    <w:rsid w:val="7FC94B0C"/>
    <w:rsid w:val="7FF80AEF"/>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4"/>
    <w:next w:val="1"/>
    <w:qFormat/>
    <w:uiPriority w:val="0"/>
    <w:pPr>
      <w:keepNext/>
      <w:keepLines/>
      <w:adjustRightInd w:val="0"/>
      <w:snapToGrid w:val="0"/>
      <w:spacing w:before="260" w:after="260" w:line="594" w:lineRule="exact"/>
      <w:outlineLvl w:val="3"/>
    </w:pPr>
    <w:rPr>
      <w:rFonts w:ascii="Times New Roman" w:hAnsi="Times New Roman" w:eastAsia="方正黑体_GBK" w:cs="Times New Roman"/>
      <w:b/>
      <w:bCs/>
      <w:sz w:val="28"/>
      <w:szCs w:val="28"/>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tabs>
        <w:tab w:val="right" w:leader="dot" w:pos="8834"/>
      </w:tabs>
      <w:spacing w:line="579" w:lineRule="exact"/>
      <w:ind w:firstLine="320" w:firstLineChars="100"/>
      <w:textAlignment w:val="center"/>
    </w:pPr>
    <w:rPr>
      <w:rFonts w:ascii="方正楷体_GBK" w:eastAsia="方正楷体_GBK"/>
      <w:color w:val="000000"/>
    </w:rPr>
  </w:style>
  <w:style w:type="paragraph" w:styleId="5">
    <w:name w:val="annotation text"/>
    <w:basedOn w:val="1"/>
    <w:link w:val="22"/>
    <w:unhideWhenUsed/>
    <w:qFormat/>
    <w:uiPriority w:val="0"/>
    <w:pPr>
      <w:jc w:val="left"/>
    </w:pPr>
  </w:style>
  <w:style w:type="paragraph" w:styleId="6">
    <w:name w:val="Balloon Text"/>
    <w:basedOn w:val="1"/>
    <w:link w:val="24"/>
    <w:semiHidden/>
    <w:unhideWhenUsed/>
    <w:qFormat/>
    <w:uiPriority w:val="99"/>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5"/>
    <w:unhideWhenUsed/>
    <w:qFormat/>
    <w:uiPriority w:val="99"/>
    <w:pPr>
      <w:snapToGrid w:val="0"/>
      <w:jc w:val="left"/>
    </w:pPr>
    <w:rPr>
      <w:sz w:val="18"/>
    </w:rPr>
  </w:style>
  <w:style w:type="paragraph" w:styleId="10">
    <w:name w:val="toc 2"/>
    <w:basedOn w:val="1"/>
    <w:next w:val="1"/>
    <w:unhideWhenUsed/>
    <w:qFormat/>
    <w:uiPriority w:val="39"/>
    <w:pPr>
      <w:ind w:left="420" w:leftChars="200"/>
    </w:pPr>
  </w:style>
  <w:style w:type="paragraph" w:styleId="11">
    <w:name w:val="Normal (Web)"/>
    <w:basedOn w:val="1"/>
    <w:semiHidden/>
    <w:unhideWhenUsed/>
    <w:qFormat/>
    <w:uiPriority w:val="99"/>
    <w:pPr>
      <w:spacing w:beforeAutospacing="1" w:afterAutospacing="1"/>
      <w:jc w:val="left"/>
    </w:pPr>
    <w:rPr>
      <w:rFonts w:cs="Times New Roman"/>
      <w:kern w:val="0"/>
      <w:sz w:val="24"/>
    </w:rPr>
  </w:style>
  <w:style w:type="paragraph" w:styleId="12">
    <w:name w:val="annotation subject"/>
    <w:basedOn w:val="5"/>
    <w:next w:val="5"/>
    <w:link w:val="23"/>
    <w:semiHidden/>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themeColor="hyperlink"/>
      <w:u w:val="single"/>
      <w14:textFill>
        <w14:solidFill>
          <w14:schemeClr w14:val="hlink"/>
        </w14:solidFill>
      </w14:textFill>
    </w:rPr>
  </w:style>
  <w:style w:type="character" w:styleId="17">
    <w:name w:val="annotation reference"/>
    <w:basedOn w:val="15"/>
    <w:unhideWhenUsed/>
    <w:qFormat/>
    <w:uiPriority w:val="0"/>
    <w:rPr>
      <w:sz w:val="21"/>
      <w:szCs w:val="21"/>
    </w:rPr>
  </w:style>
  <w:style w:type="character" w:styleId="18">
    <w:name w:val="footnote reference"/>
    <w:basedOn w:val="15"/>
    <w:unhideWhenUsed/>
    <w:qFormat/>
    <w:uiPriority w:val="99"/>
    <w:rPr>
      <w:vertAlign w:val="superscript"/>
    </w:rPr>
  </w:style>
  <w:style w:type="character" w:customStyle="1" w:styleId="19">
    <w:name w:val="页眉 字符"/>
    <w:basedOn w:val="15"/>
    <w:link w:val="8"/>
    <w:qFormat/>
    <w:uiPriority w:val="99"/>
    <w:rPr>
      <w:sz w:val="18"/>
      <w:szCs w:val="18"/>
    </w:rPr>
  </w:style>
  <w:style w:type="character" w:customStyle="1" w:styleId="20">
    <w:name w:val="页脚 字符"/>
    <w:basedOn w:val="15"/>
    <w:link w:val="7"/>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批注文字 字符"/>
    <w:basedOn w:val="15"/>
    <w:link w:val="5"/>
    <w:qFormat/>
    <w:uiPriority w:val="0"/>
    <w:rPr>
      <w:rFonts w:asciiTheme="minorHAnsi" w:hAnsiTheme="minorHAnsi" w:eastAsiaTheme="minorEastAsia" w:cstheme="minorBidi"/>
      <w:kern w:val="2"/>
      <w:sz w:val="21"/>
      <w:szCs w:val="22"/>
    </w:rPr>
  </w:style>
  <w:style w:type="character" w:customStyle="1" w:styleId="23">
    <w:name w:val="批注主题 字符"/>
    <w:basedOn w:val="22"/>
    <w:link w:val="12"/>
    <w:semiHidden/>
    <w:qFormat/>
    <w:uiPriority w:val="99"/>
    <w:rPr>
      <w:rFonts w:asciiTheme="minorHAnsi" w:hAnsiTheme="minorHAnsi" w:eastAsiaTheme="minorEastAsia" w:cstheme="minorBidi"/>
      <w:b/>
      <w:bCs/>
      <w:kern w:val="2"/>
      <w:sz w:val="21"/>
      <w:szCs w:val="22"/>
    </w:rPr>
  </w:style>
  <w:style w:type="character" w:customStyle="1" w:styleId="24">
    <w:name w:val="批注框文本 字符"/>
    <w:basedOn w:val="15"/>
    <w:link w:val="6"/>
    <w:semiHidden/>
    <w:qFormat/>
    <w:uiPriority w:val="99"/>
    <w:rPr>
      <w:rFonts w:asciiTheme="minorHAnsi" w:hAnsiTheme="minorHAnsi" w:eastAsiaTheme="minorEastAsia" w:cstheme="minorBidi"/>
      <w:kern w:val="2"/>
      <w:sz w:val="18"/>
      <w:szCs w:val="18"/>
    </w:rPr>
  </w:style>
  <w:style w:type="character" w:customStyle="1" w:styleId="25">
    <w:name w:val="脚注文本 字符"/>
    <w:basedOn w:val="15"/>
    <w:link w:val="9"/>
    <w:qFormat/>
    <w:uiPriority w:val="99"/>
    <w:rPr>
      <w:rFonts w:asciiTheme="minorHAnsi" w:hAnsiTheme="minorHAnsi" w:eastAsiaTheme="minorEastAsia" w:cstheme="minorBidi"/>
      <w:kern w:val="2"/>
      <w:sz w:val="18"/>
      <w:szCs w:val="22"/>
    </w:rPr>
  </w:style>
  <w:style w:type="paragraph" w:customStyle="1" w:styleId="26">
    <w:name w:val="纯文本1"/>
    <w:basedOn w:val="1"/>
    <w:qFormat/>
    <w:uiPriority w:val="0"/>
    <w:pPr>
      <w:ind w:firstLine="648" w:firstLineChars="200"/>
    </w:pPr>
    <w:rPr>
      <w:rFonts w:ascii="方正黑体_GBK" w:hAnsi="Courier New" w:eastAsia="宋体" w:cs="Times New Roman"/>
      <w:szCs w:val="24"/>
    </w:rPr>
  </w:style>
  <w:style w:type="character" w:customStyle="1" w:styleId="27">
    <w:name w:val="标题 1 字符"/>
    <w:basedOn w:val="15"/>
    <w:link w:val="3"/>
    <w:qFormat/>
    <w:uiPriority w:val="9"/>
    <w:rPr>
      <w:rFonts w:asciiTheme="minorHAnsi" w:hAnsiTheme="minorHAnsi" w:eastAsiaTheme="minorEastAsia" w:cstheme="minorBidi"/>
      <w:b/>
      <w:bCs/>
      <w:kern w:val="44"/>
      <w:sz w:val="44"/>
      <w:szCs w:val="44"/>
    </w:rPr>
  </w:style>
  <w:style w:type="paragraph" w:customStyle="1" w:styleId="2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9">
    <w:name w:val="未处理的提及1"/>
    <w:basedOn w:val="15"/>
    <w:semiHidden/>
    <w:unhideWhenUsed/>
    <w:qFormat/>
    <w:uiPriority w:val="99"/>
    <w:rPr>
      <w:color w:val="605E5C"/>
      <w:shd w:val="clear" w:color="auto" w:fill="E1DFDD"/>
    </w:rPr>
  </w:style>
  <w:style w:type="paragraph" w:customStyle="1" w:styleId="30">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1">
    <w:name w:val="修订2"/>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C3145-B7E4-4E4D-945C-9154D659E119}">
  <ds:schemaRefs/>
</ds:datastoreItem>
</file>

<file path=docProps/app.xml><?xml version="1.0" encoding="utf-8"?>
<Properties xmlns="http://schemas.openxmlformats.org/officeDocument/2006/extended-properties" xmlns:vt="http://schemas.openxmlformats.org/officeDocument/2006/docPropsVTypes">
  <Template>Normal</Template>
  <Pages>54</Pages>
  <Words>25693</Words>
  <Characters>25945</Characters>
  <Lines>214</Lines>
  <Paragraphs>60</Paragraphs>
  <TotalTime>9</TotalTime>
  <ScaleCrop>false</ScaleCrop>
  <LinksUpToDate>false</LinksUpToDate>
  <CharactersWithSpaces>26332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2022-12-29T13:49:00Z</dcterms:created>
  <dc:creator>liwanliang02@163.com</dc:creator>
  <cp:lastModifiedBy>Administrator</cp:lastModifiedBy>
  <cp:lastPrinted>2022-12-29T14:42:00Z</cp:lastPrinted>
  <dcterms:modified xsi:type="dcterms:W3CDTF">2023-01-06T02:20:35Z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342F5C771FF54A1F9A1FADA597BBD5C0</vt:lpwstr>
  </property>
  <property fmtid="{D5CDD505-2E9C-101B-9397-08002B2CF9AE}" pid="4" name="GrammarlyDocumentId">
    <vt:lpwstr>bed27bf0b78289d5bde58f48ee997c8640ea0e8e5557da47b08f20428f6c7e0f</vt:lpwstr>
  </property>
</Properties>
</file>