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tLeast"/>
        <w:jc w:val="center"/>
        <w:rPr>
          <w:rFonts w:ascii="方正仿宋_GBK" w:hAnsi="方正仿宋_GBK" w:eastAsia="方正仿宋_GBK" w:cs="方正仿宋_GBK"/>
          <w:color w:val="auto"/>
          <w:sz w:val="32"/>
          <w:szCs w:val="32"/>
        </w:rPr>
      </w:pPr>
      <w:bookmarkStart w:id="0" w:name="_GoBack"/>
      <w:bookmarkEnd w:id="0"/>
    </w:p>
    <w:p>
      <w:pPr>
        <w:spacing w:line="600" w:lineRule="atLeast"/>
        <w:jc w:val="center"/>
        <w:rPr>
          <w:rFonts w:ascii="方正仿宋_GBK" w:hAnsi="方正仿宋_GBK" w:eastAsia="方正仿宋_GBK" w:cs="方正仿宋_GBK"/>
          <w:color w:val="auto"/>
          <w:sz w:val="32"/>
          <w:szCs w:val="32"/>
        </w:rPr>
      </w:pPr>
    </w:p>
    <w:p>
      <w:pPr>
        <w:keepNext w:val="0"/>
        <w:keepLines w:val="0"/>
        <w:pageBreakBefore w:val="0"/>
        <w:kinsoku/>
        <w:wordWrap/>
        <w:overflowPunct/>
        <w:topLinePunct w:val="0"/>
        <w:autoSpaceDE/>
        <w:autoSpaceDN/>
        <w:bidi w:val="0"/>
        <w:spacing w:line="540" w:lineRule="exact"/>
        <w:jc w:val="center"/>
        <w:textAlignment w:val="auto"/>
        <w:rPr>
          <w:rFonts w:eastAsia="方正小标宋_GBK" w:cs="方正小标宋_GBK"/>
          <w:spacing w:val="-17"/>
          <w:sz w:val="44"/>
          <w:szCs w:val="44"/>
        </w:rPr>
      </w:pPr>
      <w:r>
        <w:rPr>
          <w:rFonts w:hint="eastAsia" w:eastAsia="方正小标宋_GBK" w:cs="方正小标宋_GBK"/>
          <w:spacing w:val="-17"/>
          <w:sz w:val="44"/>
          <w:szCs w:val="44"/>
        </w:rPr>
        <w:t>重庆市沙坪坝区人民政府办公室</w:t>
      </w:r>
    </w:p>
    <w:p>
      <w:pPr>
        <w:keepNext w:val="0"/>
        <w:keepLines w:val="0"/>
        <w:pageBreakBefore w:val="0"/>
        <w:widowControl/>
        <w:kinsoku/>
        <w:wordWrap/>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关于印发《沙坪坝区加强和改进“一老一幼”服务工作方案》的通知</w:t>
      </w:r>
    </w:p>
    <w:p>
      <w:pPr>
        <w:pStyle w:val="2"/>
        <w:keepNext w:val="0"/>
        <w:keepLines w:val="0"/>
        <w:pageBreakBefore w:val="0"/>
        <w:kinsoku/>
        <w:wordWrap/>
        <w:overflowPunct/>
        <w:topLinePunct w:val="0"/>
        <w:autoSpaceDE/>
        <w:autoSpaceDN/>
        <w:bidi w:val="0"/>
        <w:spacing w:after="0" w:line="540" w:lineRule="exact"/>
        <w:jc w:val="center"/>
        <w:textAlignment w:val="auto"/>
      </w:pPr>
      <w:r>
        <w:rPr>
          <w:rFonts w:hint="eastAsia" w:ascii="Times New Roman" w:hAnsi="Times New Roman" w:eastAsia="方正仿宋_GBK" w:cs="Times New Roman"/>
          <w:sz w:val="32"/>
          <w:szCs w:val="32"/>
          <w:lang w:val="en-US" w:eastAsia="zh-CN"/>
        </w:rPr>
        <w:t>沙府办发〔2025〕35号</w:t>
      </w:r>
    </w:p>
    <w:p>
      <w:pPr>
        <w:widowControl/>
        <w:adjustRightInd w:val="0"/>
        <w:snapToGrid w:val="0"/>
        <w:spacing w:line="570" w:lineRule="exact"/>
        <w:ind w:firstLine="3520" w:firstLineChars="1100"/>
        <w:rPr>
          <w:rFonts w:eastAsia="方正仿宋_GBK"/>
          <w:color w:val="000000"/>
          <w:kern w:val="0"/>
          <w:sz w:val="32"/>
          <w:szCs w:val="32"/>
        </w:rPr>
      </w:pPr>
    </w:p>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eastAsia="方正仿宋_GBK"/>
          <w:color w:val="000000"/>
          <w:kern w:val="0"/>
          <w:sz w:val="32"/>
          <w:szCs w:val="32"/>
        </w:rPr>
      </w:pPr>
      <w:r>
        <w:rPr>
          <w:rFonts w:hint="eastAsia" w:eastAsia="方正仿宋_GBK"/>
          <w:color w:val="000000"/>
          <w:kern w:val="0"/>
          <w:sz w:val="32"/>
          <w:szCs w:val="32"/>
        </w:rPr>
        <w:t>各镇人民政府、各街道办事处，区政府各部门，有关单位：</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eastAsia="方正仿宋_GBK"/>
          <w:sz w:val="32"/>
          <w:szCs w:val="32"/>
        </w:rPr>
      </w:pPr>
      <w:r>
        <w:rPr>
          <w:rFonts w:hint="eastAsia" w:ascii="方正仿宋_GBK" w:hAnsi="方正仿宋_GBK" w:eastAsia="方正仿宋_GBK" w:cs="方正仿宋_GBK"/>
          <w:color w:val="000000"/>
          <w:kern w:val="0"/>
          <w:sz w:val="32"/>
          <w:szCs w:val="32"/>
        </w:rPr>
        <w:t>《沙坪坝区加强和改进“一老一幼”服务工作方案》已经区第十九届人民政府</w:t>
      </w:r>
      <w:r>
        <w:rPr>
          <w:rFonts w:hint="default" w:ascii="Times New Roman" w:hAnsi="Times New Roman" w:eastAsia="方正仿宋_GBK" w:cs="Times New Roman"/>
          <w:color w:val="000000"/>
          <w:kern w:val="0"/>
          <w:sz w:val="32"/>
          <w:szCs w:val="32"/>
        </w:rPr>
        <w:t>第123次常务会</w:t>
      </w:r>
      <w:r>
        <w:rPr>
          <w:rFonts w:hint="eastAsia" w:ascii="方正仿宋_GBK" w:hAnsi="方正仿宋_GBK" w:eastAsia="方正仿宋_GBK" w:cs="方正仿宋_GBK"/>
          <w:color w:val="000000"/>
          <w:kern w:val="0"/>
          <w:sz w:val="32"/>
          <w:szCs w:val="32"/>
        </w:rPr>
        <w:t>议审议通过，现印发给你们，请认真贯彻执行。</w:t>
      </w:r>
      <w:r>
        <w:rPr>
          <w:rFonts w:eastAsia="方正仿宋_GBK"/>
          <w:color w:val="000000"/>
          <w:kern w:val="0"/>
          <w:sz w:val="32"/>
          <w:szCs w:val="32"/>
        </w:rPr>
        <w:t xml:space="preserve"> </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黑体_GBK" w:eastAsia="方正仿宋_GBK" w:cs="方正黑体_GBK"/>
          <w:color w:val="000000"/>
          <w:kern w:val="0"/>
          <w:sz w:val="32"/>
          <w:szCs w:val="32"/>
        </w:rPr>
      </w:pPr>
    </w:p>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hint="eastAsia" w:ascii="方正仿宋_GBK" w:hAnsi="方正黑体_GBK" w:eastAsia="方正仿宋_GBK" w:cs="方正黑体_GBK"/>
          <w:color w:val="000000"/>
          <w:kern w:val="0"/>
          <w:sz w:val="32"/>
          <w:szCs w:val="32"/>
        </w:rPr>
      </w:pPr>
    </w:p>
    <w:p>
      <w:pPr>
        <w:keepNext w:val="0"/>
        <w:keepLines w:val="0"/>
        <w:pageBreakBefore w:val="0"/>
        <w:kinsoku/>
        <w:wordWrap/>
        <w:overflowPunct/>
        <w:topLinePunct w:val="0"/>
        <w:autoSpaceDE/>
        <w:autoSpaceDN/>
        <w:bidi w:val="0"/>
        <w:spacing w:line="600" w:lineRule="exact"/>
        <w:ind w:firstLine="3840" w:firstLineChars="1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重庆市沙坪坝区人民政府办公室</w:t>
      </w:r>
    </w:p>
    <w:p>
      <w:pPr>
        <w:keepNext w:val="0"/>
        <w:keepLines w:val="0"/>
        <w:pageBreakBefore w:val="0"/>
        <w:widowControl/>
        <w:tabs>
          <w:tab w:val="left" w:pos="5403"/>
        </w:tabs>
        <w:kinsoku/>
        <w:wordWrap/>
        <w:overflowPunct/>
        <w:topLinePunct w:val="0"/>
        <w:autoSpaceDE/>
        <w:autoSpaceDN/>
        <w:bidi w:val="0"/>
        <w:adjustRightInd w:val="0"/>
        <w:snapToGrid w:val="0"/>
        <w:spacing w:line="600" w:lineRule="exact"/>
        <w:ind w:firstLine="5120" w:firstLineChars="16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sz w:val="32"/>
          <w:szCs w:val="32"/>
        </w:rPr>
        <w:t>2025年</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日</w:t>
      </w:r>
    </w:p>
    <w:p>
      <w:pPr>
        <w:keepNext w:val="0"/>
        <w:keepLines w:val="0"/>
        <w:pageBreakBefore w:val="0"/>
        <w:widowControl/>
        <w:kinsoku/>
        <w:wordWrap/>
        <w:overflowPunct/>
        <w:topLinePunct w:val="0"/>
        <w:autoSpaceDE/>
        <w:autoSpaceDN/>
        <w:bidi w:val="0"/>
        <w:adjustRightInd w:val="0"/>
        <w:snapToGrid w:val="0"/>
        <w:spacing w:line="600" w:lineRule="exact"/>
        <w:ind w:left="798" w:leftChars="304" w:hanging="160" w:hangingChars="50"/>
        <w:textAlignment w:val="auto"/>
        <w:rPr>
          <w:rFonts w:ascii="方正黑体_GBK" w:hAnsi="方正黑体_GBK" w:eastAsia="方正黑体_GBK" w:cs="方正黑体_GBK"/>
          <w:color w:val="000000"/>
          <w:kern w:val="0"/>
          <w:sz w:val="32"/>
          <w:szCs w:val="32"/>
        </w:rPr>
      </w:pPr>
      <w:r>
        <w:rPr>
          <w:rFonts w:hint="default" w:ascii="Times New Roman" w:hAnsi="Times New Roman" w:eastAsia="方正仿宋_GBK" w:cs="Times New Roman"/>
          <w:color w:val="000000"/>
          <w:kern w:val="0"/>
          <w:sz w:val="32"/>
          <w:szCs w:val="32"/>
        </w:rPr>
        <w:br w:type="textWrapping"/>
      </w:r>
      <w:r>
        <w:rPr>
          <w:rFonts w:hint="eastAsia" w:ascii="方正仿宋_GBK" w:hAnsi="方正仿宋_GBK" w:eastAsia="方正仿宋_GBK" w:cs="方正仿宋_GBK"/>
          <w:color w:val="000000"/>
          <w:kern w:val="0"/>
          <w:sz w:val="32"/>
          <w:szCs w:val="32"/>
        </w:rPr>
        <w:t>（</w:t>
      </w:r>
      <w:r>
        <w:rPr>
          <w:rFonts w:hint="eastAsia" w:ascii="方正仿宋_GBK" w:hAnsi="方正仿宋_GBK" w:eastAsia="方正仿宋_GBK" w:cs="方正仿宋_GBK"/>
          <w:color w:val="000000"/>
          <w:kern w:val="0"/>
          <w:sz w:val="32"/>
          <w:szCs w:val="32"/>
          <w:lang w:eastAsia="zh-CN"/>
        </w:rPr>
        <w:t>本文有删减</w:t>
      </w:r>
      <w:r>
        <w:rPr>
          <w:rFonts w:hint="eastAsia" w:ascii="方正仿宋_GBK" w:hAnsi="方正仿宋_GBK" w:eastAsia="方正仿宋_GBK" w:cs="方正仿宋_GBK"/>
          <w:color w:val="000000"/>
          <w:kern w:val="0"/>
          <w:sz w:val="32"/>
          <w:szCs w:val="32"/>
        </w:rPr>
        <w:t>）</w:t>
      </w:r>
    </w:p>
    <w:p>
      <w:pPr>
        <w:widowControl/>
        <w:adjustRightInd w:val="0"/>
        <w:snapToGrid w:val="0"/>
        <w:spacing w:line="570" w:lineRule="exact"/>
        <w:jc w:val="center"/>
        <w:rPr>
          <w:rFonts w:hint="eastAsia" w:ascii="方正小标宋_GBK" w:hAnsi="方正小标宋_GBK" w:eastAsia="方正小标宋_GBK" w:cs="方正小标宋_GBK"/>
          <w:color w:val="000000"/>
          <w:kern w:val="0"/>
          <w:sz w:val="44"/>
          <w:szCs w:val="44"/>
        </w:rPr>
      </w:pPr>
    </w:p>
    <w:p>
      <w:pPr>
        <w:widowControl/>
        <w:adjustRightInd w:val="0"/>
        <w:snapToGrid w:val="0"/>
        <w:spacing w:line="570" w:lineRule="exact"/>
        <w:jc w:val="center"/>
        <w:rPr>
          <w:rFonts w:hint="eastAsia" w:ascii="方正小标宋_GBK" w:hAnsi="方正小标宋_GBK" w:eastAsia="方正小标宋_GBK" w:cs="方正小标宋_GBK"/>
          <w:color w:val="000000"/>
          <w:kern w:val="0"/>
          <w:sz w:val="44"/>
          <w:szCs w:val="44"/>
        </w:rPr>
      </w:pPr>
    </w:p>
    <w:p>
      <w:pPr>
        <w:widowControl/>
        <w:adjustRightInd w:val="0"/>
        <w:snapToGrid w:val="0"/>
        <w:spacing w:line="570" w:lineRule="exact"/>
        <w:jc w:val="center"/>
        <w:rPr>
          <w:rFonts w:hint="eastAsia" w:ascii="方正小标宋_GBK" w:hAnsi="方正小标宋_GBK" w:eastAsia="方正小标宋_GBK" w:cs="方正小标宋_GBK"/>
          <w:color w:val="000000"/>
          <w:kern w:val="0"/>
          <w:sz w:val="44"/>
          <w:szCs w:val="44"/>
        </w:rPr>
      </w:pPr>
    </w:p>
    <w:p>
      <w:pPr>
        <w:widowControl/>
        <w:adjustRightInd w:val="0"/>
        <w:snapToGrid w:val="0"/>
        <w:spacing w:line="570" w:lineRule="exact"/>
        <w:jc w:val="center"/>
        <w:rPr>
          <w:rFonts w:hint="eastAsia" w:ascii="方正小标宋_GBK" w:hAnsi="方正小标宋_GBK" w:eastAsia="方正小标宋_GBK" w:cs="方正小标宋_GBK"/>
          <w:color w:val="000000"/>
          <w:kern w:val="0"/>
          <w:sz w:val="44"/>
          <w:szCs w:val="44"/>
        </w:rPr>
      </w:pPr>
    </w:p>
    <w:p>
      <w:pPr>
        <w:widowControl/>
        <w:adjustRightInd w:val="0"/>
        <w:snapToGrid w:val="0"/>
        <w:spacing w:line="570" w:lineRule="exact"/>
        <w:jc w:val="center"/>
        <w:rPr>
          <w:rFonts w:hint="eastAsia" w:ascii="方正小标宋_GBK" w:hAnsi="方正小标宋_GBK" w:eastAsia="方正小标宋_GBK" w:cs="方正小标宋_GBK"/>
          <w:color w:val="000000"/>
          <w:kern w:val="0"/>
          <w:sz w:val="44"/>
          <w:szCs w:val="44"/>
        </w:rPr>
      </w:pPr>
    </w:p>
    <w:p>
      <w:pPr>
        <w:keepNext w:val="0"/>
        <w:keepLines w:val="0"/>
        <w:pageBreakBefore w:val="0"/>
        <w:widowControl/>
        <w:kinsoku/>
        <w:wordWrap/>
        <w:overflowPunct/>
        <w:topLinePunct w:val="0"/>
        <w:autoSpaceDE/>
        <w:autoSpaceDN/>
        <w:bidi w:val="0"/>
        <w:adjustRightInd w:val="0"/>
        <w:snapToGrid w:val="0"/>
        <w:spacing w:line="540" w:lineRule="exact"/>
        <w:jc w:val="center"/>
        <w:textAlignment w:val="auto"/>
        <w:rPr>
          <w:rFonts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沙坪坝区加强和改进“一老一幼”服务</w:t>
      </w:r>
    </w:p>
    <w:p>
      <w:pPr>
        <w:keepNext w:val="0"/>
        <w:keepLines w:val="0"/>
        <w:pageBreakBefore w:val="0"/>
        <w:widowControl/>
        <w:kinsoku/>
        <w:wordWrap/>
        <w:overflowPunct/>
        <w:topLinePunct w:val="0"/>
        <w:autoSpaceDE/>
        <w:autoSpaceDN/>
        <w:bidi w:val="0"/>
        <w:adjustRightInd w:val="0"/>
        <w:snapToGrid w:val="0"/>
        <w:spacing w:line="540" w:lineRule="exact"/>
        <w:jc w:val="center"/>
        <w:textAlignment w:val="auto"/>
        <w:rPr>
          <w:rFonts w:ascii="方正黑体_GBK" w:hAnsi="方正黑体_GBK" w:eastAsia="方正黑体_GBK" w:cs="方正黑体_GBK"/>
          <w:color w:val="000000"/>
          <w:kern w:val="0"/>
          <w:sz w:val="32"/>
          <w:szCs w:val="32"/>
        </w:rPr>
      </w:pPr>
      <w:r>
        <w:rPr>
          <w:rFonts w:hint="eastAsia" w:ascii="方正小标宋_GBK" w:hAnsi="方正小标宋_GBK" w:eastAsia="方正小标宋_GBK" w:cs="方正小标宋_GBK"/>
          <w:color w:val="000000"/>
          <w:kern w:val="0"/>
          <w:sz w:val="44"/>
          <w:szCs w:val="44"/>
        </w:rPr>
        <w:t>工作方案</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ascii="方正黑体_GBK" w:hAnsi="方正黑体_GBK" w:eastAsia="方正黑体_GBK" w:cs="方正黑体_GBK"/>
          <w:color w:val="000000"/>
          <w:kern w:val="0"/>
          <w:sz w:val="32"/>
          <w:szCs w:val="32"/>
        </w:rPr>
      </w:pP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方正黑体_GBK" w:hAnsi="方正黑体_GBK" w:eastAsia="方正黑体_GBK" w:cs="方正黑体_GBK"/>
          <w:color w:val="000000"/>
          <w:kern w:val="0"/>
          <w:sz w:val="32"/>
          <w:szCs w:val="32"/>
        </w:rPr>
      </w:pPr>
      <w:r>
        <w:rPr>
          <w:rFonts w:hint="eastAsia" w:ascii="方正仿宋_GBK" w:hAnsi="方正仿宋_GBK" w:eastAsia="方正仿宋_GBK" w:cs="方正仿宋_GBK"/>
          <w:color w:val="000000"/>
          <w:kern w:val="0"/>
          <w:sz w:val="32"/>
          <w:szCs w:val="32"/>
        </w:rPr>
        <w:t>为切实加强和改进全区“一老一幼”服务工作，按照《重庆市人民政府办公厅印发的</w:t>
      </w:r>
      <w:r>
        <w:rPr>
          <w:rFonts w:hint="default" w:ascii="Times New Roman" w:hAnsi="Times New Roman" w:eastAsia="方正仿宋_GBK" w:cs="Times New Roman"/>
          <w:color w:val="000000"/>
          <w:kern w:val="0"/>
          <w:sz w:val="32"/>
          <w:szCs w:val="32"/>
        </w:rPr>
        <w:t>&lt;关于加强和改</w:t>
      </w:r>
      <w:r>
        <w:rPr>
          <w:rFonts w:hint="eastAsia" w:ascii="方正仿宋_GBK" w:hAnsi="方正仿宋_GBK" w:eastAsia="方正仿宋_GBK" w:cs="方正仿宋_GBK"/>
          <w:color w:val="000000"/>
          <w:kern w:val="0"/>
          <w:sz w:val="32"/>
          <w:szCs w:val="32"/>
        </w:rPr>
        <w:t>进“一老一幼”服务工作</w:t>
      </w:r>
      <w:r>
        <w:rPr>
          <w:rFonts w:hint="default" w:ascii="Times New Roman" w:hAnsi="Times New Roman" w:eastAsia="方正仿宋_GBK" w:cs="Times New Roman"/>
          <w:color w:val="000000"/>
          <w:kern w:val="0"/>
          <w:sz w:val="32"/>
          <w:szCs w:val="32"/>
        </w:rPr>
        <w:t>方案&gt;的通知</w:t>
      </w:r>
      <w:r>
        <w:rPr>
          <w:rFonts w:hint="eastAsia" w:ascii="方正仿宋_GBK" w:hAnsi="方正仿宋_GBK" w:eastAsia="方正仿宋_GBK" w:cs="方正仿宋_GBK"/>
          <w:color w:val="000000"/>
          <w:kern w:val="0"/>
          <w:sz w:val="32"/>
          <w:szCs w:val="32"/>
        </w:rPr>
        <w:t>》（渝府办</w:t>
      </w:r>
      <w:r>
        <w:rPr>
          <w:rFonts w:hint="default" w:ascii="Times New Roman" w:hAnsi="Times New Roman" w:eastAsia="方正仿宋_GBK" w:cs="Times New Roman"/>
          <w:color w:val="000000"/>
          <w:kern w:val="0"/>
          <w:sz w:val="32"/>
          <w:szCs w:val="32"/>
        </w:rPr>
        <w:t>发〔2024〕64号）文</w:t>
      </w:r>
      <w:r>
        <w:rPr>
          <w:rFonts w:hint="eastAsia" w:ascii="方正仿宋_GBK" w:hAnsi="方正仿宋_GBK" w:eastAsia="方正仿宋_GBK" w:cs="方正仿宋_GBK"/>
          <w:color w:val="000000"/>
          <w:kern w:val="0"/>
          <w:sz w:val="32"/>
          <w:szCs w:val="32"/>
        </w:rPr>
        <w:t>件精神，结合我区实际，特制定本工作方案。</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color w:val="000000"/>
          <w:kern w:val="0"/>
          <w:sz w:val="32"/>
          <w:szCs w:val="32"/>
        </w:rPr>
        <w:t xml:space="preserve">一、总体要求 </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方正仿宋_GBK" w:hAnsi="方正仿宋_GBK" w:eastAsia="方正仿宋_GBK" w:cs="方正仿宋_GBK"/>
          <w:color w:val="000000"/>
          <w:kern w:val="0"/>
          <w:sz w:val="32"/>
          <w:szCs w:val="32"/>
        </w:rPr>
      </w:pPr>
      <w:r>
        <w:rPr>
          <w:rFonts w:eastAsia="方正仿宋_GBK"/>
          <w:color w:val="000000"/>
          <w:kern w:val="0"/>
          <w:sz w:val="32"/>
          <w:szCs w:val="32"/>
        </w:rPr>
        <w:t>深入贯彻党的二十大和二十届二中、三中全会精神，全面贯彻习近平总书记视察重庆重要讲话重要指示精神，积极应对人口老龄化，加强老年人和婴幼儿关爱服务，坚持边界清晰、多元协同，分区分层、分类分龄，统筹布局、一体推进，尽力而为、量力而行，进一步健全服务体系、扩大服务供给、提升服务质量、强化服务监管，</w:t>
      </w:r>
      <w:r>
        <w:rPr>
          <w:rFonts w:hint="eastAsia" w:ascii="方正仿宋_GBK" w:hAnsi="方正仿宋_GBK" w:eastAsia="方正仿宋_GBK" w:cs="方正仿宋_GBK"/>
          <w:color w:val="000000"/>
          <w:kern w:val="0"/>
          <w:sz w:val="32"/>
          <w:szCs w:val="32"/>
        </w:rPr>
        <w:t>切实加强和改进“一老一幼”服务工作。</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eastAsia="方正仿宋_GBK"/>
          <w:sz w:val="32"/>
          <w:szCs w:val="32"/>
        </w:rPr>
      </w:pPr>
      <w:r>
        <w:rPr>
          <w:rFonts w:hint="default" w:ascii="Times New Roman" w:hAnsi="Times New Roman" w:eastAsia="方正仿宋_GBK" w:cs="Times New Roman"/>
          <w:color w:val="000000"/>
          <w:kern w:val="0"/>
          <w:sz w:val="32"/>
          <w:szCs w:val="32"/>
        </w:rPr>
        <w:t>到2027年，基本建成15分钟社区居家养老服务圈和城市15分钟婴幼儿服务圈。到2029年，全区养老托育服务能力和水平进一步拓展提升。</w:t>
      </w:r>
      <w:r>
        <w:rPr>
          <w:rFonts w:eastAsia="方正仿宋_GBK"/>
          <w:color w:val="000000"/>
          <w:kern w:val="0"/>
          <w:sz w:val="32"/>
          <w:szCs w:val="32"/>
        </w:rPr>
        <w:t xml:space="preserve"> </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color w:val="000000"/>
          <w:kern w:val="0"/>
          <w:sz w:val="32"/>
          <w:szCs w:val="32"/>
        </w:rPr>
        <w:t xml:space="preserve">二、推动养老服务和老龄事业发展 </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楷体_GBK" w:cs="Times New Roman"/>
          <w:sz w:val="32"/>
          <w:szCs w:val="32"/>
        </w:rPr>
      </w:pPr>
      <w:r>
        <w:rPr>
          <w:rFonts w:hint="eastAsia" w:ascii="方正楷体_GBK" w:hAnsi="方正楷体_GBK" w:eastAsia="方正楷体_GBK" w:cs="方正楷体_GBK"/>
          <w:color w:val="000000"/>
          <w:kern w:val="0"/>
          <w:sz w:val="32"/>
          <w:szCs w:val="32"/>
        </w:rPr>
        <w:t>（一）推动公办养老机构提质增效。</w:t>
      </w:r>
      <w:r>
        <w:rPr>
          <w:rFonts w:eastAsia="方正仿宋_GBK"/>
          <w:color w:val="000000"/>
          <w:kern w:val="0"/>
          <w:sz w:val="32"/>
          <w:szCs w:val="32"/>
        </w:rPr>
        <w:t>适度扩大公办养老机构保障范围，将低保失能老年人纳入兜底保障，探索建立低收入家庭失能老年人入住机构支持机制，提升照护服务质量和空余床位利用率</w:t>
      </w:r>
      <w:r>
        <w:rPr>
          <w:rFonts w:hint="eastAsia" w:eastAsia="方正仿宋_GBK"/>
          <w:color w:val="000000"/>
          <w:kern w:val="0"/>
          <w:sz w:val="32"/>
          <w:szCs w:val="32"/>
        </w:rPr>
        <w:t>。</w:t>
      </w:r>
      <w:r>
        <w:rPr>
          <w:rFonts w:eastAsia="方正仿宋_GBK"/>
          <w:color w:val="000000"/>
          <w:kern w:val="0"/>
          <w:sz w:val="32"/>
          <w:szCs w:val="32"/>
        </w:rPr>
        <w:t>严格落实镇街敬老院人员配备、运营经费保障、消防安</w:t>
      </w:r>
      <w:r>
        <w:rPr>
          <w:rFonts w:hint="default" w:ascii="Times New Roman" w:hAnsi="Times New Roman" w:eastAsia="方正仿宋_GBK" w:cs="Times New Roman"/>
          <w:color w:val="000000"/>
          <w:kern w:val="0"/>
          <w:sz w:val="32"/>
          <w:szCs w:val="32"/>
        </w:rPr>
        <w:t>全等标准，推动符合条件的镇街敬老院公建民营，提供居家养老等拓展服务。加强闲置农村公共服务设施综合利用，推动其优先改造为农村养老服务场所。</w:t>
      </w:r>
      <w:r>
        <w:rPr>
          <w:rFonts w:hint="default" w:ascii="Times New Roman" w:hAnsi="Times New Roman" w:eastAsia="方正楷体_GBK" w:cs="Times New Roman"/>
          <w:color w:val="000000"/>
          <w:kern w:val="0"/>
          <w:sz w:val="32"/>
          <w:szCs w:val="32"/>
        </w:rPr>
        <w:t xml:space="preserve"> </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楷体_GBK" w:cs="Times New Roman"/>
          <w:color w:val="000000"/>
          <w:kern w:val="0"/>
          <w:sz w:val="32"/>
          <w:szCs w:val="32"/>
        </w:rPr>
      </w:pPr>
      <w:r>
        <w:rPr>
          <w:rFonts w:hint="default" w:ascii="Times New Roman" w:hAnsi="Times New Roman" w:eastAsia="方正楷体_GBK" w:cs="Times New Roman"/>
          <w:color w:val="000000"/>
          <w:kern w:val="0"/>
          <w:sz w:val="32"/>
          <w:szCs w:val="32"/>
        </w:rPr>
        <w:t>（二）培育壮大民办养老机构。</w:t>
      </w:r>
      <w:r>
        <w:rPr>
          <w:rFonts w:hint="default" w:ascii="Times New Roman" w:hAnsi="Times New Roman" w:eastAsia="方正仿宋_GBK" w:cs="Times New Roman"/>
          <w:color w:val="000000"/>
          <w:kern w:val="0"/>
          <w:sz w:val="32"/>
          <w:szCs w:val="32"/>
        </w:rPr>
        <w:t>完善民办养老机构引导支持有关政策，鼓励镇街整合社区公共服务设施、闲置国有房屋用于建设养老机构设施，推动社会力量利用存量资源举办养老机构，优化养老机构床位补贴政策。持续推进实施普惠养老专项行动，鼓励社会资本发展品质化养老机构。</w:t>
      </w:r>
      <w:r>
        <w:rPr>
          <w:rFonts w:hint="default" w:ascii="Times New Roman" w:hAnsi="Times New Roman" w:eastAsia="方正楷体_GBK" w:cs="Times New Roman"/>
          <w:color w:val="000000"/>
          <w:kern w:val="0"/>
          <w:sz w:val="32"/>
          <w:szCs w:val="32"/>
        </w:rPr>
        <w:t xml:space="preserve"> </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楷体_GBK" w:cs="Times New Roman"/>
          <w:color w:val="000000"/>
          <w:kern w:val="0"/>
          <w:sz w:val="32"/>
          <w:szCs w:val="32"/>
        </w:rPr>
      </w:pPr>
      <w:r>
        <w:rPr>
          <w:rFonts w:ascii="方正楷体_GBK" w:hAnsi="方正楷体_GBK" w:eastAsia="方正楷体_GBK" w:cs="方正楷体_GBK"/>
          <w:color w:val="000000"/>
          <w:kern w:val="0"/>
          <w:sz w:val="32"/>
          <w:szCs w:val="32"/>
        </w:rPr>
        <w:t>（三）促进医养康养一体化融合发展。</w:t>
      </w:r>
      <w:r>
        <w:rPr>
          <w:rFonts w:eastAsia="方正仿宋_GBK"/>
          <w:color w:val="000000"/>
          <w:kern w:val="0"/>
          <w:sz w:val="32"/>
          <w:szCs w:val="32"/>
        </w:rPr>
        <w:t>支持养老机构与医疗机构建立预约就诊和老年人术后康复双向转诊通道，支持有条件的</w:t>
      </w:r>
      <w:r>
        <w:rPr>
          <w:rFonts w:hint="eastAsia" w:eastAsia="方正仿宋_GBK"/>
          <w:color w:val="000000"/>
          <w:kern w:val="0"/>
          <w:sz w:val="32"/>
          <w:szCs w:val="32"/>
        </w:rPr>
        <w:t>镇街</w:t>
      </w:r>
      <w:r>
        <w:rPr>
          <w:rFonts w:eastAsia="方正仿宋_GBK"/>
          <w:color w:val="000000"/>
          <w:kern w:val="0"/>
          <w:sz w:val="32"/>
          <w:szCs w:val="32"/>
        </w:rPr>
        <w:t>建设医养联盟或医养联合体，指导和支持基层医疗卫生机</w:t>
      </w:r>
      <w:r>
        <w:rPr>
          <w:rFonts w:hint="default" w:ascii="Times New Roman" w:hAnsi="Times New Roman" w:eastAsia="方正仿宋_GBK" w:cs="Times New Roman"/>
          <w:color w:val="000000"/>
          <w:kern w:val="0"/>
          <w:sz w:val="32"/>
          <w:szCs w:val="32"/>
        </w:rPr>
        <w:t>构为老年人提供家庭医生签约、健康管理、照料护理等服务</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探索发展旅居养老、建设康养小区等康养产业新业态。因地制宜推动森林康养与教育、运动等行业融合发展，向社会提供多层次、多种类、高质量的森林康养服务。</w:t>
      </w:r>
      <w:r>
        <w:rPr>
          <w:rFonts w:hint="default" w:ascii="Times New Roman" w:hAnsi="Times New Roman" w:eastAsia="方正楷体_GBK" w:cs="Times New Roman"/>
          <w:color w:val="000000"/>
          <w:kern w:val="0"/>
          <w:sz w:val="32"/>
          <w:szCs w:val="32"/>
        </w:rPr>
        <w:t xml:space="preserve"> </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方正楷体_GBK" w:hAnsi="方正楷体_GBK" w:eastAsia="方正楷体_GBK"/>
          <w:color w:val="000000"/>
          <w:kern w:val="0"/>
          <w:sz w:val="32"/>
          <w:szCs w:val="32"/>
        </w:rPr>
      </w:pPr>
      <w:r>
        <w:rPr>
          <w:rFonts w:ascii="方正楷体_GBK" w:hAnsi="方正楷体_GBK" w:eastAsia="方正楷体_GBK" w:cs="方正楷体_GBK"/>
          <w:color w:val="000000"/>
          <w:kern w:val="0"/>
          <w:sz w:val="32"/>
          <w:szCs w:val="32"/>
        </w:rPr>
        <w:t>（四）推动建设社区嵌入式养老服务设施。</w:t>
      </w:r>
      <w:r>
        <w:rPr>
          <w:rFonts w:eastAsia="方正仿宋_GBK"/>
          <w:color w:val="000000"/>
          <w:kern w:val="0"/>
          <w:sz w:val="32"/>
          <w:szCs w:val="32"/>
        </w:rPr>
        <w:t>支持社会力量盘活存量资源举办社区嵌入式养老机构，推动将国有闲置资源提升改造为养老场所</w:t>
      </w:r>
      <w:r>
        <w:rPr>
          <w:rFonts w:hint="eastAsia" w:eastAsia="方正仿宋_GBK"/>
          <w:color w:val="000000"/>
          <w:kern w:val="0"/>
          <w:sz w:val="32"/>
          <w:szCs w:val="32"/>
        </w:rPr>
        <w:t>，</w:t>
      </w:r>
      <w:r>
        <w:rPr>
          <w:rFonts w:eastAsia="方正仿宋_GBK"/>
          <w:color w:val="000000"/>
          <w:kern w:val="0"/>
          <w:sz w:val="32"/>
          <w:szCs w:val="32"/>
        </w:rPr>
        <w:t>支持物业服务企业因地制宜开设社区养老服务点。</w:t>
      </w:r>
      <w:r>
        <w:rPr>
          <w:rFonts w:ascii="方正楷体_GBK" w:hAnsi="方正楷体_GBK" w:eastAsia="方正楷体_GBK"/>
          <w:color w:val="000000"/>
          <w:kern w:val="0"/>
          <w:sz w:val="32"/>
          <w:szCs w:val="32"/>
        </w:rPr>
        <w:t xml:space="preserve"> </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楷体_GBK" w:cs="Times New Roman"/>
          <w:color w:val="000000"/>
          <w:kern w:val="0"/>
          <w:sz w:val="32"/>
          <w:szCs w:val="32"/>
        </w:rPr>
      </w:pPr>
      <w:r>
        <w:rPr>
          <w:rFonts w:ascii="方正楷体_GBK" w:hAnsi="方正楷体_GBK" w:eastAsia="方正楷体_GBK" w:cs="方正楷体_GBK"/>
          <w:color w:val="000000"/>
          <w:kern w:val="0"/>
          <w:sz w:val="32"/>
          <w:szCs w:val="32"/>
        </w:rPr>
        <w:t>（五）积极发展老年助餐服务。</w:t>
      </w:r>
      <w:r>
        <w:rPr>
          <w:rFonts w:eastAsia="方正仿宋_GBK"/>
          <w:color w:val="000000"/>
          <w:kern w:val="0"/>
          <w:sz w:val="32"/>
          <w:szCs w:val="32"/>
        </w:rPr>
        <w:t>支持盘活闲置存量资源、利用现有餐饮设施等，</w:t>
      </w:r>
      <w:r>
        <w:rPr>
          <w:rFonts w:hint="eastAsia" w:ascii="方正仿宋_GBK" w:hAnsi="方正仿宋_GBK" w:eastAsia="方正仿宋_GBK" w:cs="方正仿宋_GBK"/>
          <w:color w:val="000000"/>
          <w:kern w:val="0"/>
          <w:sz w:val="32"/>
          <w:szCs w:val="32"/>
        </w:rPr>
        <w:t>建设“社区老年食堂”“小区老年食堂”“助餐老年食堂”“赶集老年食堂”等多元化老年食堂，</w:t>
      </w:r>
      <w:r>
        <w:rPr>
          <w:rFonts w:eastAsia="方正仿宋_GBK"/>
          <w:color w:val="000000"/>
          <w:kern w:val="0"/>
          <w:sz w:val="32"/>
          <w:szCs w:val="32"/>
        </w:rPr>
        <w:t>积极构建覆盖城乡、布局合理、共建共享的老年助餐服务网络，为居家老年人提供上门助餐服务</w:t>
      </w:r>
      <w:r>
        <w:rPr>
          <w:rFonts w:hint="default" w:ascii="Times New Roman" w:hAnsi="Times New Roman" w:eastAsia="方正仿宋_GBK" w:cs="Times New Roman"/>
          <w:color w:val="000000"/>
          <w:kern w:val="0"/>
          <w:sz w:val="32"/>
          <w:szCs w:val="32"/>
        </w:rPr>
        <w:t>。</w:t>
      </w:r>
      <w:r>
        <w:rPr>
          <w:rFonts w:hint="default" w:ascii="Times New Roman" w:hAnsi="Times New Roman" w:eastAsia="方正楷体_GBK" w:cs="Times New Roman"/>
          <w:color w:val="000000"/>
          <w:kern w:val="0"/>
          <w:sz w:val="32"/>
          <w:szCs w:val="32"/>
        </w:rPr>
        <w:t xml:space="preserve"> </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ascii="方正楷体_GBK" w:hAnsi="方正楷体_GBK" w:eastAsia="方正楷体_GBK" w:cs="方正楷体_GBK"/>
          <w:color w:val="000000"/>
          <w:kern w:val="0"/>
          <w:sz w:val="32"/>
          <w:szCs w:val="32"/>
        </w:rPr>
        <w:t>（六）扩展老年大学（学校）服务网络。</w:t>
      </w:r>
      <w:r>
        <w:rPr>
          <w:rFonts w:eastAsia="方正仿宋_GBK"/>
          <w:color w:val="000000"/>
          <w:kern w:val="0"/>
          <w:sz w:val="32"/>
          <w:szCs w:val="32"/>
        </w:rPr>
        <w:t>支持社会力量利用存量国有资产和闲置社会资源等开办老年大学（学校），鼓励各</w:t>
      </w:r>
      <w:r>
        <w:rPr>
          <w:rFonts w:hint="eastAsia" w:eastAsia="方正仿宋_GBK"/>
          <w:color w:val="000000"/>
          <w:kern w:val="0"/>
          <w:sz w:val="32"/>
          <w:szCs w:val="32"/>
        </w:rPr>
        <w:t>镇街</w:t>
      </w:r>
      <w:r>
        <w:rPr>
          <w:rFonts w:eastAsia="方正仿宋_GBK"/>
          <w:color w:val="000000"/>
          <w:kern w:val="0"/>
          <w:sz w:val="32"/>
          <w:szCs w:val="32"/>
        </w:rPr>
        <w:t>依托现有养老服务中心建设老年大学（学校）。引导老年大学（学校）在社区开设教学点，支持开发线上课程，在电视、手机等终端开放。</w:t>
      </w:r>
      <w:r>
        <w:rPr>
          <w:rFonts w:hint="default" w:ascii="Times New Roman" w:hAnsi="Times New Roman" w:eastAsia="方正楷体_GBK" w:cs="Times New Roman"/>
          <w:color w:val="000000"/>
          <w:kern w:val="0"/>
          <w:sz w:val="32"/>
          <w:szCs w:val="32"/>
        </w:rPr>
        <w:t xml:space="preserve"> </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方正楷体_GBK" w:hAnsi="方正楷体_GBK" w:eastAsia="方正楷体_GBK"/>
          <w:color w:val="000000"/>
          <w:kern w:val="0"/>
          <w:sz w:val="32"/>
          <w:szCs w:val="32"/>
        </w:rPr>
      </w:pPr>
      <w:r>
        <w:rPr>
          <w:rFonts w:hint="default" w:ascii="Times New Roman" w:hAnsi="Times New Roman" w:eastAsia="方正楷体_GBK" w:cs="Times New Roman"/>
          <w:color w:val="000000"/>
          <w:kern w:val="0"/>
          <w:sz w:val="32"/>
          <w:szCs w:val="32"/>
        </w:rPr>
        <w:t>（七）推进困难老年人居家适老化改造。</w:t>
      </w:r>
      <w:r>
        <w:rPr>
          <w:rFonts w:hint="default" w:ascii="Times New Roman" w:hAnsi="Times New Roman" w:eastAsia="方正仿宋_GBK" w:cs="Times New Roman"/>
          <w:color w:val="000000"/>
          <w:kern w:val="0"/>
          <w:sz w:val="32"/>
          <w:szCs w:val="32"/>
        </w:rPr>
        <w:t>完善居家适老化改造、家庭养老床位建设及服务规范，通过政府奖补、购买服务、社会力量支持等方式支持开展困难老年人居家适老化改造，试点推进家庭养老床位建设。开展居家适老化产品社区租赁，推动家庭养老床位失能居家照护服务与长期护理保险相衔接。</w:t>
      </w:r>
      <w:r>
        <w:rPr>
          <w:rFonts w:ascii="方正楷体_GBK" w:hAnsi="方正楷体_GBK" w:eastAsia="方正楷体_GBK"/>
          <w:color w:val="000000"/>
          <w:kern w:val="0"/>
          <w:sz w:val="32"/>
          <w:szCs w:val="32"/>
        </w:rPr>
        <w:t xml:space="preserve"> </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楷体_GBK" w:cs="Times New Roman"/>
          <w:color w:val="000000"/>
          <w:kern w:val="0"/>
          <w:sz w:val="32"/>
          <w:szCs w:val="32"/>
        </w:rPr>
      </w:pPr>
      <w:r>
        <w:rPr>
          <w:rFonts w:ascii="方正楷体_GBK" w:hAnsi="方正楷体_GBK" w:eastAsia="方正楷体_GBK" w:cs="方正楷体_GBK"/>
          <w:color w:val="000000"/>
          <w:kern w:val="0"/>
          <w:sz w:val="32"/>
          <w:szCs w:val="32"/>
        </w:rPr>
        <w:t>（八）开展助浴助洁服务。</w:t>
      </w:r>
      <w:r>
        <w:rPr>
          <w:rFonts w:eastAsia="方正仿宋_GBK"/>
          <w:color w:val="000000"/>
          <w:kern w:val="0"/>
          <w:sz w:val="32"/>
          <w:szCs w:val="32"/>
        </w:rPr>
        <w:t>推动社区助浴点、流动助浴车</w:t>
      </w:r>
      <w:r>
        <w:rPr>
          <w:rFonts w:hint="eastAsia" w:eastAsia="方正仿宋_GBK"/>
          <w:color w:val="000000"/>
          <w:kern w:val="0"/>
          <w:sz w:val="32"/>
          <w:szCs w:val="32"/>
        </w:rPr>
        <w:t>、</w:t>
      </w:r>
      <w:r>
        <w:rPr>
          <w:rFonts w:eastAsia="方正仿宋_GBK"/>
          <w:color w:val="000000"/>
          <w:kern w:val="0"/>
          <w:sz w:val="32"/>
          <w:szCs w:val="32"/>
        </w:rPr>
        <w:t>入户助浴等发展</w:t>
      </w:r>
      <w:r>
        <w:rPr>
          <w:rFonts w:hint="eastAsia" w:eastAsia="方正仿宋_GBK"/>
          <w:color w:val="000000"/>
          <w:kern w:val="0"/>
          <w:sz w:val="32"/>
          <w:szCs w:val="32"/>
        </w:rPr>
        <w:t>，</w:t>
      </w:r>
      <w:r>
        <w:rPr>
          <w:rFonts w:eastAsia="方正仿宋_GBK"/>
          <w:color w:val="000000"/>
          <w:kern w:val="0"/>
          <w:sz w:val="32"/>
          <w:szCs w:val="32"/>
        </w:rPr>
        <w:t>支持</w:t>
      </w:r>
      <w:r>
        <w:rPr>
          <w:rFonts w:hint="eastAsia" w:eastAsia="方正仿宋_GBK"/>
          <w:color w:val="000000"/>
          <w:kern w:val="0"/>
          <w:sz w:val="32"/>
          <w:szCs w:val="32"/>
        </w:rPr>
        <w:t>各镇街</w:t>
      </w:r>
      <w:r>
        <w:rPr>
          <w:rFonts w:eastAsia="方正仿宋_GBK"/>
          <w:color w:val="000000"/>
          <w:kern w:val="0"/>
          <w:sz w:val="32"/>
          <w:szCs w:val="32"/>
        </w:rPr>
        <w:t>为特殊困难老年人购买助浴服务</w:t>
      </w:r>
      <w:r>
        <w:rPr>
          <w:rFonts w:hint="eastAsia" w:eastAsia="方正仿宋_GBK"/>
          <w:color w:val="000000"/>
          <w:kern w:val="0"/>
          <w:sz w:val="32"/>
          <w:szCs w:val="32"/>
        </w:rPr>
        <w:t>。</w:t>
      </w:r>
      <w:r>
        <w:rPr>
          <w:rFonts w:eastAsia="方正仿宋_GBK"/>
          <w:color w:val="000000"/>
          <w:kern w:val="0"/>
          <w:sz w:val="32"/>
          <w:szCs w:val="32"/>
        </w:rPr>
        <w:t>推进居家老年人助洁服务</w:t>
      </w:r>
      <w:r>
        <w:rPr>
          <w:rFonts w:hint="eastAsia" w:eastAsia="方正仿宋_GBK"/>
          <w:color w:val="000000"/>
          <w:kern w:val="0"/>
          <w:sz w:val="32"/>
          <w:szCs w:val="32"/>
        </w:rPr>
        <w:t>，各镇街</w:t>
      </w:r>
      <w:r>
        <w:rPr>
          <w:rFonts w:eastAsia="方正仿宋_GBK"/>
          <w:color w:val="000000"/>
          <w:kern w:val="0"/>
          <w:sz w:val="32"/>
          <w:szCs w:val="32"/>
        </w:rPr>
        <w:t>通过政府购买服务、慈善志愿支持等形式</w:t>
      </w:r>
      <w:r>
        <w:rPr>
          <w:rFonts w:hint="eastAsia" w:eastAsia="方正仿宋_GBK"/>
          <w:color w:val="000000"/>
          <w:kern w:val="0"/>
          <w:sz w:val="32"/>
          <w:szCs w:val="32"/>
        </w:rPr>
        <w:t>，</w:t>
      </w:r>
      <w:r>
        <w:rPr>
          <w:rFonts w:eastAsia="方正仿宋_GBK"/>
          <w:color w:val="000000"/>
          <w:kern w:val="0"/>
          <w:sz w:val="32"/>
          <w:szCs w:val="32"/>
        </w:rPr>
        <w:t>对有意愿接受助洁服务的分散供养的特困老年人等开展助洁服务</w:t>
      </w:r>
      <w:r>
        <w:rPr>
          <w:rFonts w:hint="eastAsia" w:eastAsia="方正仿宋_GBK"/>
          <w:color w:val="000000"/>
          <w:kern w:val="0"/>
          <w:sz w:val="32"/>
          <w:szCs w:val="32"/>
          <w:lang w:eastAsia="zh-CN"/>
        </w:rPr>
        <w:t>。</w:t>
      </w:r>
      <w:r>
        <w:rPr>
          <w:rFonts w:hint="default" w:ascii="Times New Roman" w:hAnsi="Times New Roman" w:eastAsia="方正楷体_GBK" w:cs="Times New Roman"/>
          <w:color w:val="000000"/>
          <w:kern w:val="0"/>
          <w:sz w:val="32"/>
          <w:szCs w:val="32"/>
        </w:rPr>
        <w:t xml:space="preserve"> </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方正楷体_GBK" w:hAnsi="方正楷体_GBK" w:eastAsia="方正楷体_GBK"/>
          <w:color w:val="000000"/>
          <w:kern w:val="0"/>
          <w:sz w:val="32"/>
          <w:szCs w:val="32"/>
        </w:rPr>
      </w:pPr>
      <w:r>
        <w:rPr>
          <w:rFonts w:ascii="方正楷体_GBK" w:hAnsi="方正楷体_GBK" w:eastAsia="方正楷体_GBK" w:cs="方正楷体_GBK"/>
          <w:color w:val="000000"/>
          <w:kern w:val="0"/>
          <w:sz w:val="32"/>
          <w:szCs w:val="32"/>
        </w:rPr>
        <w:t>（九）拓展困难老年人支持关爱服务。</w:t>
      </w:r>
      <w:r>
        <w:rPr>
          <w:rFonts w:eastAsia="方正仿宋_GBK"/>
          <w:color w:val="000000"/>
          <w:kern w:val="0"/>
          <w:sz w:val="32"/>
          <w:szCs w:val="32"/>
        </w:rPr>
        <w:t>做好经济困难失能老年人集中照护服务</w:t>
      </w:r>
      <w:r>
        <w:rPr>
          <w:rFonts w:hint="eastAsia" w:eastAsia="方正仿宋_GBK"/>
          <w:color w:val="000000"/>
          <w:kern w:val="0"/>
          <w:sz w:val="32"/>
          <w:szCs w:val="32"/>
        </w:rPr>
        <w:t>，</w:t>
      </w:r>
      <w:r>
        <w:rPr>
          <w:rFonts w:eastAsia="方正仿宋_GBK"/>
          <w:color w:val="000000"/>
          <w:kern w:val="0"/>
          <w:sz w:val="32"/>
          <w:szCs w:val="32"/>
        </w:rPr>
        <w:t>将符合条件的困难老年人纳入集中照护范围</w:t>
      </w:r>
      <w:r>
        <w:rPr>
          <w:rFonts w:hint="eastAsia" w:eastAsia="方正仿宋_GBK"/>
          <w:color w:val="000000"/>
          <w:kern w:val="0"/>
          <w:sz w:val="32"/>
          <w:szCs w:val="32"/>
        </w:rPr>
        <w:t>。</w:t>
      </w:r>
      <w:r>
        <w:rPr>
          <w:rFonts w:eastAsia="方正仿宋_GBK"/>
          <w:color w:val="000000"/>
          <w:kern w:val="0"/>
          <w:sz w:val="32"/>
          <w:szCs w:val="32"/>
        </w:rPr>
        <w:t>建立特殊困难老年人探访关爱制度，</w:t>
      </w:r>
      <w:r>
        <w:rPr>
          <w:rFonts w:hint="eastAsia" w:ascii="方正仿宋_GBK" w:hAnsi="方正仿宋_GBK" w:eastAsia="方正仿宋_GBK" w:cs="方正仿宋_GBK"/>
          <w:color w:val="000000"/>
          <w:kern w:val="0"/>
          <w:sz w:val="32"/>
          <w:szCs w:val="32"/>
        </w:rPr>
        <w:t>探索“时间储蓄”等互助养老机制，发挥群众性自治组织、集体经济组织、基层老</w:t>
      </w:r>
      <w:r>
        <w:rPr>
          <w:rFonts w:eastAsia="方正仿宋_GBK"/>
          <w:color w:val="000000"/>
          <w:kern w:val="0"/>
          <w:sz w:val="32"/>
          <w:szCs w:val="32"/>
        </w:rPr>
        <w:t>年协会、社会工作者、</w:t>
      </w:r>
      <w:r>
        <w:rPr>
          <w:rFonts w:hint="eastAsia" w:eastAsia="方正仿宋_GBK"/>
          <w:color w:val="000000"/>
          <w:kern w:val="0"/>
          <w:sz w:val="32"/>
          <w:szCs w:val="32"/>
        </w:rPr>
        <w:t>红岩银龄</w:t>
      </w:r>
      <w:r>
        <w:rPr>
          <w:rFonts w:eastAsia="方正仿宋_GBK"/>
          <w:color w:val="000000"/>
          <w:kern w:val="0"/>
          <w:sz w:val="32"/>
          <w:szCs w:val="32"/>
        </w:rPr>
        <w:t>志愿者等作用，对分散供养特困老年人及独居、空巢、留守、失能、重残、计划生育特殊家庭等困难老年人实行定期探访关爱</w:t>
      </w:r>
      <w:r>
        <w:rPr>
          <w:rFonts w:hint="eastAsia" w:eastAsia="方正仿宋_GBK"/>
          <w:color w:val="000000"/>
          <w:kern w:val="0"/>
          <w:sz w:val="32"/>
          <w:szCs w:val="32"/>
          <w:lang w:eastAsia="zh-CN"/>
        </w:rPr>
        <w:t>。</w:t>
      </w:r>
      <w:r>
        <w:rPr>
          <w:rFonts w:ascii="方正楷体_GBK" w:hAnsi="方正楷体_GBK" w:eastAsia="方正楷体_GBK"/>
          <w:color w:val="000000"/>
          <w:kern w:val="0"/>
          <w:sz w:val="32"/>
          <w:szCs w:val="32"/>
        </w:rPr>
        <w:t xml:space="preserve"> </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方正楷体_GBK" w:hAnsi="方正楷体_GBK" w:eastAsia="方正楷体_GBK"/>
          <w:color w:val="000000"/>
          <w:kern w:val="0"/>
          <w:sz w:val="32"/>
          <w:szCs w:val="32"/>
        </w:rPr>
      </w:pPr>
      <w:r>
        <w:rPr>
          <w:rFonts w:ascii="方正楷体_GBK" w:hAnsi="方正楷体_GBK" w:eastAsia="方正楷体_GBK" w:cs="方正楷体_GBK"/>
          <w:color w:val="000000"/>
          <w:kern w:val="0"/>
          <w:sz w:val="32"/>
          <w:szCs w:val="32"/>
        </w:rPr>
        <w:t>（十）全面实施高龄津贴。</w:t>
      </w:r>
      <w:r>
        <w:rPr>
          <w:rFonts w:eastAsia="方正仿宋_GBK"/>
          <w:color w:val="000000"/>
          <w:kern w:val="0"/>
          <w:sz w:val="32"/>
          <w:szCs w:val="32"/>
        </w:rPr>
        <w:t>实</w:t>
      </w:r>
      <w:r>
        <w:rPr>
          <w:rFonts w:hint="default" w:ascii="Times New Roman" w:hAnsi="Times New Roman" w:eastAsia="方正仿宋_GBK" w:cs="Times New Roman"/>
          <w:color w:val="000000"/>
          <w:kern w:val="0"/>
          <w:sz w:val="32"/>
          <w:szCs w:val="32"/>
        </w:rPr>
        <w:t>现80岁以上老年人享受高龄津贴全覆盖，结合实际适时动态调整津贴标准。推动高</w:t>
      </w:r>
      <w:r>
        <w:rPr>
          <w:rFonts w:eastAsia="方正仿宋_GBK"/>
          <w:color w:val="000000"/>
          <w:kern w:val="0"/>
          <w:sz w:val="32"/>
          <w:szCs w:val="32"/>
        </w:rPr>
        <w:t>龄津贴发放管理智能化，加强业务数据共享，实现大数据识别、高龄津贴免申即享。</w:t>
      </w:r>
      <w:r>
        <w:rPr>
          <w:rFonts w:ascii="方正楷体_GBK" w:hAnsi="方正楷体_GBK" w:eastAsia="方正楷体_GBK"/>
          <w:color w:val="000000"/>
          <w:kern w:val="0"/>
          <w:sz w:val="32"/>
          <w:szCs w:val="32"/>
        </w:rPr>
        <w:t xml:space="preserve"> </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eastAsia="方正仿宋_GBK"/>
          <w:sz w:val="32"/>
          <w:szCs w:val="32"/>
        </w:rPr>
      </w:pPr>
      <w:r>
        <w:rPr>
          <w:rFonts w:ascii="方正楷体_GBK" w:hAnsi="方正楷体_GBK" w:eastAsia="方正楷体_GBK" w:cs="方正楷体_GBK"/>
          <w:color w:val="000000"/>
          <w:kern w:val="0"/>
          <w:sz w:val="32"/>
          <w:szCs w:val="32"/>
        </w:rPr>
        <w:t>（十一）推进长期护理保险提质扩面。</w:t>
      </w:r>
      <w:r>
        <w:rPr>
          <w:rFonts w:hint="eastAsia" w:ascii="方正仿宋_GBK" w:hAnsi="方正仿宋_GBK" w:eastAsia="方正仿宋_GBK" w:cs="方正仿宋_GBK"/>
          <w:color w:val="000000"/>
          <w:kern w:val="0"/>
          <w:sz w:val="32"/>
          <w:szCs w:val="32"/>
        </w:rPr>
        <w:t>落实失能等级评估为中度和重度失能人员的长期护理保险待遇，完善待遇享受方式，提高居家待遇享受人员的护理服务水平。</w:t>
      </w:r>
      <w:r>
        <w:rPr>
          <w:rFonts w:eastAsia="方正仿宋_GBK"/>
          <w:color w:val="000000"/>
          <w:kern w:val="0"/>
          <w:sz w:val="32"/>
          <w:szCs w:val="32"/>
        </w:rPr>
        <w:t xml:space="preserve"> </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 xml:space="preserve">三、加强婴幼儿托育及学前教育服务 </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楷体_GBK" w:cs="Times New Roman"/>
          <w:color w:val="000000"/>
          <w:kern w:val="0"/>
          <w:sz w:val="32"/>
          <w:szCs w:val="32"/>
        </w:rPr>
      </w:pPr>
      <w:r>
        <w:rPr>
          <w:rFonts w:ascii="方正楷体_GBK" w:hAnsi="方正楷体_GBK" w:eastAsia="方正楷体_GBK" w:cs="方正楷体_GBK"/>
          <w:color w:val="000000"/>
          <w:kern w:val="0"/>
          <w:sz w:val="32"/>
          <w:szCs w:val="32"/>
        </w:rPr>
        <w:t>（一）持续推进托幼一</w:t>
      </w:r>
      <w:r>
        <w:rPr>
          <w:rFonts w:hint="default" w:ascii="Times New Roman" w:hAnsi="Times New Roman" w:eastAsia="方正楷体_GBK" w:cs="Times New Roman"/>
          <w:color w:val="000000"/>
          <w:kern w:val="0"/>
          <w:sz w:val="32"/>
          <w:szCs w:val="32"/>
        </w:rPr>
        <w:t>体化发展。</w:t>
      </w:r>
      <w:r>
        <w:rPr>
          <w:rFonts w:hint="default" w:ascii="Times New Roman" w:hAnsi="Times New Roman" w:eastAsia="方正仿宋_GBK" w:cs="Times New Roman"/>
          <w:color w:val="000000"/>
          <w:kern w:val="0"/>
          <w:sz w:val="32"/>
          <w:szCs w:val="32"/>
        </w:rPr>
        <w:t>挖掘幼儿园托育服务潜力，将空余学位转化为有效托位。支持幼儿园在满足3—6岁幼儿入园需求的基础上，招收2—3岁幼儿，开展普惠性托育服务，有条件的可开设专区、增设托班。</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000000"/>
          <w:kern w:val="0"/>
          <w:sz w:val="32"/>
          <w:szCs w:val="32"/>
        </w:rPr>
      </w:pPr>
      <w:r>
        <w:rPr>
          <w:rFonts w:hint="eastAsia" w:eastAsia="方正仿宋_GBK"/>
          <w:color w:val="000000"/>
          <w:kern w:val="0"/>
          <w:sz w:val="32"/>
          <w:szCs w:val="32"/>
        </w:rPr>
        <w:t>（</w:t>
      </w:r>
      <w:r>
        <w:rPr>
          <w:rFonts w:ascii="方正楷体_GBK" w:hAnsi="方正楷体_GBK" w:eastAsia="方正楷体_GBK" w:cs="方正楷体_GBK"/>
          <w:color w:val="000000"/>
          <w:kern w:val="0"/>
          <w:sz w:val="32"/>
          <w:szCs w:val="32"/>
        </w:rPr>
        <w:t>二）积极发展城市社区普惠性托育服务。</w:t>
      </w:r>
      <w:r>
        <w:rPr>
          <w:rFonts w:eastAsia="方正仿宋_GBK"/>
          <w:color w:val="000000"/>
          <w:kern w:val="0"/>
          <w:sz w:val="32"/>
          <w:szCs w:val="32"/>
        </w:rPr>
        <w:t>依托城市社区党群服务中心、综合服务设施、公共服务用房等存量资源，按照托育机构设置标准，增设普惠性托育服务点。支持有条件的街道、社区养老服务机构开设专区，设置普惠性托育服务点。</w:t>
      </w:r>
      <w:r>
        <w:rPr>
          <w:rFonts w:hint="eastAsia" w:eastAsia="方正仿宋_GBK"/>
          <w:color w:val="000000"/>
          <w:kern w:val="0"/>
          <w:sz w:val="32"/>
          <w:szCs w:val="32"/>
        </w:rPr>
        <w:t>按照托育机构设置标准设置并配备相应比例的保育人员</w:t>
      </w:r>
      <w:r>
        <w:rPr>
          <w:rFonts w:eastAsia="方正仿宋_GBK"/>
          <w:color w:val="000000"/>
          <w:kern w:val="0"/>
          <w:sz w:val="32"/>
          <w:szCs w:val="32"/>
        </w:rPr>
        <w:t>。大力开</w:t>
      </w:r>
      <w:r>
        <w:rPr>
          <w:rFonts w:hint="eastAsia" w:ascii="方正仿宋_GBK" w:hAnsi="方正仿宋_GBK" w:eastAsia="方正仿宋_GBK" w:cs="方正仿宋_GBK"/>
          <w:color w:val="000000"/>
          <w:kern w:val="0"/>
          <w:sz w:val="32"/>
          <w:szCs w:val="32"/>
        </w:rPr>
        <w:t>展“托育开放日”活动</w:t>
      </w:r>
      <w:r>
        <w:rPr>
          <w:rFonts w:hint="eastAsia" w:ascii="方正仿宋_GBK" w:hAnsi="方正仿宋_GBK" w:eastAsia="方正仿宋_GBK" w:cs="方正仿宋_GBK"/>
          <w:color w:val="000000"/>
          <w:kern w:val="0"/>
          <w:sz w:val="32"/>
          <w:szCs w:val="32"/>
          <w:lang w:eastAsia="zh-CN"/>
        </w:rPr>
        <w:t>。</w:t>
      </w:r>
      <w:r>
        <w:rPr>
          <w:rFonts w:hint="default" w:ascii="Times New Roman" w:hAnsi="Times New Roman" w:eastAsia="方正仿宋_GBK" w:cs="Times New Roman"/>
          <w:color w:val="000000"/>
          <w:kern w:val="0"/>
          <w:sz w:val="32"/>
          <w:szCs w:val="32"/>
        </w:rPr>
        <w:t>探索</w:t>
      </w:r>
      <w:r>
        <w:rPr>
          <w:rFonts w:hint="eastAsia" w:ascii="方正仿宋_GBK" w:hAnsi="方正仿宋_GBK" w:eastAsia="方正仿宋_GBK" w:cs="方正仿宋_GBK"/>
          <w:color w:val="000000"/>
          <w:kern w:val="0"/>
          <w:sz w:val="32"/>
          <w:szCs w:val="32"/>
        </w:rPr>
        <w:t>“物业+托育”服务，</w:t>
      </w:r>
      <w:r>
        <w:rPr>
          <w:rFonts w:hint="default" w:ascii="Times New Roman" w:hAnsi="Times New Roman" w:eastAsia="方正仿宋_GBK" w:cs="Times New Roman"/>
          <w:color w:val="000000"/>
          <w:kern w:val="0"/>
          <w:sz w:val="32"/>
          <w:szCs w:val="32"/>
        </w:rPr>
        <w:t>在入住超过1000户以上的住宅小区，支持有条件的物业服务企业发展普惠托育服务。</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楷体_GBK" w:cs="Times New Roman"/>
          <w:color w:val="000000"/>
          <w:kern w:val="0"/>
          <w:sz w:val="32"/>
          <w:szCs w:val="32"/>
        </w:rPr>
      </w:pPr>
      <w:r>
        <w:rPr>
          <w:rFonts w:ascii="方正楷体_GBK" w:hAnsi="方正楷体_GBK" w:eastAsia="方正楷体_GBK" w:cs="方正楷体_GBK"/>
          <w:color w:val="000000"/>
          <w:kern w:val="0"/>
          <w:sz w:val="32"/>
          <w:szCs w:val="32"/>
        </w:rPr>
        <w:t>（三）积极支持用人单位办托。</w:t>
      </w:r>
      <w:r>
        <w:rPr>
          <w:rFonts w:eastAsia="方正仿宋_GBK"/>
          <w:color w:val="000000"/>
          <w:kern w:val="0"/>
          <w:sz w:val="32"/>
          <w:szCs w:val="32"/>
        </w:rPr>
        <w:t>支持党政机关、企事业单位、社会组织按照建设标准，以单独举办、联合有关单位共同举办、购买第三方服务等方式，为本单位职工提供福利性的托育服务。鼓励支持在育龄女性较多、托育需求较强的产业园区、楼宇推广托育服务，为职</w:t>
      </w:r>
      <w:r>
        <w:rPr>
          <w:rFonts w:hint="eastAsia" w:ascii="方正仿宋_GBK" w:hAnsi="方正仿宋_GBK" w:eastAsia="方正仿宋_GBK" w:cs="方正仿宋_GBK"/>
          <w:color w:val="000000"/>
          <w:kern w:val="0"/>
          <w:sz w:val="32"/>
          <w:szCs w:val="32"/>
        </w:rPr>
        <w:t>工“带娃上下班”提供安心、</w:t>
      </w:r>
      <w:r>
        <w:rPr>
          <w:rFonts w:eastAsia="方正仿宋_GBK"/>
          <w:color w:val="000000"/>
          <w:kern w:val="0"/>
          <w:sz w:val="32"/>
          <w:szCs w:val="32"/>
        </w:rPr>
        <w:t>便捷服务。</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方正楷体_GBK" w:hAnsi="方正楷体_GBK" w:eastAsia="方正楷体_GBK"/>
          <w:color w:val="000000"/>
          <w:kern w:val="0"/>
          <w:sz w:val="32"/>
          <w:szCs w:val="32"/>
        </w:rPr>
      </w:pPr>
      <w:r>
        <w:rPr>
          <w:rFonts w:ascii="方正楷体_GBK" w:hAnsi="方正楷体_GBK" w:eastAsia="方正楷体_GBK" w:cs="方正楷体_GBK"/>
          <w:color w:val="000000"/>
          <w:kern w:val="0"/>
          <w:sz w:val="32"/>
          <w:szCs w:val="32"/>
        </w:rPr>
        <w:t>（四）推进学前教育普及普惠发展。</w:t>
      </w:r>
      <w:r>
        <w:rPr>
          <w:rFonts w:hint="eastAsia" w:eastAsia="方正仿宋_GBK"/>
          <w:color w:val="000000"/>
          <w:kern w:val="0"/>
          <w:sz w:val="32"/>
          <w:szCs w:val="32"/>
        </w:rPr>
        <w:t>挖掘普惠性学前教育资源，健全小区配套幼儿园的保障机制，稳步增加公办学位供给，积极支持民办幼儿园提供普惠性服务。不断优化普惠性幼儿园等级结构，提升学前教育服务水平。完善成本分担机制，建立公办幼儿园、普惠性民办幼儿园经费投入动态调整机制，落实学前教育资助政策。</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方正楷体_GBK" w:hAnsi="方正楷体_GBK" w:eastAsia="方正楷体_GBK"/>
          <w:color w:val="000000"/>
          <w:kern w:val="0"/>
          <w:sz w:val="32"/>
          <w:szCs w:val="32"/>
        </w:rPr>
      </w:pPr>
      <w:r>
        <w:rPr>
          <w:rFonts w:hint="eastAsia" w:ascii="方正楷体_GBK" w:hAnsi="方正楷体_GBK" w:eastAsia="方正楷体_GBK" w:cs="方正楷体_GBK"/>
          <w:color w:val="000000"/>
          <w:kern w:val="0"/>
          <w:sz w:val="32"/>
          <w:szCs w:val="32"/>
        </w:rPr>
        <w:t>（五）</w:t>
      </w:r>
      <w:r>
        <w:rPr>
          <w:rFonts w:ascii="方正楷体_GBK" w:hAnsi="方正楷体_GBK" w:eastAsia="方正楷体_GBK" w:cs="方正楷体_GBK"/>
          <w:color w:val="000000"/>
          <w:kern w:val="0"/>
          <w:sz w:val="32"/>
          <w:szCs w:val="32"/>
        </w:rPr>
        <w:t>优化学前教育保教服务。</w:t>
      </w:r>
      <w:r>
        <w:rPr>
          <w:rFonts w:hint="eastAsia" w:eastAsia="方正仿宋_GBK"/>
          <w:color w:val="000000"/>
          <w:kern w:val="0"/>
          <w:sz w:val="32"/>
          <w:szCs w:val="32"/>
        </w:rPr>
        <w:t>积极推进全区学前教育普及普惠安全优质发展。加强幼儿园规范管理，配足配齐各类幼儿园教职工，全面落实幼儿园教师持教师资格证上岗制度，加大对幼儿园违规收费、“小学化”倾向等问题治理力度。持续开展“管理、保育、教育”三项提质行动，深入推进教育部自主游戏实验区和重庆市幼小衔接实验区建设，深化协作发展项目研究，提升区域学前教育整体质量。拓展学前特殊教育服务。</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方正楷体_GBK" w:hAnsi="方正楷体_GBK" w:eastAsia="方正楷体_GBK"/>
          <w:color w:val="000000"/>
          <w:kern w:val="0"/>
          <w:sz w:val="32"/>
          <w:szCs w:val="32"/>
        </w:rPr>
      </w:pPr>
      <w:r>
        <w:rPr>
          <w:rFonts w:hint="eastAsia" w:ascii="方正楷体_GBK" w:hAnsi="方正楷体_GBK" w:eastAsia="方正楷体_GBK" w:cs="方正楷体_GBK"/>
          <w:color w:val="000000"/>
          <w:kern w:val="0"/>
          <w:sz w:val="32"/>
          <w:szCs w:val="32"/>
        </w:rPr>
        <w:t>（六）建立网格化医育结合联盟。</w:t>
      </w:r>
      <w:r>
        <w:rPr>
          <w:rFonts w:eastAsia="方正仿宋_GBK"/>
          <w:color w:val="000000"/>
          <w:kern w:val="0"/>
          <w:sz w:val="32"/>
          <w:szCs w:val="32"/>
        </w:rPr>
        <w:t>将婴幼儿照护健康管理纳入基本公共卫生服务范围并落实经费支持。推动区婴幼儿照护指导中心、基层医疗机构与备案托育机构签订卫生健康服务合作协议，打造医育结合联盟，免费为在托婴幼儿提供听力筛查、视力筛查、生长发育等健康服务。</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color w:val="000000"/>
          <w:kern w:val="0"/>
          <w:sz w:val="32"/>
          <w:szCs w:val="32"/>
        </w:rPr>
        <w:t xml:space="preserve">四、保障措施 </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方正楷体_GBK" w:hAnsi="方正楷体_GBK" w:eastAsia="方正楷体_GBK"/>
          <w:color w:val="000000"/>
          <w:kern w:val="0"/>
          <w:sz w:val="32"/>
          <w:szCs w:val="32"/>
        </w:rPr>
      </w:pPr>
      <w:r>
        <w:rPr>
          <w:rFonts w:ascii="方正楷体_GBK" w:hAnsi="方正楷体_GBK" w:eastAsia="方正楷体_GBK" w:cs="方正楷体_GBK"/>
          <w:color w:val="000000"/>
          <w:kern w:val="0"/>
          <w:sz w:val="32"/>
          <w:szCs w:val="32"/>
        </w:rPr>
        <w:t>（一）健全工作机制。</w:t>
      </w:r>
      <w:r>
        <w:rPr>
          <w:rFonts w:hint="eastAsia" w:ascii="方正仿宋_GBK" w:hAnsi="方正仿宋_GBK" w:eastAsia="方正仿宋_GBK" w:cs="方正仿宋_GBK"/>
          <w:color w:val="000000"/>
          <w:kern w:val="0"/>
          <w:sz w:val="32"/>
          <w:szCs w:val="32"/>
        </w:rPr>
        <w:t xml:space="preserve">加强对“一老一幼”工作的统筹协调， </w:t>
      </w:r>
      <w:r>
        <w:rPr>
          <w:rFonts w:eastAsia="方正仿宋_GBK"/>
          <w:color w:val="000000"/>
          <w:kern w:val="0"/>
          <w:sz w:val="32"/>
          <w:szCs w:val="32"/>
        </w:rPr>
        <w:t>建立完善工作机制，形成有关部门各司其职、协同配合的工作格局。强化</w:t>
      </w:r>
      <w:r>
        <w:rPr>
          <w:rFonts w:hint="eastAsia" w:eastAsia="方正仿宋_GBK"/>
          <w:color w:val="000000"/>
          <w:kern w:val="0"/>
          <w:sz w:val="32"/>
          <w:szCs w:val="32"/>
          <w:lang w:eastAsia="zh-CN"/>
        </w:rPr>
        <w:t>“</w:t>
      </w:r>
      <w:r>
        <w:rPr>
          <w:rFonts w:eastAsia="方正仿宋_GBK"/>
          <w:color w:val="000000"/>
          <w:kern w:val="0"/>
          <w:sz w:val="32"/>
          <w:szCs w:val="32"/>
        </w:rPr>
        <w:t>一老一幼</w:t>
      </w:r>
      <w:r>
        <w:rPr>
          <w:rFonts w:hint="eastAsia" w:eastAsia="方正仿宋_GBK"/>
          <w:color w:val="000000"/>
          <w:kern w:val="0"/>
          <w:sz w:val="32"/>
          <w:szCs w:val="32"/>
          <w:lang w:eastAsia="zh-CN"/>
        </w:rPr>
        <w:t>”</w:t>
      </w:r>
      <w:r>
        <w:rPr>
          <w:rFonts w:eastAsia="方正仿宋_GBK"/>
          <w:color w:val="000000"/>
          <w:kern w:val="0"/>
          <w:sz w:val="32"/>
          <w:szCs w:val="32"/>
        </w:rPr>
        <w:t>服务机构运营监管和安全监管，将养老、托育机构纳入</w:t>
      </w:r>
      <w:r>
        <w:rPr>
          <w:rFonts w:hint="eastAsia" w:eastAsia="方正仿宋_GBK"/>
          <w:color w:val="000000"/>
          <w:kern w:val="0"/>
          <w:sz w:val="32"/>
          <w:szCs w:val="32"/>
        </w:rPr>
        <w:t>城市</w:t>
      </w:r>
      <w:r>
        <w:rPr>
          <w:rFonts w:eastAsia="方正仿宋_GBK"/>
          <w:color w:val="000000"/>
          <w:kern w:val="0"/>
          <w:sz w:val="32"/>
          <w:szCs w:val="32"/>
        </w:rPr>
        <w:t>服务基层治理体系，纳入公共安全重点保障范围。</w:t>
      </w:r>
      <w:r>
        <w:rPr>
          <w:rFonts w:ascii="方正楷体_GBK" w:hAnsi="方正楷体_GBK" w:eastAsia="方正楷体_GBK"/>
          <w:color w:val="000000"/>
          <w:kern w:val="0"/>
          <w:sz w:val="32"/>
          <w:szCs w:val="32"/>
        </w:rPr>
        <w:t xml:space="preserve"> </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方正仿宋_GBK" w:hAnsi="方正仿宋_GBK" w:eastAsia="方正仿宋_GBK" w:cs="方正仿宋_GBK"/>
          <w:color w:val="000000"/>
          <w:sz w:val="32"/>
          <w:szCs w:val="32"/>
        </w:rPr>
      </w:pPr>
      <w:r>
        <w:rPr>
          <w:rFonts w:ascii="方正楷体_GBK" w:hAnsi="方正楷体_GBK" w:eastAsia="方正楷体_GBK" w:cs="方正楷体_GBK"/>
          <w:color w:val="000000"/>
          <w:kern w:val="0"/>
          <w:sz w:val="32"/>
          <w:szCs w:val="32"/>
        </w:rPr>
        <w:t>（二）强化财政和用地支持。</w:t>
      </w:r>
      <w:r>
        <w:rPr>
          <w:rFonts w:eastAsia="方正仿宋_GBK"/>
          <w:color w:val="000000"/>
          <w:kern w:val="0"/>
          <w:sz w:val="32"/>
          <w:szCs w:val="32"/>
        </w:rPr>
        <w:t>将福彩公益金留存部分的</w:t>
      </w:r>
      <w:r>
        <w:rPr>
          <w:rFonts w:hint="default" w:ascii="Times New Roman" w:hAnsi="Times New Roman" w:eastAsia="方正仿宋_GBK" w:cs="Times New Roman"/>
          <w:color w:val="000000"/>
          <w:kern w:val="0"/>
          <w:sz w:val="32"/>
          <w:szCs w:val="32"/>
        </w:rPr>
        <w:t>80%</w:t>
      </w:r>
      <w:r>
        <w:rPr>
          <w:rFonts w:eastAsia="方正仿宋_GBK"/>
          <w:color w:val="000000"/>
          <w:kern w:val="0"/>
          <w:sz w:val="32"/>
          <w:szCs w:val="32"/>
        </w:rPr>
        <w:t>以上用于养老服务设施建设、运营补贴和政府购买社区居家基本公共养老服务。</w:t>
      </w:r>
      <w:r>
        <w:rPr>
          <w:rFonts w:hint="eastAsia" w:ascii="方正仿宋_GBK" w:hAnsi="方正仿宋_GBK" w:eastAsia="方正仿宋_GBK" w:cs="方正仿宋_GBK"/>
          <w:color w:val="000000"/>
          <w:kern w:val="0"/>
          <w:sz w:val="32"/>
          <w:szCs w:val="32"/>
        </w:rPr>
        <w:t xml:space="preserve">全面落实“一老一幼”服务设施建设用地保障相关政策，在城市更新工作中统筹建设“一老一幼”服务设施，增加公共区域适老化设施和婴幼儿服务场所。对利用老旧建筑改造的养老托育机构，采取“一事一议”方式，加快办理各项审批手续。 </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方正楷体_GBK" w:hAnsi="方正楷体_GBK" w:eastAsia="方正楷体_GBK"/>
          <w:color w:val="000000"/>
          <w:kern w:val="0"/>
          <w:sz w:val="32"/>
          <w:szCs w:val="32"/>
        </w:rPr>
      </w:pPr>
      <w:r>
        <w:rPr>
          <w:rFonts w:ascii="方正楷体_GBK" w:hAnsi="方正楷体_GBK" w:eastAsia="方正楷体_GBK" w:cs="方正楷体_GBK"/>
          <w:color w:val="000000"/>
          <w:kern w:val="0"/>
          <w:sz w:val="32"/>
          <w:szCs w:val="32"/>
        </w:rPr>
        <w:t>（三）推进数字化建设。</w:t>
      </w:r>
      <w:r>
        <w:rPr>
          <w:rFonts w:hint="eastAsia" w:ascii="方正仿宋_GBK" w:hAnsi="方正仿宋_GBK" w:eastAsia="方正仿宋_GBK" w:cs="方正仿宋_GBK"/>
          <w:color w:val="000000"/>
          <w:kern w:val="0"/>
          <w:sz w:val="32"/>
          <w:szCs w:val="32"/>
        </w:rPr>
        <w:t>将“一老一幼”服务纳入数字重庆建设规划，推进“一老一幼”服务机构基本信息及电子地图、机构备案等数字化、智能化管理。推广运行“渝悦·养老”云平台，推进智慧养老院建设，拓展数字养老服务场景。加快推进托育机构“网上提交及时办”、家庭“入托网上约”、群众“投诉举报马上查”一件事应用场景建设。加强监管信息归集共享，实施远程监管、移动监管，实现全区“一老一幼”一网统管。</w:t>
      </w:r>
      <w:r>
        <w:rPr>
          <w:rFonts w:hint="eastAsia" w:ascii="方正楷体_GBK" w:hAnsi="方正楷体_GBK" w:eastAsia="方正楷体_GBK"/>
          <w:color w:val="000000"/>
          <w:kern w:val="0"/>
          <w:sz w:val="32"/>
          <w:szCs w:val="32"/>
        </w:rPr>
        <w:t xml:space="preserve"> </w:t>
      </w:r>
    </w:p>
    <w:p>
      <w:pPr>
        <w:keepNext w:val="0"/>
        <w:keepLines w:val="0"/>
        <w:pageBreakBefore w:val="0"/>
        <w:kinsoku/>
        <w:wordWrap/>
        <w:overflowPunct/>
        <w:topLinePunct w:val="0"/>
        <w:autoSpaceDE/>
        <w:autoSpaceDN/>
        <w:bidi w:val="0"/>
        <w:spacing w:line="600" w:lineRule="exact"/>
        <w:ind w:left="0" w:leftChars="0" w:firstLine="640" w:firstLineChars="200"/>
        <w:textAlignment w:val="auto"/>
        <w:rPr>
          <w:rFonts w:ascii="Times New Roman" w:hAnsi="Times New Roman" w:eastAsia="方正仿宋_GBK" w:cs="方正仿宋_GBK"/>
          <w:color w:val="auto"/>
          <w:sz w:val="32"/>
          <w:szCs w:val="32"/>
          <w:shd w:val="clear" w:color="auto" w:fill="FFFFFF"/>
          <w:lang w:val="en-US" w:eastAsia="zh-CN" w:bidi="ar-SA"/>
        </w:rPr>
      </w:pPr>
      <w:r>
        <w:rPr>
          <w:rFonts w:ascii="方正楷体_GBK" w:hAnsi="方正楷体_GBK" w:eastAsia="方正楷体_GBK" w:cs="方正楷体_GBK"/>
          <w:color w:val="000000"/>
          <w:kern w:val="0"/>
          <w:sz w:val="32"/>
          <w:szCs w:val="32"/>
        </w:rPr>
        <w:t>（四）加强探索实践。</w:t>
      </w:r>
      <w:r>
        <w:rPr>
          <w:rFonts w:eastAsia="方正仿宋_GBK"/>
          <w:kern w:val="0"/>
          <w:sz w:val="32"/>
          <w:szCs w:val="32"/>
        </w:rPr>
        <w:t>积极争取中央财政支持我区普惠托育服务发展。</w:t>
      </w:r>
      <w:r>
        <w:rPr>
          <w:rFonts w:hint="eastAsia" w:ascii="方正仿宋_GBK" w:hAnsi="方正仿宋_GBK" w:eastAsia="方正仿宋_GBK" w:cs="方正仿宋_GBK"/>
          <w:kern w:val="0"/>
          <w:sz w:val="32"/>
          <w:szCs w:val="32"/>
        </w:rPr>
        <w:t>积极参与市级“一老一幼”服务达标和先进单位建设，并充分发挥服务达标和先进单位的示范引领作用，推动全区“一老一幼”工作不断取得新成效。</w:t>
      </w:r>
      <w:r>
        <w:rPr>
          <w:rFonts w:hint="eastAsia"/>
          <w:color w:val="auto"/>
          <w:lang w:val="en-US" w:eastAsia="zh-CN"/>
        </w:rPr>
        <w:t xml:space="preserve">                     </w:t>
      </w:r>
    </w:p>
    <w:sectPr>
      <w:headerReference r:id="rId3" w:type="default"/>
      <w:footerReference r:id="rId4" w:type="default"/>
      <w:pgSz w:w="11906" w:h="16838"/>
      <w:pgMar w:top="1962" w:right="1474" w:bottom="1848" w:left="1588"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script"/>
    <w:pitch w:val="default"/>
    <w:sig w:usb0="A00002BF" w:usb1="38CF7CFA" w:usb2="00082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方正仿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11"/>
      <w:wordWrap w:val="0"/>
      <w:ind w:left="1067" w:leftChars="508" w:firstLine="10115" w:firstLineChars="3161"/>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lang w:eastAsia="zh-CN"/>
      </w:rPr>
      <w:t>重庆市沙坪坝区人民政府</w:t>
    </w:r>
    <w:r>
      <w:rPr>
        <w:rFonts w:hint="eastAsia" w:ascii="宋体" w:hAnsi="宋体" w:eastAsia="宋体" w:cs="宋体"/>
        <w:b/>
        <w:bCs/>
        <w:color w:val="005192"/>
        <w:sz w:val="28"/>
        <w:szCs w:val="44"/>
        <w:lang w:val="en-US" w:eastAsia="zh-CN"/>
      </w:rPr>
      <w:t>发布</w:t>
    </w:r>
    <w:r>
      <w:rPr>
        <w:rFonts w:hint="eastAsia" w:ascii="宋体" w:hAnsi="宋体" w:eastAsia="宋体" w:cs="宋体"/>
        <w:b/>
        <w:bCs/>
        <w:color w:val="005192"/>
        <w:sz w:val="28"/>
        <w:szCs w:val="44"/>
      </w:rPr>
      <w:t xml:space="preserve">    </w: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1" name="直接连接符 1"/>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xHkrNQAAAAIAQAADwAAAAAAAAABACAAAAAiAAAAZHJzL2Rvd25yZXYueG1sUEsBAhQAFAAA&#10;AAgAh07iQFvT4BLzAQAAvQMAAA4AAAAAAAAAAQAgAAAAIwEAAGRycy9lMm9Eb2MueG1sUEsFBgAA&#10;AAAGAAYAWQEAAIgFAAAAAA==&#10;">
              <v:fill on="f" focussize="0,0"/>
              <v:stroke weight="1.75pt" color="#005192 [3204]" miterlimit="8" joinstyle="miter"/>
              <v:imagedata o:title=""/>
              <o:lock v:ext="edit" aspectratio="f"/>
            </v:line>
          </w:pict>
        </mc:Fallback>
      </mc:AlternateContent>
    </w:r>
  </w:p>
  <w:p>
    <w:pPr>
      <w:pStyle w:val="11"/>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7" name="图片 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w:t>
    </w:r>
    <w:r>
      <w:rPr>
        <w:rFonts w:hint="eastAsia" w:ascii="宋体" w:hAnsi="宋体" w:eastAsia="宋体" w:cs="宋体"/>
        <w:b/>
        <w:bCs/>
        <w:color w:val="005192"/>
        <w:sz w:val="32"/>
        <w:lang w:eastAsia="zh-CN"/>
      </w:rPr>
      <w:t>沙坪坝</w:t>
    </w:r>
    <w:r>
      <w:rPr>
        <w:rFonts w:hint="eastAsia" w:ascii="宋体" w:hAnsi="宋体" w:eastAsia="宋体" w:cs="宋体"/>
        <w:b/>
        <w:bCs/>
        <w:color w:val="005192"/>
        <w:sz w:val="32"/>
      </w:rPr>
      <w:t>区人民政府行政规范性文件</w:t>
    </w:r>
  </w:p>
  <w:p>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1"/>
  <w:bordersDoNotSurroundFooter w:val="1"/>
  <w:documentProtection w:enforcement="0"/>
  <w:defaultTabStop w:val="420"/>
  <w:drawingGridHorizontalSpacing w:val="105"/>
  <w:drawingGridVerticalSpacing w:val="158"/>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lMGVkNzdkYzVkMDc4OGRjMjkzZmEzZGRlMjMwZTkifQ=="/>
  </w:docVars>
  <w:rsids>
    <w:rsidRoot w:val="00172A27"/>
    <w:rsid w:val="000C659A"/>
    <w:rsid w:val="000F33BA"/>
    <w:rsid w:val="00172A27"/>
    <w:rsid w:val="001B637F"/>
    <w:rsid w:val="00264E69"/>
    <w:rsid w:val="003A6B66"/>
    <w:rsid w:val="00563EC5"/>
    <w:rsid w:val="005866D7"/>
    <w:rsid w:val="005C5B1B"/>
    <w:rsid w:val="00612345"/>
    <w:rsid w:val="0071167E"/>
    <w:rsid w:val="00814795"/>
    <w:rsid w:val="008E1D4C"/>
    <w:rsid w:val="00924AF6"/>
    <w:rsid w:val="00A75BD7"/>
    <w:rsid w:val="00AC1174"/>
    <w:rsid w:val="00AC7331"/>
    <w:rsid w:val="00AD27BE"/>
    <w:rsid w:val="00B01E9D"/>
    <w:rsid w:val="00C272F4"/>
    <w:rsid w:val="00C52331"/>
    <w:rsid w:val="00CF4004"/>
    <w:rsid w:val="00E4508D"/>
    <w:rsid w:val="00E90E44"/>
    <w:rsid w:val="00FF5225"/>
    <w:rsid w:val="00FF5E43"/>
    <w:rsid w:val="010B22B0"/>
    <w:rsid w:val="0167398B"/>
    <w:rsid w:val="016C2D4F"/>
    <w:rsid w:val="01787704"/>
    <w:rsid w:val="019E71BD"/>
    <w:rsid w:val="01DB7ED5"/>
    <w:rsid w:val="01E93D58"/>
    <w:rsid w:val="020C008E"/>
    <w:rsid w:val="0213766F"/>
    <w:rsid w:val="02832A46"/>
    <w:rsid w:val="02C07C14"/>
    <w:rsid w:val="02CD3CC1"/>
    <w:rsid w:val="030671D3"/>
    <w:rsid w:val="030E7E36"/>
    <w:rsid w:val="03522419"/>
    <w:rsid w:val="04294F27"/>
    <w:rsid w:val="04387860"/>
    <w:rsid w:val="04471852"/>
    <w:rsid w:val="04B679C3"/>
    <w:rsid w:val="04D01847"/>
    <w:rsid w:val="04DC7EAE"/>
    <w:rsid w:val="04EB042F"/>
    <w:rsid w:val="050E411D"/>
    <w:rsid w:val="05597A8E"/>
    <w:rsid w:val="05CF1AFF"/>
    <w:rsid w:val="05F07036"/>
    <w:rsid w:val="06367DD0"/>
    <w:rsid w:val="06441289"/>
    <w:rsid w:val="06532730"/>
    <w:rsid w:val="06581AF4"/>
    <w:rsid w:val="06E00104"/>
    <w:rsid w:val="07124399"/>
    <w:rsid w:val="07287718"/>
    <w:rsid w:val="075C73C2"/>
    <w:rsid w:val="07691ADF"/>
    <w:rsid w:val="07706DBE"/>
    <w:rsid w:val="077E37DC"/>
    <w:rsid w:val="07A34FF1"/>
    <w:rsid w:val="07AD5E6F"/>
    <w:rsid w:val="07E31891"/>
    <w:rsid w:val="080F63D8"/>
    <w:rsid w:val="081952B3"/>
    <w:rsid w:val="08517143"/>
    <w:rsid w:val="09341458"/>
    <w:rsid w:val="098254C2"/>
    <w:rsid w:val="09864BCA"/>
    <w:rsid w:val="09B90AFC"/>
    <w:rsid w:val="09CA0FC6"/>
    <w:rsid w:val="09EF6C13"/>
    <w:rsid w:val="09F77876"/>
    <w:rsid w:val="0A4707FD"/>
    <w:rsid w:val="0A766EDE"/>
    <w:rsid w:val="0AD61B81"/>
    <w:rsid w:val="0AD64BE8"/>
    <w:rsid w:val="0B0912D7"/>
    <w:rsid w:val="0B093D05"/>
    <w:rsid w:val="0B1B1342"/>
    <w:rsid w:val="0B494101"/>
    <w:rsid w:val="0B506FA0"/>
    <w:rsid w:val="0B84338B"/>
    <w:rsid w:val="0B955598"/>
    <w:rsid w:val="0BAB0918"/>
    <w:rsid w:val="0BB35A1E"/>
    <w:rsid w:val="0C122745"/>
    <w:rsid w:val="0C126BE9"/>
    <w:rsid w:val="0C526FE5"/>
    <w:rsid w:val="0C547201"/>
    <w:rsid w:val="0C75111E"/>
    <w:rsid w:val="0CF85DDF"/>
    <w:rsid w:val="0D505C1B"/>
    <w:rsid w:val="0DA970D9"/>
    <w:rsid w:val="0E025194"/>
    <w:rsid w:val="0E341099"/>
    <w:rsid w:val="0EEF0855"/>
    <w:rsid w:val="0F7A6F7F"/>
    <w:rsid w:val="0FD20B69"/>
    <w:rsid w:val="11160F29"/>
    <w:rsid w:val="1122167C"/>
    <w:rsid w:val="117B0D8C"/>
    <w:rsid w:val="11DB7C71"/>
    <w:rsid w:val="11DF756D"/>
    <w:rsid w:val="11EB3571"/>
    <w:rsid w:val="11FF376C"/>
    <w:rsid w:val="126F6B43"/>
    <w:rsid w:val="127E0B34"/>
    <w:rsid w:val="12B409FA"/>
    <w:rsid w:val="12DB7D35"/>
    <w:rsid w:val="132536A6"/>
    <w:rsid w:val="13BB1914"/>
    <w:rsid w:val="13CE33F5"/>
    <w:rsid w:val="13F54E26"/>
    <w:rsid w:val="14327792"/>
    <w:rsid w:val="14353475"/>
    <w:rsid w:val="1497412F"/>
    <w:rsid w:val="14B720DC"/>
    <w:rsid w:val="152D2DCA"/>
    <w:rsid w:val="15475B55"/>
    <w:rsid w:val="15973CBB"/>
    <w:rsid w:val="15B64A89"/>
    <w:rsid w:val="16881F81"/>
    <w:rsid w:val="169F551D"/>
    <w:rsid w:val="16B234A2"/>
    <w:rsid w:val="1706734A"/>
    <w:rsid w:val="17092996"/>
    <w:rsid w:val="174F484D"/>
    <w:rsid w:val="17562080"/>
    <w:rsid w:val="17626C76"/>
    <w:rsid w:val="179668D5"/>
    <w:rsid w:val="17B9260F"/>
    <w:rsid w:val="17D33D52"/>
    <w:rsid w:val="17F65611"/>
    <w:rsid w:val="18001FEB"/>
    <w:rsid w:val="180A4C18"/>
    <w:rsid w:val="18510A99"/>
    <w:rsid w:val="186E164B"/>
    <w:rsid w:val="187168EA"/>
    <w:rsid w:val="18D019BE"/>
    <w:rsid w:val="18D3325C"/>
    <w:rsid w:val="18E67433"/>
    <w:rsid w:val="18FF6EA1"/>
    <w:rsid w:val="1901601B"/>
    <w:rsid w:val="19193365"/>
    <w:rsid w:val="192B12EA"/>
    <w:rsid w:val="19516FA3"/>
    <w:rsid w:val="195C5947"/>
    <w:rsid w:val="196673CA"/>
    <w:rsid w:val="196A1E12"/>
    <w:rsid w:val="19793E03"/>
    <w:rsid w:val="19F17E3E"/>
    <w:rsid w:val="1A0933D9"/>
    <w:rsid w:val="1A1B310D"/>
    <w:rsid w:val="1A6329DD"/>
    <w:rsid w:val="1AA44EB0"/>
    <w:rsid w:val="1AA50C28"/>
    <w:rsid w:val="1AC61782"/>
    <w:rsid w:val="1B3C333B"/>
    <w:rsid w:val="1B4D19EC"/>
    <w:rsid w:val="1B925650"/>
    <w:rsid w:val="1BB11F7A"/>
    <w:rsid w:val="1BB83309"/>
    <w:rsid w:val="1BFC2ACA"/>
    <w:rsid w:val="1C2362A8"/>
    <w:rsid w:val="1C387FA6"/>
    <w:rsid w:val="1C4E1577"/>
    <w:rsid w:val="1C766D20"/>
    <w:rsid w:val="1CF734C9"/>
    <w:rsid w:val="1CFE11EF"/>
    <w:rsid w:val="1D0165EA"/>
    <w:rsid w:val="1D097B94"/>
    <w:rsid w:val="1D156539"/>
    <w:rsid w:val="1DA63635"/>
    <w:rsid w:val="1DB25B36"/>
    <w:rsid w:val="1DEC284C"/>
    <w:rsid w:val="1DF93765"/>
    <w:rsid w:val="1E256C04"/>
    <w:rsid w:val="1E6523AC"/>
    <w:rsid w:val="1E71779F"/>
    <w:rsid w:val="1F2667DB"/>
    <w:rsid w:val="1F51312D"/>
    <w:rsid w:val="1F5F584A"/>
    <w:rsid w:val="1F62533A"/>
    <w:rsid w:val="1FBA5176"/>
    <w:rsid w:val="1FBC0EEE"/>
    <w:rsid w:val="20337402"/>
    <w:rsid w:val="20523600"/>
    <w:rsid w:val="21110DC5"/>
    <w:rsid w:val="21747CD2"/>
    <w:rsid w:val="21964725"/>
    <w:rsid w:val="219A0DBB"/>
    <w:rsid w:val="21AE2AB8"/>
    <w:rsid w:val="21D00C81"/>
    <w:rsid w:val="223034CD"/>
    <w:rsid w:val="22440422"/>
    <w:rsid w:val="229323DA"/>
    <w:rsid w:val="22943A5C"/>
    <w:rsid w:val="22AC349C"/>
    <w:rsid w:val="22BB4BBB"/>
    <w:rsid w:val="22F32E79"/>
    <w:rsid w:val="23563407"/>
    <w:rsid w:val="239A7798"/>
    <w:rsid w:val="23E629DD"/>
    <w:rsid w:val="24003A9F"/>
    <w:rsid w:val="24150BCD"/>
    <w:rsid w:val="2432352D"/>
    <w:rsid w:val="24466FD8"/>
    <w:rsid w:val="248F6BD1"/>
    <w:rsid w:val="24D77D11"/>
    <w:rsid w:val="25457290"/>
    <w:rsid w:val="25545725"/>
    <w:rsid w:val="25A91F14"/>
    <w:rsid w:val="25EB1AF4"/>
    <w:rsid w:val="25F50CB6"/>
    <w:rsid w:val="25FC3DF2"/>
    <w:rsid w:val="263A2B6C"/>
    <w:rsid w:val="266320C3"/>
    <w:rsid w:val="266F2816"/>
    <w:rsid w:val="27895B59"/>
    <w:rsid w:val="27E72880"/>
    <w:rsid w:val="27F60D15"/>
    <w:rsid w:val="280671AA"/>
    <w:rsid w:val="285223EF"/>
    <w:rsid w:val="28BA1D43"/>
    <w:rsid w:val="28D9666D"/>
    <w:rsid w:val="290F6532"/>
    <w:rsid w:val="291122AA"/>
    <w:rsid w:val="29332221"/>
    <w:rsid w:val="2987256D"/>
    <w:rsid w:val="2A021BF3"/>
    <w:rsid w:val="2A077209"/>
    <w:rsid w:val="2A6C24A7"/>
    <w:rsid w:val="2A891DB0"/>
    <w:rsid w:val="2A9F5694"/>
    <w:rsid w:val="2AAD1B5F"/>
    <w:rsid w:val="2AE9690F"/>
    <w:rsid w:val="2B1A4D1A"/>
    <w:rsid w:val="2BB807BB"/>
    <w:rsid w:val="2C33078A"/>
    <w:rsid w:val="2CDF446E"/>
    <w:rsid w:val="2CF717B7"/>
    <w:rsid w:val="2D5B7F98"/>
    <w:rsid w:val="2D88240F"/>
    <w:rsid w:val="2D8B3CEE"/>
    <w:rsid w:val="2DC518B5"/>
    <w:rsid w:val="2DD05FE1"/>
    <w:rsid w:val="2E5B7B24"/>
    <w:rsid w:val="2EA74B17"/>
    <w:rsid w:val="2EA91B07"/>
    <w:rsid w:val="2EA96AE1"/>
    <w:rsid w:val="2EAC037F"/>
    <w:rsid w:val="2EAE3447"/>
    <w:rsid w:val="2EB15996"/>
    <w:rsid w:val="2EBA484A"/>
    <w:rsid w:val="2F176141"/>
    <w:rsid w:val="2F4F1437"/>
    <w:rsid w:val="2F5922B5"/>
    <w:rsid w:val="2FBB2F70"/>
    <w:rsid w:val="30073ABF"/>
    <w:rsid w:val="304545E8"/>
    <w:rsid w:val="30890978"/>
    <w:rsid w:val="30CC6AB7"/>
    <w:rsid w:val="30D2231F"/>
    <w:rsid w:val="30E5221D"/>
    <w:rsid w:val="312D1C4B"/>
    <w:rsid w:val="31A15F24"/>
    <w:rsid w:val="31DE4CF4"/>
    <w:rsid w:val="32696CB3"/>
    <w:rsid w:val="32A25D21"/>
    <w:rsid w:val="32C0264B"/>
    <w:rsid w:val="32C4038E"/>
    <w:rsid w:val="3355548A"/>
    <w:rsid w:val="337E678E"/>
    <w:rsid w:val="33A930DF"/>
    <w:rsid w:val="33B977C6"/>
    <w:rsid w:val="340F73E6"/>
    <w:rsid w:val="345968B4"/>
    <w:rsid w:val="34E02B31"/>
    <w:rsid w:val="34F34F5A"/>
    <w:rsid w:val="34FC3E0F"/>
    <w:rsid w:val="352C5D76"/>
    <w:rsid w:val="35472BB0"/>
    <w:rsid w:val="35647C06"/>
    <w:rsid w:val="35CB558F"/>
    <w:rsid w:val="35F42D38"/>
    <w:rsid w:val="36356EAC"/>
    <w:rsid w:val="36793399"/>
    <w:rsid w:val="368851B5"/>
    <w:rsid w:val="36F47CE2"/>
    <w:rsid w:val="36FB1DF0"/>
    <w:rsid w:val="370276D6"/>
    <w:rsid w:val="37CD1A92"/>
    <w:rsid w:val="37DC1CD5"/>
    <w:rsid w:val="37EA43F2"/>
    <w:rsid w:val="3914724D"/>
    <w:rsid w:val="3925145A"/>
    <w:rsid w:val="395347B5"/>
    <w:rsid w:val="39A232A0"/>
    <w:rsid w:val="39CD126D"/>
    <w:rsid w:val="39CE1AF2"/>
    <w:rsid w:val="39E745AA"/>
    <w:rsid w:val="3A1439A9"/>
    <w:rsid w:val="3A830B2E"/>
    <w:rsid w:val="3AAF1923"/>
    <w:rsid w:val="3AB605BC"/>
    <w:rsid w:val="3AE35129"/>
    <w:rsid w:val="3AF92B9E"/>
    <w:rsid w:val="3B5A6BBB"/>
    <w:rsid w:val="3B781D15"/>
    <w:rsid w:val="3BC35686"/>
    <w:rsid w:val="3C1732DC"/>
    <w:rsid w:val="3C7A1ABD"/>
    <w:rsid w:val="3C8446EA"/>
    <w:rsid w:val="3C8F7316"/>
    <w:rsid w:val="3CA154E3"/>
    <w:rsid w:val="3CC66AB0"/>
    <w:rsid w:val="3CD94A35"/>
    <w:rsid w:val="3D0C5BF5"/>
    <w:rsid w:val="3D3103CE"/>
    <w:rsid w:val="3D3A1978"/>
    <w:rsid w:val="3D7A6218"/>
    <w:rsid w:val="3DEB4A20"/>
    <w:rsid w:val="3DF77869"/>
    <w:rsid w:val="3E304B29"/>
    <w:rsid w:val="3EC55195"/>
    <w:rsid w:val="3EDA13A6"/>
    <w:rsid w:val="3F397A0D"/>
    <w:rsid w:val="3FF56C14"/>
    <w:rsid w:val="40267F92"/>
    <w:rsid w:val="408B6047"/>
    <w:rsid w:val="417B75E9"/>
    <w:rsid w:val="41913B31"/>
    <w:rsid w:val="419378A9"/>
    <w:rsid w:val="41CC4B69"/>
    <w:rsid w:val="41F61BE6"/>
    <w:rsid w:val="42274495"/>
    <w:rsid w:val="42430A63"/>
    <w:rsid w:val="42823479"/>
    <w:rsid w:val="42BE6BA7"/>
    <w:rsid w:val="42F058B7"/>
    <w:rsid w:val="42F75C15"/>
    <w:rsid w:val="42FE6FA4"/>
    <w:rsid w:val="436109F6"/>
    <w:rsid w:val="4379487C"/>
    <w:rsid w:val="43C024AB"/>
    <w:rsid w:val="43DE2931"/>
    <w:rsid w:val="440C749E"/>
    <w:rsid w:val="441A38D4"/>
    <w:rsid w:val="44323381"/>
    <w:rsid w:val="44613C8E"/>
    <w:rsid w:val="44AC2A30"/>
    <w:rsid w:val="4504239D"/>
    <w:rsid w:val="45392515"/>
    <w:rsid w:val="45765517"/>
    <w:rsid w:val="45886FF9"/>
    <w:rsid w:val="45A1630C"/>
    <w:rsid w:val="46357180"/>
    <w:rsid w:val="464F7B16"/>
    <w:rsid w:val="46DC584E"/>
    <w:rsid w:val="46E93AC7"/>
    <w:rsid w:val="470923BB"/>
    <w:rsid w:val="471825FE"/>
    <w:rsid w:val="476F0470"/>
    <w:rsid w:val="47857C94"/>
    <w:rsid w:val="4787269A"/>
    <w:rsid w:val="47B75973"/>
    <w:rsid w:val="47D91D8D"/>
    <w:rsid w:val="48166B3E"/>
    <w:rsid w:val="48853CC3"/>
    <w:rsid w:val="48861F15"/>
    <w:rsid w:val="488A3088"/>
    <w:rsid w:val="48961A2D"/>
    <w:rsid w:val="48D16F09"/>
    <w:rsid w:val="48ED35B0"/>
    <w:rsid w:val="490C1CEF"/>
    <w:rsid w:val="49117305"/>
    <w:rsid w:val="49177011"/>
    <w:rsid w:val="49437E06"/>
    <w:rsid w:val="49885819"/>
    <w:rsid w:val="49EB77B1"/>
    <w:rsid w:val="49F033BE"/>
    <w:rsid w:val="49F27137"/>
    <w:rsid w:val="4A174DEF"/>
    <w:rsid w:val="4A6A3171"/>
    <w:rsid w:val="4A995804"/>
    <w:rsid w:val="4AC26B09"/>
    <w:rsid w:val="4AEB42B2"/>
    <w:rsid w:val="4AF869CF"/>
    <w:rsid w:val="4B047121"/>
    <w:rsid w:val="4B2E419E"/>
    <w:rsid w:val="4B3F63AB"/>
    <w:rsid w:val="4B413ED2"/>
    <w:rsid w:val="4B8B339F"/>
    <w:rsid w:val="4BB52B12"/>
    <w:rsid w:val="4BC77339"/>
    <w:rsid w:val="4C79769B"/>
    <w:rsid w:val="4C883D82"/>
    <w:rsid w:val="4C9236C5"/>
    <w:rsid w:val="4CB93F3C"/>
    <w:rsid w:val="4D616AAD"/>
    <w:rsid w:val="4D783DF7"/>
    <w:rsid w:val="4D7F0CE1"/>
    <w:rsid w:val="4D9F3131"/>
    <w:rsid w:val="4E250A85"/>
    <w:rsid w:val="4EE2777A"/>
    <w:rsid w:val="4F302BDB"/>
    <w:rsid w:val="4F497838"/>
    <w:rsid w:val="4F552641"/>
    <w:rsid w:val="4FB54E8E"/>
    <w:rsid w:val="4FFD4925"/>
    <w:rsid w:val="502D0EC8"/>
    <w:rsid w:val="505C172E"/>
    <w:rsid w:val="506405EA"/>
    <w:rsid w:val="50CC248F"/>
    <w:rsid w:val="50F6575E"/>
    <w:rsid w:val="5119144D"/>
    <w:rsid w:val="51356334"/>
    <w:rsid w:val="514C537E"/>
    <w:rsid w:val="517D19DC"/>
    <w:rsid w:val="51E655A8"/>
    <w:rsid w:val="51EE28D9"/>
    <w:rsid w:val="524B1ADA"/>
    <w:rsid w:val="528374C6"/>
    <w:rsid w:val="529E42FF"/>
    <w:rsid w:val="52B753C1"/>
    <w:rsid w:val="52F46F0B"/>
    <w:rsid w:val="532B6A10"/>
    <w:rsid w:val="533050E8"/>
    <w:rsid w:val="539E4E99"/>
    <w:rsid w:val="53D33B35"/>
    <w:rsid w:val="53D8014D"/>
    <w:rsid w:val="53EE096F"/>
    <w:rsid w:val="540D34EB"/>
    <w:rsid w:val="544E58B1"/>
    <w:rsid w:val="546155E5"/>
    <w:rsid w:val="54DF6509"/>
    <w:rsid w:val="550C209A"/>
    <w:rsid w:val="553A4D49"/>
    <w:rsid w:val="55915A56"/>
    <w:rsid w:val="559E0172"/>
    <w:rsid w:val="55B300C2"/>
    <w:rsid w:val="55BB2AD2"/>
    <w:rsid w:val="55C71477"/>
    <w:rsid w:val="55D122F6"/>
    <w:rsid w:val="55E064E0"/>
    <w:rsid w:val="563D3E2F"/>
    <w:rsid w:val="56A812A9"/>
    <w:rsid w:val="572C6D10"/>
    <w:rsid w:val="5765363E"/>
    <w:rsid w:val="58207565"/>
    <w:rsid w:val="582157B7"/>
    <w:rsid w:val="58337298"/>
    <w:rsid w:val="585B059D"/>
    <w:rsid w:val="58B71C77"/>
    <w:rsid w:val="58BD6B62"/>
    <w:rsid w:val="590B3D71"/>
    <w:rsid w:val="595C281E"/>
    <w:rsid w:val="59DF76D7"/>
    <w:rsid w:val="5A1D1FAE"/>
    <w:rsid w:val="5A427C66"/>
    <w:rsid w:val="5A767910"/>
    <w:rsid w:val="5AD14B46"/>
    <w:rsid w:val="5AD84A7E"/>
    <w:rsid w:val="5ADF3707"/>
    <w:rsid w:val="5ADF54B5"/>
    <w:rsid w:val="5B4638CB"/>
    <w:rsid w:val="5B754C91"/>
    <w:rsid w:val="5B9C6F02"/>
    <w:rsid w:val="5C2018E1"/>
    <w:rsid w:val="5C902F0B"/>
    <w:rsid w:val="5CEE5E83"/>
    <w:rsid w:val="5DC34279"/>
    <w:rsid w:val="5DCB1D21"/>
    <w:rsid w:val="5E341674"/>
    <w:rsid w:val="5E473A9D"/>
    <w:rsid w:val="5E6D4B86"/>
    <w:rsid w:val="5F0B0627"/>
    <w:rsid w:val="5F333202"/>
    <w:rsid w:val="5F3C1128"/>
    <w:rsid w:val="5F883646"/>
    <w:rsid w:val="5F900785"/>
    <w:rsid w:val="5FCD688E"/>
    <w:rsid w:val="5FD4310E"/>
    <w:rsid w:val="5FE0788F"/>
    <w:rsid w:val="5FF9BDAA"/>
    <w:rsid w:val="601856F1"/>
    <w:rsid w:val="601C0E98"/>
    <w:rsid w:val="602A71D2"/>
    <w:rsid w:val="608816D1"/>
    <w:rsid w:val="60966616"/>
    <w:rsid w:val="609D5BF6"/>
    <w:rsid w:val="60B60A66"/>
    <w:rsid w:val="60EC092C"/>
    <w:rsid w:val="60EF4E7F"/>
    <w:rsid w:val="61025A59"/>
    <w:rsid w:val="61357BDD"/>
    <w:rsid w:val="615C33BC"/>
    <w:rsid w:val="61C80A51"/>
    <w:rsid w:val="61F45CEA"/>
    <w:rsid w:val="62210161"/>
    <w:rsid w:val="62404A8B"/>
    <w:rsid w:val="62D61904"/>
    <w:rsid w:val="635F7193"/>
    <w:rsid w:val="63636CDD"/>
    <w:rsid w:val="646D768E"/>
    <w:rsid w:val="648B0A32"/>
    <w:rsid w:val="64990483"/>
    <w:rsid w:val="64EF4547"/>
    <w:rsid w:val="65842EE1"/>
    <w:rsid w:val="65856C59"/>
    <w:rsid w:val="658F6764"/>
    <w:rsid w:val="65905D2A"/>
    <w:rsid w:val="65F22540"/>
    <w:rsid w:val="65F938CF"/>
    <w:rsid w:val="662B7800"/>
    <w:rsid w:val="665233C1"/>
    <w:rsid w:val="669C24AC"/>
    <w:rsid w:val="675114E9"/>
    <w:rsid w:val="676A25AA"/>
    <w:rsid w:val="6780592A"/>
    <w:rsid w:val="679F4002"/>
    <w:rsid w:val="68224C33"/>
    <w:rsid w:val="686F7E78"/>
    <w:rsid w:val="689F0032"/>
    <w:rsid w:val="691722BE"/>
    <w:rsid w:val="69362744"/>
    <w:rsid w:val="693764BC"/>
    <w:rsid w:val="694D7A8E"/>
    <w:rsid w:val="69894F6A"/>
    <w:rsid w:val="69AC0D42"/>
    <w:rsid w:val="69CC4E56"/>
    <w:rsid w:val="69FF6FDA"/>
    <w:rsid w:val="6A2829D5"/>
    <w:rsid w:val="6A7C687C"/>
    <w:rsid w:val="6AD246EE"/>
    <w:rsid w:val="6AD9688B"/>
    <w:rsid w:val="6B1C3BBC"/>
    <w:rsid w:val="6B68303F"/>
    <w:rsid w:val="6B6D624F"/>
    <w:rsid w:val="6BAE0CB8"/>
    <w:rsid w:val="6BCA186A"/>
    <w:rsid w:val="6BE75F78"/>
    <w:rsid w:val="6C066D46"/>
    <w:rsid w:val="6C315445"/>
    <w:rsid w:val="6C4B29AA"/>
    <w:rsid w:val="6C711CE5"/>
    <w:rsid w:val="6CDA3D2E"/>
    <w:rsid w:val="6D042B59"/>
    <w:rsid w:val="6D0E3F22"/>
    <w:rsid w:val="6D640908"/>
    <w:rsid w:val="6D670FFD"/>
    <w:rsid w:val="6D6A50B2"/>
    <w:rsid w:val="6DE2733E"/>
    <w:rsid w:val="6E276AFF"/>
    <w:rsid w:val="6E2C2368"/>
    <w:rsid w:val="6ED21161"/>
    <w:rsid w:val="6EEB3FD1"/>
    <w:rsid w:val="6F1F65C5"/>
    <w:rsid w:val="6F26325B"/>
    <w:rsid w:val="6F437969"/>
    <w:rsid w:val="6F8F16C6"/>
    <w:rsid w:val="6FCA62DC"/>
    <w:rsid w:val="70EB475C"/>
    <w:rsid w:val="70F133F4"/>
    <w:rsid w:val="717F6C52"/>
    <w:rsid w:val="719C15B2"/>
    <w:rsid w:val="720A0C12"/>
    <w:rsid w:val="72113D4E"/>
    <w:rsid w:val="728C1627"/>
    <w:rsid w:val="729F135A"/>
    <w:rsid w:val="72BB015E"/>
    <w:rsid w:val="7306587D"/>
    <w:rsid w:val="733C4DFB"/>
    <w:rsid w:val="74082F2F"/>
    <w:rsid w:val="741C69DA"/>
    <w:rsid w:val="744E4660"/>
    <w:rsid w:val="74C7103C"/>
    <w:rsid w:val="750F59A3"/>
    <w:rsid w:val="751F6782"/>
    <w:rsid w:val="753355A2"/>
    <w:rsid w:val="7544443B"/>
    <w:rsid w:val="754E350B"/>
    <w:rsid w:val="755A1EB0"/>
    <w:rsid w:val="759E7FEF"/>
    <w:rsid w:val="759F1C61"/>
    <w:rsid w:val="75AD38A2"/>
    <w:rsid w:val="75F06371"/>
    <w:rsid w:val="7601057E"/>
    <w:rsid w:val="76116A13"/>
    <w:rsid w:val="768216BE"/>
    <w:rsid w:val="769F2DE8"/>
    <w:rsid w:val="76AE24B4"/>
    <w:rsid w:val="76FDEB7C"/>
    <w:rsid w:val="7746449A"/>
    <w:rsid w:val="77A411C1"/>
    <w:rsid w:val="77F9775E"/>
    <w:rsid w:val="78267E28"/>
    <w:rsid w:val="78673D2C"/>
    <w:rsid w:val="78A7540C"/>
    <w:rsid w:val="78E73A5B"/>
    <w:rsid w:val="79B132CC"/>
    <w:rsid w:val="79B3393D"/>
    <w:rsid w:val="79C65162"/>
    <w:rsid w:val="79D0629D"/>
    <w:rsid w:val="79D55FA9"/>
    <w:rsid w:val="79EE7E31"/>
    <w:rsid w:val="7A5E1AFB"/>
    <w:rsid w:val="7AC322A6"/>
    <w:rsid w:val="7AF16E13"/>
    <w:rsid w:val="7B4E7DC1"/>
    <w:rsid w:val="7BA23C69"/>
    <w:rsid w:val="7C122B9D"/>
    <w:rsid w:val="7C1F350C"/>
    <w:rsid w:val="7C6F6241"/>
    <w:rsid w:val="7C9011D9"/>
    <w:rsid w:val="7CF0764A"/>
    <w:rsid w:val="7D252DA4"/>
    <w:rsid w:val="7D39684F"/>
    <w:rsid w:val="7DC651C5"/>
    <w:rsid w:val="7DDC7906"/>
    <w:rsid w:val="7E617E0B"/>
    <w:rsid w:val="7E70004F"/>
    <w:rsid w:val="7E7318ED"/>
    <w:rsid w:val="7E786F03"/>
    <w:rsid w:val="7E926217"/>
    <w:rsid w:val="7EAB552B"/>
    <w:rsid w:val="7EEC3920"/>
    <w:rsid w:val="7EFC7B34"/>
    <w:rsid w:val="7F2F1CB8"/>
    <w:rsid w:val="7F402117"/>
    <w:rsid w:val="7F4C5A95"/>
    <w:rsid w:val="7FCC2834"/>
    <w:rsid w:val="92DD1CEF"/>
    <w:rsid w:val="BD9D1569"/>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1"/>
    <w:qFormat/>
    <w:uiPriority w:val="0"/>
    <w:pPr>
      <w:keepNext/>
      <w:keepLines/>
      <w:spacing w:line="540" w:lineRule="exact"/>
      <w:jc w:val="center"/>
      <w:outlineLvl w:val="0"/>
    </w:pPr>
    <w:rPr>
      <w:rFonts w:ascii="方正小标宋_GBK" w:eastAsia="方正小标宋_GBK"/>
      <w:bCs/>
      <w:kern w:val="44"/>
      <w:sz w:val="44"/>
      <w:szCs w:val="44"/>
    </w:rPr>
  </w:style>
  <w:style w:type="paragraph" w:styleId="5">
    <w:name w:val="heading 2"/>
    <w:basedOn w:val="1"/>
    <w:next w:val="1"/>
    <w:link w:val="33"/>
    <w:unhideWhenUsed/>
    <w:qFormat/>
    <w:uiPriority w:val="0"/>
    <w:pPr>
      <w:spacing w:line="540" w:lineRule="exact"/>
      <w:jc w:val="center"/>
      <w:outlineLvl w:val="1"/>
    </w:pPr>
    <w:rPr>
      <w:rFonts w:ascii="Times New Roman" w:hAnsi="Times New Roman" w:eastAsia="方正小标宋_GBK" w:cstheme="majorBidi"/>
      <w:bCs/>
      <w:sz w:val="44"/>
      <w:szCs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默认"/>
    <w:qFormat/>
    <w:uiPriority w:val="0"/>
    <w:rPr>
      <w:rFonts w:ascii="Helvetica" w:hAnsi="Helvetica" w:eastAsia="Helvetica" w:cs="Times New Roman"/>
      <w:color w:val="000000"/>
      <w:sz w:val="22"/>
      <w:szCs w:val="22"/>
      <w:lang w:val="en-US" w:eastAsia="zh-CN" w:bidi="ar-SA"/>
    </w:rPr>
  </w:style>
  <w:style w:type="paragraph" w:styleId="7">
    <w:name w:val="annotation text"/>
    <w:basedOn w:val="1"/>
    <w:qFormat/>
    <w:uiPriority w:val="0"/>
    <w:pPr>
      <w:jc w:val="left"/>
    </w:pPr>
  </w:style>
  <w:style w:type="paragraph" w:styleId="8">
    <w:name w:val="Date"/>
    <w:basedOn w:val="1"/>
    <w:next w:val="1"/>
    <w:link w:val="41"/>
    <w:qFormat/>
    <w:uiPriority w:val="0"/>
    <w:pPr>
      <w:ind w:left="100" w:leftChars="2500"/>
    </w:pPr>
  </w:style>
  <w:style w:type="paragraph" w:styleId="9">
    <w:name w:val="Balloon Text"/>
    <w:basedOn w:val="1"/>
    <w:link w:val="20"/>
    <w:qFormat/>
    <w:uiPriority w:val="0"/>
    <w:rPr>
      <w:sz w:val="18"/>
      <w:szCs w:val="18"/>
    </w:rPr>
  </w:style>
  <w:style w:type="paragraph" w:styleId="10">
    <w:name w:val="footer"/>
    <w:basedOn w:val="1"/>
    <w:next w:val="1"/>
    <w:link w:val="30"/>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qFormat/>
    <w:uiPriority w:val="0"/>
    <w:pPr>
      <w:widowControl w:val="0"/>
      <w:spacing w:after="120" w:afterAutospacing="0"/>
      <w:ind w:firstLine="420" w:firstLineChars="100"/>
      <w:jc w:val="both"/>
    </w:pPr>
    <w:rPr>
      <w:rFonts w:ascii="Calibri" w:hAnsi="Calibri" w:eastAsia="宋体" w:cs="Times New Roman"/>
      <w:kern w:val="2"/>
      <w:sz w:val="21"/>
      <w:szCs w:val="24"/>
      <w:lang w:val="en-US" w:eastAsia="zh-CN" w:bidi="ar-SA"/>
    </w:rPr>
  </w:style>
  <w:style w:type="character" w:styleId="16">
    <w:name w:val="Strong"/>
    <w:basedOn w:val="15"/>
    <w:qFormat/>
    <w:uiPriority w:val="0"/>
    <w:rPr>
      <w:b/>
      <w:bCs/>
    </w:rPr>
  </w:style>
  <w:style w:type="character" w:styleId="17">
    <w:name w:val="annotation reference"/>
    <w:basedOn w:val="15"/>
    <w:qFormat/>
    <w:uiPriority w:val="0"/>
    <w:rPr>
      <w:sz w:val="21"/>
      <w:szCs w:val="21"/>
    </w:rPr>
  </w:style>
  <w:style w:type="paragraph" w:customStyle="1" w:styleId="18">
    <w:name w:val="@正文"/>
    <w:next w:val="1"/>
    <w:link w:val="23"/>
    <w:qFormat/>
    <w:uiPriority w:val="0"/>
    <w:pPr>
      <w:widowControl w:val="0"/>
      <w:spacing w:line="600" w:lineRule="exact"/>
      <w:ind w:firstLine="200" w:firstLineChars="200"/>
      <w:jc w:val="both"/>
    </w:pPr>
    <w:rPr>
      <w:rFonts w:ascii="Times New Roman" w:hAnsi="Times New Roman" w:eastAsia="方正仿宋_GBK" w:cs="方正仿宋_GBK"/>
      <w:sz w:val="32"/>
      <w:szCs w:val="32"/>
      <w:shd w:val="clear" w:color="auto" w:fill="FFFFFF"/>
      <w:lang w:val="en-US" w:eastAsia="zh-CN" w:bidi="ar-SA"/>
    </w:rPr>
  </w:style>
  <w:style w:type="paragraph" w:customStyle="1" w:styleId="19">
    <w:name w:val="p0"/>
    <w:basedOn w:val="1"/>
    <w:qFormat/>
    <w:uiPriority w:val="0"/>
    <w:pPr>
      <w:widowControl/>
    </w:pPr>
    <w:rPr>
      <w:rFonts w:ascii="Calibri" w:hAnsi="Calibri" w:eastAsia="宋体" w:cs="宋体"/>
      <w:kern w:val="0"/>
      <w:szCs w:val="32"/>
    </w:rPr>
  </w:style>
  <w:style w:type="character" w:customStyle="1" w:styleId="20">
    <w:name w:val="批注框文本 Char"/>
    <w:basedOn w:val="15"/>
    <w:link w:val="9"/>
    <w:qFormat/>
    <w:uiPriority w:val="0"/>
    <w:rPr>
      <w:rFonts w:asciiTheme="minorHAnsi" w:hAnsiTheme="minorHAnsi" w:eastAsiaTheme="minorEastAsia" w:cstheme="minorBidi"/>
      <w:kern w:val="2"/>
      <w:sz w:val="18"/>
      <w:szCs w:val="18"/>
    </w:rPr>
  </w:style>
  <w:style w:type="character" w:customStyle="1" w:styleId="21">
    <w:name w:val="标题 1 Char"/>
    <w:basedOn w:val="15"/>
    <w:link w:val="4"/>
    <w:qFormat/>
    <w:uiPriority w:val="0"/>
    <w:rPr>
      <w:rFonts w:ascii="方正小标宋_GBK" w:eastAsia="方正小标宋_GBK" w:hAnsiTheme="minorHAnsi" w:cstheme="minorBidi"/>
      <w:bCs/>
      <w:kern w:val="44"/>
      <w:sz w:val="44"/>
      <w:szCs w:val="44"/>
    </w:rPr>
  </w:style>
  <w:style w:type="paragraph" w:customStyle="1" w:styleId="22">
    <w:name w:val="@号"/>
    <w:link w:val="25"/>
    <w:qFormat/>
    <w:uiPriority w:val="0"/>
    <w:pPr>
      <w:widowControl w:val="0"/>
      <w:spacing w:line="540" w:lineRule="exact"/>
      <w:jc w:val="center"/>
    </w:pPr>
    <w:rPr>
      <w:rFonts w:ascii="Times New Roman" w:hAnsi="Times New Roman" w:eastAsia="方正仿宋_GBK" w:cs="Times New Roman"/>
      <w:kern w:val="2"/>
      <w:sz w:val="32"/>
      <w:szCs w:val="32"/>
      <w:lang w:val="en-US" w:eastAsia="zh-CN" w:bidi="ar-SA"/>
    </w:rPr>
  </w:style>
  <w:style w:type="character" w:customStyle="1" w:styleId="23">
    <w:name w:val="@正文 Char"/>
    <w:basedOn w:val="15"/>
    <w:link w:val="18"/>
    <w:qFormat/>
    <w:uiPriority w:val="0"/>
    <w:rPr>
      <w:rFonts w:eastAsia="方正仿宋_GBK" w:cs="方正仿宋_GBK"/>
      <w:sz w:val="32"/>
      <w:szCs w:val="32"/>
    </w:rPr>
  </w:style>
  <w:style w:type="paragraph" w:customStyle="1" w:styleId="24">
    <w:name w:val="@顶格"/>
    <w:link w:val="27"/>
    <w:qFormat/>
    <w:uiPriority w:val="0"/>
    <w:pPr>
      <w:widowControl w:val="0"/>
      <w:spacing w:line="600" w:lineRule="exact"/>
      <w:jc w:val="both"/>
    </w:pPr>
    <w:rPr>
      <w:rFonts w:ascii="Times New Roman" w:hAnsi="Times New Roman" w:eastAsia="方正仿宋_GBK" w:cs="方正仿宋_GBK"/>
      <w:sz w:val="32"/>
      <w:szCs w:val="32"/>
      <w:shd w:val="clear" w:color="auto" w:fill="FFFFFF"/>
      <w:lang w:val="en-US" w:eastAsia="zh-CN" w:bidi="ar-SA"/>
    </w:rPr>
  </w:style>
  <w:style w:type="character" w:customStyle="1" w:styleId="25">
    <w:name w:val="@号 Char"/>
    <w:basedOn w:val="15"/>
    <w:link w:val="22"/>
    <w:qFormat/>
    <w:uiPriority w:val="0"/>
    <w:rPr>
      <w:rFonts w:eastAsia="方正仿宋_GBK"/>
      <w:kern w:val="2"/>
      <w:sz w:val="32"/>
      <w:szCs w:val="32"/>
    </w:rPr>
  </w:style>
  <w:style w:type="paragraph" w:customStyle="1" w:styleId="26">
    <w:name w:val="@落款"/>
    <w:link w:val="29"/>
    <w:qFormat/>
    <w:uiPriority w:val="0"/>
    <w:pPr>
      <w:widowControl w:val="0"/>
      <w:spacing w:line="600" w:lineRule="exact"/>
      <w:jc w:val="right"/>
    </w:pPr>
    <w:rPr>
      <w:rFonts w:ascii="Times New Roman" w:hAnsi="Times New Roman" w:eastAsia="方正仿宋_GBK" w:cs="方正仿宋_GBK"/>
      <w:sz w:val="32"/>
      <w:szCs w:val="32"/>
      <w:shd w:val="clear" w:color="auto" w:fill="FFFFFF"/>
      <w:lang w:val="en-US" w:eastAsia="zh-CN" w:bidi="ar-SA"/>
    </w:rPr>
  </w:style>
  <w:style w:type="character" w:customStyle="1" w:styleId="27">
    <w:name w:val="@顶格 Char"/>
    <w:basedOn w:val="15"/>
    <w:link w:val="24"/>
    <w:qFormat/>
    <w:uiPriority w:val="0"/>
    <w:rPr>
      <w:rFonts w:eastAsia="方正仿宋_GBK" w:cs="方正仿宋_GBK"/>
      <w:sz w:val="32"/>
      <w:szCs w:val="32"/>
    </w:rPr>
  </w:style>
  <w:style w:type="paragraph" w:customStyle="1" w:styleId="28">
    <w:name w:val="@附件"/>
    <w:link w:val="31"/>
    <w:qFormat/>
    <w:uiPriority w:val="0"/>
    <w:pPr>
      <w:pageBreakBefore/>
      <w:widowControl w:val="0"/>
      <w:spacing w:line="600" w:lineRule="exact"/>
    </w:pPr>
    <w:rPr>
      <w:rFonts w:ascii="Times New Roman" w:hAnsi="Times New Roman" w:eastAsia="方正黑体_GBK" w:cs="方正仿宋_GBK"/>
      <w:sz w:val="32"/>
      <w:szCs w:val="32"/>
      <w:shd w:val="clear" w:color="auto" w:fill="FFFFFF"/>
      <w:lang w:val="en-US" w:eastAsia="zh-CN" w:bidi="ar-SA"/>
    </w:rPr>
  </w:style>
  <w:style w:type="character" w:customStyle="1" w:styleId="29">
    <w:name w:val="@落款 Char"/>
    <w:basedOn w:val="15"/>
    <w:link w:val="26"/>
    <w:qFormat/>
    <w:uiPriority w:val="0"/>
    <w:rPr>
      <w:rFonts w:eastAsia="方正仿宋_GBK" w:cs="方正仿宋_GBK"/>
      <w:sz w:val="32"/>
      <w:szCs w:val="32"/>
    </w:rPr>
  </w:style>
  <w:style w:type="character" w:customStyle="1" w:styleId="30">
    <w:name w:val="页脚 Char"/>
    <w:link w:val="10"/>
    <w:qFormat/>
    <w:uiPriority w:val="0"/>
    <w:rPr>
      <w:rFonts w:asciiTheme="minorHAnsi" w:hAnsiTheme="minorHAnsi" w:eastAsiaTheme="minorEastAsia" w:cstheme="minorBidi"/>
      <w:kern w:val="2"/>
      <w:sz w:val="18"/>
      <w:szCs w:val="24"/>
    </w:rPr>
  </w:style>
  <w:style w:type="character" w:customStyle="1" w:styleId="31">
    <w:name w:val="@附件 Char"/>
    <w:basedOn w:val="15"/>
    <w:link w:val="28"/>
    <w:qFormat/>
    <w:uiPriority w:val="0"/>
    <w:rPr>
      <w:rFonts w:eastAsia="方正黑体_GBK" w:cs="方正仿宋_GBK"/>
      <w:sz w:val="32"/>
      <w:szCs w:val="32"/>
    </w:rPr>
  </w:style>
  <w:style w:type="paragraph" w:customStyle="1" w:styleId="32">
    <w:name w:val="@印发"/>
    <w:link w:val="34"/>
    <w:qFormat/>
    <w:uiPriority w:val="0"/>
    <w:pPr>
      <w:widowControl w:val="0"/>
      <w:pBdr>
        <w:top w:val="single" w:color="auto" w:sz="4" w:space="1"/>
        <w:bottom w:val="single" w:color="auto" w:sz="4" w:space="1"/>
      </w:pBdr>
      <w:tabs>
        <w:tab w:val="right" w:pos="8820"/>
      </w:tabs>
      <w:spacing w:line="600" w:lineRule="exact"/>
      <w:jc w:val="both"/>
    </w:pPr>
    <w:rPr>
      <w:rFonts w:ascii="Times New Roman" w:hAnsi="Times New Roman" w:eastAsia="方正仿宋_GBK" w:cs="方正仿宋_GBK"/>
      <w:sz w:val="28"/>
      <w:szCs w:val="32"/>
      <w:shd w:val="clear" w:color="auto" w:fill="FFFFFF"/>
      <w:lang w:val="en-US" w:eastAsia="zh-CN" w:bidi="ar-SA"/>
    </w:rPr>
  </w:style>
  <w:style w:type="character" w:customStyle="1" w:styleId="33">
    <w:name w:val="标题 2 Char"/>
    <w:basedOn w:val="15"/>
    <w:link w:val="5"/>
    <w:qFormat/>
    <w:uiPriority w:val="0"/>
    <w:rPr>
      <w:rFonts w:eastAsia="方正小标宋_GBK" w:cstheme="majorBidi"/>
      <w:bCs/>
      <w:kern w:val="2"/>
      <w:sz w:val="44"/>
      <w:szCs w:val="32"/>
    </w:rPr>
  </w:style>
  <w:style w:type="character" w:customStyle="1" w:styleId="34">
    <w:name w:val="@印发 Char"/>
    <w:basedOn w:val="15"/>
    <w:link w:val="32"/>
    <w:qFormat/>
    <w:uiPriority w:val="0"/>
    <w:rPr>
      <w:rFonts w:eastAsia="方正仿宋_GBK" w:cs="方正仿宋_GBK"/>
      <w:sz w:val="28"/>
      <w:szCs w:val="32"/>
    </w:rPr>
  </w:style>
  <w:style w:type="paragraph" w:customStyle="1" w:styleId="35">
    <w:name w:val="@黑"/>
    <w:link w:val="37"/>
    <w:qFormat/>
    <w:uiPriority w:val="0"/>
    <w:pPr>
      <w:widowControl w:val="0"/>
      <w:spacing w:line="600" w:lineRule="exact"/>
      <w:ind w:firstLine="200" w:firstLineChars="200"/>
    </w:pPr>
    <w:rPr>
      <w:rFonts w:ascii="Times New Roman" w:hAnsi="Times New Roman" w:eastAsia="方正黑体_GBK" w:cs="方正仿宋_GBK"/>
      <w:sz w:val="32"/>
      <w:szCs w:val="32"/>
      <w:shd w:val="clear" w:color="auto" w:fill="FFFFFF"/>
      <w:lang w:val="en-US" w:eastAsia="zh-CN" w:bidi="ar-SA"/>
    </w:rPr>
  </w:style>
  <w:style w:type="paragraph" w:customStyle="1" w:styleId="36">
    <w:name w:val="@楷"/>
    <w:link w:val="39"/>
    <w:qFormat/>
    <w:uiPriority w:val="0"/>
    <w:pPr>
      <w:widowControl w:val="0"/>
      <w:spacing w:line="600" w:lineRule="exact"/>
      <w:ind w:firstLine="200" w:firstLineChars="200"/>
      <w:jc w:val="both"/>
    </w:pPr>
    <w:rPr>
      <w:rFonts w:ascii="Times New Roman" w:hAnsi="Times New Roman" w:eastAsia="方正楷体_GBK" w:cs="方正仿宋_GBK"/>
      <w:sz w:val="32"/>
      <w:szCs w:val="32"/>
      <w:shd w:val="clear" w:color="auto" w:fill="FFFFFF"/>
      <w:lang w:val="en-US" w:eastAsia="zh-CN" w:bidi="ar-SA"/>
    </w:rPr>
  </w:style>
  <w:style w:type="character" w:customStyle="1" w:styleId="37">
    <w:name w:val="@黑 Char"/>
    <w:basedOn w:val="15"/>
    <w:link w:val="35"/>
    <w:qFormat/>
    <w:uiPriority w:val="0"/>
    <w:rPr>
      <w:rFonts w:eastAsia="方正黑体_GBK" w:cs="方正仿宋_GBK"/>
      <w:sz w:val="32"/>
      <w:szCs w:val="32"/>
    </w:rPr>
  </w:style>
  <w:style w:type="paragraph" w:customStyle="1" w:styleId="38">
    <w:name w:val="@附标"/>
    <w:link w:val="40"/>
    <w:qFormat/>
    <w:uiPriority w:val="0"/>
    <w:pPr>
      <w:widowControl w:val="0"/>
      <w:spacing w:line="600" w:lineRule="exact"/>
      <w:jc w:val="center"/>
    </w:pPr>
    <w:rPr>
      <w:rFonts w:ascii="方正小标宋_GBK" w:hAnsi="Times New Roman" w:eastAsia="方正小标宋_GBK" w:cs="方正仿宋_GBK"/>
      <w:sz w:val="44"/>
      <w:szCs w:val="32"/>
      <w:shd w:val="clear" w:color="auto" w:fill="FFFFFF"/>
      <w:lang w:val="en-US" w:eastAsia="zh-CN" w:bidi="ar-SA"/>
    </w:rPr>
  </w:style>
  <w:style w:type="character" w:customStyle="1" w:styleId="39">
    <w:name w:val="@楷 Char"/>
    <w:basedOn w:val="15"/>
    <w:link w:val="36"/>
    <w:qFormat/>
    <w:uiPriority w:val="0"/>
    <w:rPr>
      <w:rFonts w:eastAsia="方正楷体_GBK" w:cs="方正仿宋_GBK"/>
      <w:sz w:val="32"/>
      <w:szCs w:val="32"/>
    </w:rPr>
  </w:style>
  <w:style w:type="character" w:customStyle="1" w:styleId="40">
    <w:name w:val="@附标 Char"/>
    <w:basedOn w:val="15"/>
    <w:link w:val="38"/>
    <w:qFormat/>
    <w:uiPriority w:val="0"/>
    <w:rPr>
      <w:rFonts w:ascii="方正小标宋_GBK" w:eastAsia="方正小标宋_GBK" w:cs="方正仿宋_GBK"/>
      <w:sz w:val="44"/>
      <w:szCs w:val="32"/>
    </w:rPr>
  </w:style>
  <w:style w:type="character" w:customStyle="1" w:styleId="41">
    <w:name w:val="日期 Char"/>
    <w:basedOn w:val="15"/>
    <w:link w:val="8"/>
    <w:qFormat/>
    <w:uiPriority w:val="0"/>
    <w:rPr>
      <w:rFonts w:asciiTheme="minorHAnsi" w:hAnsiTheme="minorHAnsi" w:eastAsiaTheme="minorEastAsia" w:cstheme="minorBidi"/>
      <w:kern w:val="2"/>
      <w:sz w:val="21"/>
      <w:szCs w:val="24"/>
    </w:rPr>
  </w:style>
  <w:style w:type="paragraph" w:customStyle="1" w:styleId="42">
    <w:name w:val="@表格"/>
    <w:link w:val="43"/>
    <w:qFormat/>
    <w:uiPriority w:val="0"/>
    <w:pPr>
      <w:spacing w:line="400" w:lineRule="exact"/>
      <w:jc w:val="both"/>
    </w:pPr>
    <w:rPr>
      <w:rFonts w:ascii="Times New Roman" w:hAnsi="Times New Roman" w:eastAsia="方正仿宋_GBK" w:cstheme="minorBidi"/>
      <w:kern w:val="2"/>
      <w:sz w:val="24"/>
      <w:szCs w:val="24"/>
      <w:lang w:val="en-US" w:eastAsia="zh-CN" w:bidi="ar-SA"/>
    </w:rPr>
  </w:style>
  <w:style w:type="character" w:customStyle="1" w:styleId="43">
    <w:name w:val="@表格 Char"/>
    <w:basedOn w:val="15"/>
    <w:link w:val="42"/>
    <w:qFormat/>
    <w:uiPriority w:val="0"/>
    <w:rPr>
      <w:rFonts w:eastAsia="方正仿宋_GBK" w:cstheme="minorBidi"/>
      <w:kern w:val="2"/>
      <w:sz w:val="24"/>
      <w:szCs w:val="24"/>
    </w:rPr>
  </w:style>
  <w:style w:type="paragraph" w:customStyle="1" w:styleId="44">
    <w:name w:val="@黑中"/>
    <w:qFormat/>
    <w:uiPriority w:val="0"/>
    <w:pPr>
      <w:widowControl w:val="0"/>
      <w:spacing w:line="600" w:lineRule="exact"/>
      <w:jc w:val="center"/>
    </w:pPr>
    <w:rPr>
      <w:rFonts w:ascii="Times New Roman" w:hAnsi="Times New Roman" w:eastAsia="方正黑体_GBK" w:cs="方正仿宋_GBK"/>
      <w:sz w:val="32"/>
      <w:szCs w:val="32"/>
      <w:shd w:val="clear" w:color="auto" w:fill="FFFFFF"/>
      <w:lang w:val="en-US" w:eastAsia="zh-CN" w:bidi="ar-SA"/>
    </w:rPr>
  </w:style>
  <w:style w:type="paragraph" w:customStyle="1" w:styleId="45">
    <w:name w:val="xl53"/>
    <w:basedOn w:val="1"/>
    <w:qFormat/>
    <w:uiPriority w:val="0"/>
    <w:pPr>
      <w:widowControl/>
      <w:spacing w:before="100" w:beforeAutospacing="1" w:after="100" w:afterAutospacing="1"/>
      <w:jc w:val="center"/>
      <w:textAlignment w:val="center"/>
    </w:pPr>
    <w:rPr>
      <w:rFonts w:ascii="华文中宋" w:hAnsi="华文中宋" w:eastAsia="华文中宋" w:cs="宋体"/>
      <w:b/>
      <w:bCs/>
      <w:kern w:val="0"/>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4504</Words>
  <Characters>4602</Characters>
  <Lines>11</Lines>
  <Paragraphs>3</Paragraphs>
  <TotalTime>1</TotalTime>
  <ScaleCrop>false</ScaleCrop>
  <LinksUpToDate>false</LinksUpToDate>
  <CharactersWithSpaces>4645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路守状</cp:lastModifiedBy>
  <cp:lastPrinted>2022-06-10T09:32:00Z</cp:lastPrinted>
  <dcterms:modified xsi:type="dcterms:W3CDTF">2025-06-17T07:48:53Z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4BB85D21B1E047EAAB251E4A88C3F132</vt:lpwstr>
  </property>
  <property fmtid="{D5CDD505-2E9C-101B-9397-08002B2CF9AE}" pid="4" name="KSOTemplateDocerSaveRecord">
    <vt:lpwstr>eyJoZGlkIjoiYjgxMTlmYmRmOTk2YjAxYmQ4YTMwNTQ1NWIyNGQ1YzYiLCJ1c2VySWQiOiI1NjM1NDY5NDcifQ==</vt:lpwstr>
  </property>
</Properties>
</file>