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snapToGrid w:val="0"/>
        <w:spacing w:line="560" w:lineRule="exact"/>
        <w:jc w:val="both"/>
        <w:rPr>
          <w:rFonts w:eastAsia="方正黑体_GBK"/>
          <w:snapToGrid w:val="0"/>
          <w:color w:val="000000"/>
          <w:spacing w:val="9"/>
          <w:sz w:val="40"/>
          <w:szCs w:val="40"/>
        </w:rPr>
      </w:pPr>
    </w:p>
    <w:p>
      <w:pPr>
        <w:widowControl/>
        <w:kinsoku w:val="0"/>
        <w:autoSpaceDE w:val="0"/>
        <w:autoSpaceDN w:val="0"/>
        <w:snapToGrid w:val="0"/>
        <w:spacing w:line="560" w:lineRule="exact"/>
        <w:ind w:left="270"/>
        <w:jc w:val="center"/>
        <w:rPr>
          <w:rFonts w:eastAsia="方正黑体_GBK"/>
          <w:snapToGrid w:val="0"/>
          <w:color w:val="000000"/>
          <w:spacing w:val="9"/>
          <w:sz w:val="40"/>
          <w:szCs w:val="40"/>
        </w:rPr>
      </w:pPr>
      <w:bookmarkStart w:id="0" w:name="_GoBack"/>
      <w:r>
        <w:rPr>
          <w:rFonts w:hint="eastAsia" w:eastAsia="方正小标宋_GBK" w:cs="方正小标宋_GBK"/>
          <w:snapToGrid w:val="0"/>
          <w:color w:val="000000"/>
          <w:spacing w:val="9"/>
          <w:sz w:val="40"/>
          <w:szCs w:val="40"/>
        </w:rPr>
        <w:t>沙坪坝区2025年度优化营商环境工作任务清单</w:t>
      </w:r>
    </w:p>
    <w:bookmarkEnd w:id="0"/>
    <w:p>
      <w:pPr>
        <w:overflowPunct w:val="0"/>
        <w:adjustRightInd/>
        <w:spacing w:line="580" w:lineRule="exact"/>
        <w:jc w:val="center"/>
        <w:textAlignment w:val="auto"/>
        <w:rPr>
          <w:rFonts w:eastAsia="方正小标宋_GBK" w:cs="方正小标宋_GBK"/>
          <w:color w:val="000000" w:themeColor="text1"/>
          <w:kern w:val="2"/>
          <w14:textFill>
            <w14:solidFill>
              <w14:schemeClr w14:val="tx1"/>
            </w14:solidFill>
          </w14:textFill>
        </w:rPr>
      </w:pPr>
    </w:p>
    <w:tbl>
      <w:tblPr>
        <w:tblStyle w:val="14"/>
        <w:tblW w:w="9003" w:type="dxa"/>
        <w:tblInd w:w="91" w:type="dxa"/>
        <w:tblLayout w:type="autofit"/>
        <w:tblCellMar>
          <w:top w:w="0" w:type="dxa"/>
          <w:left w:w="108" w:type="dxa"/>
          <w:bottom w:w="0" w:type="dxa"/>
          <w:right w:w="108" w:type="dxa"/>
        </w:tblCellMar>
      </w:tblPr>
      <w:tblGrid>
        <w:gridCol w:w="997"/>
        <w:gridCol w:w="5869"/>
        <w:gridCol w:w="2137"/>
      </w:tblGrid>
      <w:tr>
        <w:tblPrEx>
          <w:tblCellMar>
            <w:top w:w="0" w:type="dxa"/>
            <w:left w:w="108" w:type="dxa"/>
            <w:bottom w:w="0" w:type="dxa"/>
            <w:right w:w="108" w:type="dxa"/>
          </w:tblCellMar>
        </w:tblPrEx>
        <w:trPr>
          <w:trHeight w:val="640" w:hRule="atLeast"/>
          <w:tblHeader/>
        </w:trPr>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rFonts w:eastAsia="方正黑体_GBK" w:cs="方正黑体_GBK"/>
                <w:color w:val="000000"/>
                <w:sz w:val="28"/>
                <w:szCs w:val="28"/>
              </w:rPr>
            </w:pPr>
            <w:r>
              <w:rPr>
                <w:rFonts w:hint="eastAsia" w:eastAsia="方正黑体_GBK" w:cs="方正黑体_GBK"/>
                <w:color w:val="000000"/>
                <w:sz w:val="28"/>
                <w:szCs w:val="28"/>
                <w:lang w:bidi="ar"/>
              </w:rPr>
              <w:t>序号</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rFonts w:eastAsia="方正黑体_GBK" w:cs="方正黑体_GBK"/>
                <w:color w:val="000000"/>
                <w:sz w:val="28"/>
                <w:szCs w:val="28"/>
              </w:rPr>
            </w:pPr>
            <w:r>
              <w:rPr>
                <w:rFonts w:hint="eastAsia" w:eastAsia="方正黑体_GBK" w:cs="方正黑体_GBK"/>
                <w:color w:val="000000"/>
                <w:sz w:val="28"/>
                <w:szCs w:val="28"/>
                <w:lang w:bidi="ar"/>
              </w:rPr>
              <w:t>2025年度工作任务</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rFonts w:eastAsia="方正黑体_GBK" w:cs="方正黑体_GBK"/>
                <w:color w:val="000000"/>
                <w:sz w:val="28"/>
                <w:szCs w:val="28"/>
              </w:rPr>
            </w:pPr>
            <w:r>
              <w:rPr>
                <w:rFonts w:hint="eastAsia" w:eastAsia="方正黑体_GBK" w:cs="方正黑体_GBK"/>
                <w:color w:val="000000"/>
                <w:sz w:val="28"/>
                <w:szCs w:val="28"/>
                <w:lang w:bidi="ar"/>
              </w:rPr>
              <w:t>责任单位</w:t>
            </w:r>
          </w:p>
        </w:tc>
      </w:tr>
      <w:tr>
        <w:tblPrEx>
          <w:tblCellMar>
            <w:top w:w="0" w:type="dxa"/>
            <w:left w:w="108" w:type="dxa"/>
            <w:bottom w:w="0" w:type="dxa"/>
            <w:right w:w="108" w:type="dxa"/>
          </w:tblCellMar>
        </w:tblPrEx>
        <w:trPr>
          <w:trHeight w:val="58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黑体_GBK" w:cs="方正黑体_GBK"/>
                <w:color w:val="000000"/>
                <w:sz w:val="28"/>
                <w:szCs w:val="28"/>
              </w:rPr>
            </w:pPr>
            <w:r>
              <w:rPr>
                <w:rFonts w:hint="eastAsia" w:eastAsia="方正黑体_GBK" w:cs="方正黑体_GBK"/>
                <w:color w:val="000000"/>
                <w:sz w:val="28"/>
                <w:szCs w:val="28"/>
                <w:lang w:bidi="ar"/>
              </w:rPr>
              <w:t>一、对标先进优化提升专项行动</w:t>
            </w:r>
          </w:p>
        </w:tc>
      </w:tr>
      <w:tr>
        <w:tblPrEx>
          <w:tblCellMar>
            <w:top w:w="0" w:type="dxa"/>
            <w:left w:w="108" w:type="dxa"/>
            <w:bottom w:w="0" w:type="dxa"/>
            <w:right w:w="108" w:type="dxa"/>
          </w:tblCellMar>
        </w:tblPrEx>
        <w:trPr>
          <w:trHeight w:val="582"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（一）市场准入（牵头单位：区市场监管局）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lang w:bidi="ar"/>
              </w:rPr>
              <w:t>1</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用好</w:t>
            </w:r>
            <w:r>
              <w:rPr>
                <w:rFonts w:hint="eastAsia"/>
                <w:color w:val="000000"/>
                <w:sz w:val="28"/>
                <w:szCs w:val="28"/>
                <w:lang w:bidi="ar"/>
              </w:rPr>
              <w:t>“</w:t>
            </w:r>
            <w:r>
              <w:rPr>
                <w:color w:val="000000"/>
                <w:sz w:val="28"/>
                <w:szCs w:val="28"/>
                <w:lang w:bidi="ar"/>
              </w:rPr>
              <w:t>渝企在线</w:t>
            </w:r>
            <w:r>
              <w:rPr>
                <w:rFonts w:hint="eastAsia"/>
                <w:color w:val="000000"/>
                <w:sz w:val="28"/>
                <w:szCs w:val="28"/>
                <w:lang w:bidi="ar"/>
              </w:rPr>
              <w:t>”</w:t>
            </w:r>
            <w:r>
              <w:rPr>
                <w:color w:val="000000"/>
                <w:sz w:val="28"/>
                <w:szCs w:val="28"/>
                <w:lang w:bidi="ar"/>
              </w:rPr>
              <w:t>数字应用，完善登记注册申请表单智能预填、股东会决议等申请材料智能生成、人员任职资格等申请条件智能预检等功能，提升查询、统计、监测等分析调度能力，强化服务企业支撑。</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lang w:bidi="ar"/>
              </w:rPr>
              <w:t>2</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全面推行注册资本认缴登记制度改革，切实推动注册资本异常判定、出资期限豁免调整、另册管理制度细化落实，规范股东依法履行出资义务，维护市场交易安全。</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3</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落实企业名称登记规范，深化不含行政区划企业名称登记管理，执行川渝两地企业名称争议裁决机制，建立我区市场监管领域企业名称争议裁决评审机制，提升名称登记便利度和规范化。</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4</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深化个转企</w:t>
            </w:r>
            <w:r>
              <w:rPr>
                <w:rFonts w:hint="eastAsia"/>
                <w:color w:val="000000"/>
                <w:sz w:val="28"/>
                <w:szCs w:val="28"/>
                <w:lang w:bidi="ar"/>
              </w:rPr>
              <w:t>“</w:t>
            </w:r>
            <w:r>
              <w:rPr>
                <w:color w:val="000000"/>
                <w:sz w:val="28"/>
                <w:szCs w:val="28"/>
                <w:lang w:bidi="ar"/>
              </w:rPr>
              <w:t>一件事</w:t>
            </w:r>
            <w:r>
              <w:rPr>
                <w:rFonts w:hint="eastAsia"/>
                <w:color w:val="000000"/>
                <w:sz w:val="28"/>
                <w:szCs w:val="28"/>
                <w:lang w:bidi="ar"/>
              </w:rPr>
              <w:t>”</w:t>
            </w:r>
            <w:r>
              <w:rPr>
                <w:color w:val="000000"/>
                <w:sz w:val="28"/>
                <w:szCs w:val="28"/>
                <w:lang w:bidi="ar"/>
              </w:rPr>
              <w:t>，为有转型升级意愿的个体工商户提供变更企业联办服务，加强转企后行政许可事项衔接，便利经营主体延续经营。</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5</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推进企业迁移登记</w:t>
            </w:r>
            <w:r>
              <w:rPr>
                <w:rFonts w:hint="eastAsia"/>
                <w:color w:val="000000"/>
                <w:sz w:val="28"/>
                <w:szCs w:val="28"/>
                <w:lang w:bidi="ar"/>
              </w:rPr>
              <w:t>“</w:t>
            </w:r>
            <w:r>
              <w:rPr>
                <w:color w:val="000000"/>
                <w:sz w:val="28"/>
                <w:szCs w:val="28"/>
                <w:lang w:bidi="ar"/>
              </w:rPr>
              <w:t>一件事</w:t>
            </w:r>
            <w:r>
              <w:rPr>
                <w:rFonts w:hint="eastAsia"/>
                <w:color w:val="000000"/>
                <w:sz w:val="28"/>
                <w:szCs w:val="28"/>
                <w:lang w:bidi="ar"/>
              </w:rPr>
              <w:t>”</w:t>
            </w:r>
            <w:r>
              <w:rPr>
                <w:color w:val="000000"/>
                <w:sz w:val="28"/>
                <w:szCs w:val="28"/>
                <w:lang w:bidi="ar"/>
              </w:rPr>
              <w:t>，深化市域内跨区县迁移</w:t>
            </w:r>
            <w:r>
              <w:rPr>
                <w:rFonts w:hint="eastAsia"/>
                <w:color w:val="000000"/>
                <w:sz w:val="28"/>
                <w:szCs w:val="28"/>
                <w:lang w:bidi="ar"/>
              </w:rPr>
              <w:t>“</w:t>
            </w:r>
            <w:r>
              <w:rPr>
                <w:color w:val="000000"/>
                <w:sz w:val="28"/>
                <w:szCs w:val="28"/>
                <w:lang w:bidi="ar"/>
              </w:rPr>
              <w:t>一次申请、一键办理、一次办结</w:t>
            </w:r>
            <w:r>
              <w:rPr>
                <w:rFonts w:hint="eastAsia"/>
                <w:color w:val="000000"/>
                <w:sz w:val="28"/>
                <w:szCs w:val="28"/>
                <w:lang w:bidi="ar"/>
              </w:rPr>
              <w:t>”</w:t>
            </w:r>
            <w:r>
              <w:rPr>
                <w:color w:val="000000"/>
                <w:sz w:val="28"/>
                <w:szCs w:val="28"/>
                <w:lang w:bidi="ar"/>
              </w:rPr>
              <w:t>，实现川渝两地企业</w:t>
            </w:r>
            <w:r>
              <w:rPr>
                <w:rFonts w:hint="eastAsia"/>
                <w:color w:val="000000"/>
                <w:sz w:val="28"/>
                <w:szCs w:val="28"/>
                <w:lang w:bidi="ar"/>
              </w:rPr>
              <w:t>“</w:t>
            </w:r>
            <w:r>
              <w:rPr>
                <w:color w:val="000000"/>
                <w:sz w:val="28"/>
                <w:szCs w:val="28"/>
                <w:lang w:bidi="ar"/>
              </w:rPr>
              <w:t>云迁移</w:t>
            </w:r>
            <w:r>
              <w:rPr>
                <w:rFonts w:hint="eastAsia"/>
                <w:color w:val="000000"/>
                <w:sz w:val="28"/>
                <w:szCs w:val="28"/>
                <w:lang w:bidi="ar"/>
              </w:rPr>
              <w:t>”</w:t>
            </w:r>
            <w:r>
              <w:rPr>
                <w:color w:val="000000"/>
                <w:sz w:val="28"/>
                <w:szCs w:val="28"/>
                <w:lang w:bidi="ar"/>
              </w:rPr>
              <w:t>。</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649"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（二）获取经营场所（牵头单位：区规划自然资源局、区住房城乡建委）</w:t>
            </w:r>
          </w:p>
        </w:tc>
      </w:tr>
      <w:tr>
        <w:tblPrEx>
          <w:tblCellMar>
            <w:top w:w="0" w:type="dxa"/>
            <w:left w:w="108" w:type="dxa"/>
            <w:bottom w:w="0" w:type="dxa"/>
            <w:right w:w="108" w:type="dxa"/>
          </w:tblCellMar>
        </w:tblPrEx>
        <w:trPr>
          <w:trHeight w:val="219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6</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将持续推进社会投资建设项目用地规划许可证</w:t>
            </w:r>
            <w:r>
              <w:rPr>
                <w:rFonts w:hint="eastAsia"/>
                <w:color w:val="000000"/>
                <w:sz w:val="28"/>
                <w:szCs w:val="28"/>
              </w:rPr>
              <w:t>“</w:t>
            </w:r>
            <w:r>
              <w:rPr>
                <w:color w:val="000000"/>
                <w:sz w:val="28"/>
                <w:szCs w:val="28"/>
              </w:rPr>
              <w:t>免申即领</w:t>
            </w:r>
            <w:r>
              <w:rPr>
                <w:rFonts w:hint="eastAsia"/>
                <w:color w:val="000000"/>
                <w:sz w:val="28"/>
                <w:szCs w:val="28"/>
              </w:rPr>
              <w:t>”</w:t>
            </w:r>
            <w:r>
              <w:rPr>
                <w:color w:val="000000"/>
                <w:sz w:val="28"/>
                <w:szCs w:val="28"/>
              </w:rPr>
              <w:t>，推动规划条件、项目投资备案及出让合同签订等环节协同办理，今年到目前为止已实现新出让土地建设用地规划许可证</w:t>
            </w:r>
            <w:r>
              <w:rPr>
                <w:rFonts w:hint="eastAsia"/>
                <w:color w:val="000000"/>
                <w:sz w:val="28"/>
                <w:szCs w:val="28"/>
              </w:rPr>
              <w:t>“</w:t>
            </w:r>
            <w:r>
              <w:rPr>
                <w:color w:val="000000"/>
                <w:sz w:val="28"/>
                <w:szCs w:val="28"/>
              </w:rPr>
              <w:t>免申即领</w:t>
            </w:r>
            <w:r>
              <w:rPr>
                <w:rFonts w:hint="eastAsia"/>
                <w:color w:val="000000"/>
                <w:sz w:val="28"/>
                <w:szCs w:val="28"/>
              </w:rPr>
              <w:t>”</w:t>
            </w:r>
            <w:r>
              <w:rPr>
                <w:color w:val="000000"/>
                <w:sz w:val="28"/>
                <w:szCs w:val="28"/>
              </w:rPr>
              <w:t>达到100%。</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区规划自然资源局</w:t>
            </w:r>
          </w:p>
        </w:tc>
      </w:tr>
      <w:tr>
        <w:tblPrEx>
          <w:tblCellMar>
            <w:top w:w="0" w:type="dxa"/>
            <w:left w:w="108" w:type="dxa"/>
            <w:bottom w:w="0" w:type="dxa"/>
            <w:right w:w="108" w:type="dxa"/>
          </w:tblCellMar>
        </w:tblPrEx>
        <w:trPr>
          <w:trHeight w:val="90"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7</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依托国土空间用途管制系统，做好用地报批各项工作，做到报批资料和数据齐全、准确。</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区规划自然资源局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8</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持续收集企业及群众相关意见，进一步优化工程建设项目、企业资质审批流程；建立消防验收等事项“依申请”提前服务制度，线上化服务申请，透明化现场服务、规范化成果反馈，进一步强化现场廉政监管，不断提升企业服务受益。</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区住房城乡建委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9</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规范工程建设项目审批服务事项清单公示，根据事项实际情况更新《重庆市沙坪坝区工程建设项目审批及办理事项清单(2024年版)》，进一步提审批服务透明度。</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区住房城乡建委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10</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持续优化帮办代办服务工作，以企业需求出发，从依申请式被动服务向定制式主动服务转变，聚焦企业“急难愁盼”，为企业提供更优质服务。</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区住房城乡建委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11</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强化工程建设项目质量安全监管，深入推动分级分类管控，实差异化管理，筑牢工程建设质量安全网。</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区住房城乡建委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12</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开展住建领域资质审批清查整治工作，聚焦企业需求、切合市场实际，进一步推进涉企资质审批事项优化提升。</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区住房城乡建委</w:t>
            </w:r>
          </w:p>
        </w:tc>
      </w:tr>
      <w:tr>
        <w:tblPrEx>
          <w:tblCellMar>
            <w:top w:w="0" w:type="dxa"/>
            <w:left w:w="108" w:type="dxa"/>
            <w:bottom w:w="0" w:type="dxa"/>
            <w:right w:w="108" w:type="dxa"/>
          </w:tblCellMar>
        </w:tblPrEx>
        <w:trPr>
          <w:trHeight w:val="1768"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13</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推动事项告知承诺办理流程优化，提升企业及群众事项办理过程的便利度，加强告知承诺收口管理，贯彻信用管理要求，进一步规范市场秩序。</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区住房城乡建委</w:t>
            </w:r>
          </w:p>
        </w:tc>
      </w:tr>
      <w:tr>
        <w:tblPrEx>
          <w:tblCellMar>
            <w:top w:w="0" w:type="dxa"/>
            <w:left w:w="108" w:type="dxa"/>
            <w:bottom w:w="0" w:type="dxa"/>
            <w:right w:w="108" w:type="dxa"/>
          </w:tblCellMar>
        </w:tblPrEx>
        <w:trPr>
          <w:trHeight w:val="826"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（三）市政公用基础设施报装（牵头单位：区经济信息委、区城市管理局）</w:t>
            </w:r>
          </w:p>
        </w:tc>
      </w:tr>
      <w:tr>
        <w:tblPrEx>
          <w:tblCellMar>
            <w:top w:w="0" w:type="dxa"/>
            <w:left w:w="108" w:type="dxa"/>
            <w:bottom w:w="0" w:type="dxa"/>
            <w:right w:w="108" w:type="dxa"/>
          </w:tblCellMar>
        </w:tblPrEx>
        <w:trPr>
          <w:trHeight w:val="1879"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center"/>
              <w:rPr>
                <w:color w:val="000000"/>
                <w:sz w:val="28"/>
                <w:szCs w:val="28"/>
                <w:lang w:bidi="ar"/>
              </w:rPr>
            </w:pPr>
            <w:r>
              <w:rPr>
                <w:rFonts w:hint="eastAsia"/>
                <w:color w:val="000000"/>
                <w:sz w:val="28"/>
                <w:szCs w:val="28"/>
                <w:lang w:bidi="ar"/>
              </w:rPr>
              <w:t>14</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lang w:bidi="ar"/>
              </w:rPr>
            </w:pPr>
            <w:r>
              <w:rPr>
                <w:color w:val="000000"/>
                <w:sz w:val="28"/>
                <w:szCs w:val="28"/>
                <w:lang w:bidi="ar"/>
              </w:rPr>
              <w:t>持续优化水电气网联合报装</w:t>
            </w:r>
            <w:r>
              <w:rPr>
                <w:rFonts w:hint="eastAsia"/>
                <w:color w:val="000000"/>
                <w:sz w:val="28"/>
                <w:szCs w:val="28"/>
                <w:lang w:bidi="ar"/>
              </w:rPr>
              <w:t>“</w:t>
            </w:r>
            <w:r>
              <w:rPr>
                <w:color w:val="000000"/>
                <w:sz w:val="28"/>
                <w:szCs w:val="28"/>
                <w:lang w:bidi="ar"/>
              </w:rPr>
              <w:t>一件事</w:t>
            </w:r>
            <w:r>
              <w:rPr>
                <w:rFonts w:hint="eastAsia"/>
                <w:color w:val="000000"/>
                <w:sz w:val="28"/>
                <w:szCs w:val="28"/>
                <w:lang w:bidi="ar"/>
              </w:rPr>
              <w:t>”</w:t>
            </w:r>
            <w:r>
              <w:rPr>
                <w:color w:val="000000"/>
                <w:sz w:val="28"/>
                <w:szCs w:val="28"/>
                <w:lang w:bidi="ar"/>
              </w:rPr>
              <w:t>，做好</w:t>
            </w:r>
            <w:r>
              <w:rPr>
                <w:rFonts w:hint="eastAsia"/>
                <w:color w:val="000000"/>
                <w:sz w:val="28"/>
                <w:szCs w:val="28"/>
                <w:lang w:bidi="ar"/>
              </w:rPr>
              <w:t>“</w:t>
            </w:r>
            <w:r>
              <w:rPr>
                <w:color w:val="000000"/>
                <w:sz w:val="28"/>
                <w:szCs w:val="28"/>
                <w:lang w:bidi="ar"/>
              </w:rPr>
              <w:t>水电气网一件事</w:t>
            </w:r>
            <w:r>
              <w:rPr>
                <w:rFonts w:hint="eastAsia"/>
                <w:color w:val="000000"/>
                <w:sz w:val="28"/>
                <w:szCs w:val="28"/>
                <w:lang w:bidi="ar"/>
              </w:rPr>
              <w:t>”</w:t>
            </w:r>
            <w:r>
              <w:rPr>
                <w:color w:val="000000"/>
                <w:sz w:val="28"/>
                <w:szCs w:val="28"/>
                <w:lang w:bidi="ar"/>
              </w:rPr>
              <w:t>的宣传推广，提高群众使用率，强化联合申请联合报装一次完成，不断提高市政公用基础设施报装效率。</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lang w:bidi="ar"/>
              </w:rPr>
            </w:pPr>
            <w:r>
              <w:rPr>
                <w:color w:val="000000"/>
                <w:sz w:val="28"/>
                <w:szCs w:val="28"/>
                <w:lang w:bidi="ar"/>
              </w:rPr>
              <w:t>区城市管理局</w:t>
            </w:r>
            <w:r>
              <w:rPr>
                <w:rFonts w:hint="eastAsia"/>
                <w:color w:val="000000"/>
                <w:sz w:val="28"/>
                <w:szCs w:val="28"/>
                <w:lang w:bidi="ar"/>
              </w:rPr>
              <w:t>、</w:t>
            </w:r>
            <w:r>
              <w:rPr>
                <w:color w:val="000000"/>
                <w:sz w:val="28"/>
                <w:szCs w:val="28"/>
                <w:lang w:bidi="ar"/>
              </w:rPr>
              <w:t>区经济信息委</w:t>
            </w:r>
          </w:p>
        </w:tc>
      </w:tr>
      <w:tr>
        <w:tblPrEx>
          <w:tblCellMar>
            <w:top w:w="0" w:type="dxa"/>
            <w:left w:w="108" w:type="dxa"/>
            <w:bottom w:w="0" w:type="dxa"/>
            <w:right w:w="108" w:type="dxa"/>
          </w:tblCellMar>
        </w:tblPrEx>
        <w:trPr>
          <w:trHeight w:val="1730"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center"/>
              <w:rPr>
                <w:color w:val="000000"/>
                <w:sz w:val="28"/>
                <w:szCs w:val="28"/>
                <w:lang w:bidi="ar"/>
              </w:rPr>
            </w:pPr>
            <w:r>
              <w:rPr>
                <w:rFonts w:hint="eastAsia"/>
                <w:color w:val="000000"/>
                <w:sz w:val="28"/>
                <w:szCs w:val="28"/>
                <w:lang w:bidi="ar"/>
              </w:rPr>
              <w:t>15</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lang w:bidi="ar"/>
              </w:rPr>
            </w:pPr>
            <w:r>
              <w:rPr>
                <w:color w:val="000000"/>
                <w:sz w:val="28"/>
                <w:szCs w:val="28"/>
                <w:lang w:bidi="ar"/>
              </w:rPr>
              <w:t>持续深化用电报装</w:t>
            </w:r>
            <w:r>
              <w:rPr>
                <w:rFonts w:hint="eastAsia"/>
                <w:color w:val="000000"/>
                <w:sz w:val="28"/>
                <w:szCs w:val="28"/>
                <w:lang w:bidi="ar"/>
              </w:rPr>
              <w:t>“</w:t>
            </w:r>
            <w:r>
              <w:rPr>
                <w:color w:val="000000"/>
                <w:sz w:val="28"/>
                <w:szCs w:val="28"/>
                <w:lang w:bidi="ar"/>
              </w:rPr>
              <w:t>三零</w:t>
            </w:r>
            <w:r>
              <w:rPr>
                <w:rFonts w:hint="eastAsia"/>
                <w:color w:val="000000"/>
                <w:sz w:val="28"/>
                <w:szCs w:val="28"/>
                <w:lang w:bidi="ar"/>
              </w:rPr>
              <w:t>”“</w:t>
            </w:r>
            <w:r>
              <w:rPr>
                <w:color w:val="000000"/>
                <w:sz w:val="28"/>
                <w:szCs w:val="28"/>
                <w:lang w:bidi="ar"/>
              </w:rPr>
              <w:t>三省</w:t>
            </w:r>
            <w:r>
              <w:rPr>
                <w:rFonts w:hint="eastAsia"/>
                <w:color w:val="000000"/>
                <w:sz w:val="28"/>
                <w:szCs w:val="28"/>
                <w:lang w:bidi="ar"/>
              </w:rPr>
              <w:t>”</w:t>
            </w:r>
            <w:r>
              <w:rPr>
                <w:color w:val="000000"/>
                <w:sz w:val="28"/>
                <w:szCs w:val="28"/>
                <w:lang w:bidi="ar"/>
              </w:rPr>
              <w:t>服务，加强政企信息共享，供电企业提前掌握项目信息，靠前对接、主动服务，及时保障客户用电需求。</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lang w:bidi="ar"/>
              </w:rPr>
            </w:pPr>
            <w:r>
              <w:rPr>
                <w:rFonts w:hint="eastAsia"/>
                <w:color w:val="000000"/>
                <w:sz w:val="28"/>
                <w:szCs w:val="28"/>
                <w:lang w:bidi="ar"/>
              </w:rPr>
              <w:t>区经济信息委</w:t>
            </w:r>
          </w:p>
        </w:tc>
      </w:tr>
      <w:tr>
        <w:tblPrEx>
          <w:tblCellMar>
            <w:top w:w="0" w:type="dxa"/>
            <w:left w:w="108" w:type="dxa"/>
            <w:bottom w:w="0" w:type="dxa"/>
            <w:right w:w="108" w:type="dxa"/>
          </w:tblCellMar>
        </w:tblPrEx>
        <w:trPr>
          <w:trHeight w:val="87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center"/>
              <w:rPr>
                <w:color w:val="000000"/>
                <w:sz w:val="28"/>
                <w:szCs w:val="28"/>
                <w:lang w:bidi="ar"/>
              </w:rPr>
            </w:pPr>
            <w:r>
              <w:rPr>
                <w:rFonts w:hint="eastAsia"/>
                <w:color w:val="000000"/>
                <w:sz w:val="28"/>
                <w:szCs w:val="28"/>
                <w:lang w:bidi="ar"/>
              </w:rPr>
              <w:t>16</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lang w:bidi="ar"/>
              </w:rPr>
            </w:pPr>
            <w:r>
              <w:rPr>
                <w:color w:val="000000"/>
                <w:sz w:val="28"/>
                <w:szCs w:val="28"/>
                <w:lang w:bidi="ar"/>
              </w:rPr>
              <w:t>推行</w:t>
            </w:r>
            <w:r>
              <w:rPr>
                <w:rFonts w:hint="eastAsia"/>
                <w:color w:val="000000"/>
                <w:sz w:val="28"/>
                <w:szCs w:val="28"/>
                <w:lang w:bidi="ar"/>
              </w:rPr>
              <w:t>“</w:t>
            </w:r>
            <w:r>
              <w:rPr>
                <w:color w:val="000000"/>
                <w:sz w:val="28"/>
                <w:szCs w:val="28"/>
                <w:lang w:bidi="ar"/>
              </w:rPr>
              <w:t>零跑腿透明价10天通气</w:t>
            </w:r>
            <w:r>
              <w:rPr>
                <w:rFonts w:hint="eastAsia"/>
                <w:color w:val="000000"/>
                <w:sz w:val="28"/>
                <w:szCs w:val="28"/>
                <w:lang w:bidi="ar"/>
              </w:rPr>
              <w:t>”</w:t>
            </w:r>
            <w:r>
              <w:rPr>
                <w:color w:val="000000"/>
                <w:sz w:val="28"/>
                <w:szCs w:val="28"/>
                <w:lang w:bidi="ar"/>
              </w:rPr>
              <w:t>用气报装服务，不断提升用气报装便利度。</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lang w:bidi="ar"/>
              </w:rPr>
            </w:pPr>
            <w:r>
              <w:rPr>
                <w:rFonts w:hint="eastAsia"/>
                <w:color w:val="000000"/>
                <w:sz w:val="28"/>
                <w:szCs w:val="28"/>
                <w:lang w:bidi="ar"/>
              </w:rPr>
              <w:t>区经济信息委</w:t>
            </w:r>
          </w:p>
        </w:tc>
      </w:tr>
      <w:tr>
        <w:tblPrEx>
          <w:tblCellMar>
            <w:top w:w="0" w:type="dxa"/>
            <w:left w:w="108" w:type="dxa"/>
            <w:bottom w:w="0" w:type="dxa"/>
            <w:right w:w="108" w:type="dxa"/>
          </w:tblCellMar>
        </w:tblPrEx>
        <w:trPr>
          <w:trHeight w:val="912"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center"/>
              <w:rPr>
                <w:color w:val="000000"/>
                <w:sz w:val="28"/>
                <w:szCs w:val="28"/>
                <w:lang w:bidi="ar"/>
              </w:rPr>
            </w:pPr>
            <w:r>
              <w:rPr>
                <w:rFonts w:hint="eastAsia"/>
                <w:color w:val="000000"/>
                <w:sz w:val="28"/>
                <w:szCs w:val="28"/>
                <w:lang w:bidi="ar"/>
              </w:rPr>
              <w:t>17</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lang w:bidi="ar"/>
              </w:rPr>
            </w:pPr>
            <w:r>
              <w:rPr>
                <w:color w:val="000000"/>
                <w:sz w:val="28"/>
                <w:szCs w:val="28"/>
              </w:rPr>
              <w:t>开展更新改造老旧管道工作，约更新9.2公里，减少老旧管道的漏损率。</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lang w:bidi="ar"/>
              </w:rPr>
              <w:t>区城市管理局</w:t>
            </w:r>
          </w:p>
        </w:tc>
      </w:tr>
      <w:tr>
        <w:tblPrEx>
          <w:tblCellMar>
            <w:top w:w="0" w:type="dxa"/>
            <w:left w:w="108" w:type="dxa"/>
            <w:bottom w:w="0" w:type="dxa"/>
            <w:right w:w="108" w:type="dxa"/>
          </w:tblCellMar>
        </w:tblPrEx>
        <w:trPr>
          <w:trHeight w:val="949"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center"/>
              <w:rPr>
                <w:color w:val="000000"/>
                <w:sz w:val="28"/>
                <w:szCs w:val="28"/>
              </w:rPr>
            </w:pPr>
            <w:r>
              <w:rPr>
                <w:rFonts w:hint="eastAsia"/>
                <w:color w:val="000000"/>
                <w:sz w:val="28"/>
                <w:szCs w:val="28"/>
              </w:rPr>
              <w:t>18</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lang w:bidi="ar"/>
              </w:rPr>
            </w:pPr>
            <w:r>
              <w:rPr>
                <w:color w:val="000000"/>
                <w:sz w:val="28"/>
                <w:szCs w:val="28"/>
              </w:rPr>
              <w:t>每月定期开展城市供水水质检测行动，确保全年水质综合合格率保持在100%。</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lang w:bidi="ar"/>
              </w:rPr>
              <w:t>区城市管理局</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（四）劳动用工（牵头单位：区人力社保局）</w:t>
            </w:r>
          </w:p>
        </w:tc>
      </w:tr>
      <w:tr>
        <w:tblPrEx>
          <w:tblCellMar>
            <w:top w:w="0" w:type="dxa"/>
            <w:left w:w="108" w:type="dxa"/>
            <w:bottom w:w="0" w:type="dxa"/>
            <w:right w:w="108" w:type="dxa"/>
          </w:tblCellMar>
        </w:tblPrEx>
        <w:trPr>
          <w:trHeight w:val="1862"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19</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pacing w:val="4"/>
                <w:sz w:val="28"/>
                <w:szCs w:val="28"/>
              </w:rPr>
              <w:t>推动</w:t>
            </w:r>
            <w:r>
              <w:rPr>
                <w:rFonts w:hint="eastAsia"/>
                <w:color w:val="000000"/>
                <w:spacing w:val="4"/>
                <w:sz w:val="28"/>
                <w:szCs w:val="28"/>
              </w:rPr>
              <w:t>“</w:t>
            </w:r>
            <w:r>
              <w:rPr>
                <w:color w:val="000000"/>
                <w:spacing w:val="4"/>
                <w:sz w:val="28"/>
                <w:szCs w:val="28"/>
              </w:rPr>
              <w:t>15分钟就业创业服务圈</w:t>
            </w:r>
            <w:r>
              <w:rPr>
                <w:rFonts w:hint="eastAsia"/>
                <w:color w:val="000000"/>
                <w:spacing w:val="4"/>
                <w:sz w:val="28"/>
                <w:szCs w:val="28"/>
              </w:rPr>
              <w:t>”</w:t>
            </w:r>
            <w:r>
              <w:rPr>
                <w:color w:val="000000"/>
                <w:spacing w:val="4"/>
                <w:sz w:val="28"/>
                <w:szCs w:val="28"/>
              </w:rPr>
              <w:t>建设，统筹推进就业服务站、零工市场、就业驿站等公共就业服务载体标准化、智能化建设，升级</w:t>
            </w:r>
            <w:r>
              <w:rPr>
                <w:rFonts w:hint="eastAsia"/>
                <w:color w:val="000000"/>
                <w:spacing w:val="4"/>
                <w:sz w:val="28"/>
                <w:szCs w:val="28"/>
              </w:rPr>
              <w:t>“</w:t>
            </w:r>
            <w:r>
              <w:rPr>
                <w:color w:val="000000"/>
                <w:spacing w:val="4"/>
                <w:sz w:val="28"/>
                <w:szCs w:val="28"/>
              </w:rPr>
              <w:t>家门口</w:t>
            </w:r>
            <w:r>
              <w:rPr>
                <w:rFonts w:hint="eastAsia"/>
                <w:color w:val="000000"/>
                <w:spacing w:val="4"/>
                <w:sz w:val="28"/>
                <w:szCs w:val="28"/>
              </w:rPr>
              <w:t>”</w:t>
            </w:r>
            <w:r>
              <w:rPr>
                <w:color w:val="000000"/>
                <w:spacing w:val="4"/>
                <w:sz w:val="28"/>
                <w:szCs w:val="28"/>
              </w:rPr>
              <w:t>就业服务模式。</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区人力社保局</w:t>
            </w:r>
          </w:p>
        </w:tc>
      </w:tr>
      <w:tr>
        <w:tblPrEx>
          <w:tblCellMar>
            <w:top w:w="0" w:type="dxa"/>
            <w:left w:w="108" w:type="dxa"/>
            <w:bottom w:w="0" w:type="dxa"/>
            <w:right w:w="108" w:type="dxa"/>
          </w:tblCellMar>
        </w:tblPrEx>
        <w:trPr>
          <w:trHeight w:val="2139"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lang w:bidi="ar"/>
              </w:rPr>
              <w:t>2</w:t>
            </w:r>
            <w:r>
              <w:rPr>
                <w:rFonts w:hint="eastAsia"/>
                <w:color w:val="000000"/>
                <w:sz w:val="28"/>
                <w:szCs w:val="28"/>
                <w:lang w:bidi="ar"/>
              </w:rPr>
              <w:t>0</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pacing w:val="4"/>
                <w:sz w:val="28"/>
                <w:szCs w:val="28"/>
              </w:rPr>
              <w:t>依托创业导师队伍，针对性提供创业指导服务，加强</w:t>
            </w:r>
            <w:r>
              <w:rPr>
                <w:rFonts w:hint="eastAsia"/>
                <w:color w:val="000000"/>
                <w:spacing w:val="4"/>
                <w:sz w:val="28"/>
                <w:szCs w:val="28"/>
              </w:rPr>
              <w:t>“</w:t>
            </w:r>
            <w:r>
              <w:rPr>
                <w:color w:val="000000"/>
                <w:spacing w:val="4"/>
                <w:sz w:val="28"/>
                <w:szCs w:val="28"/>
              </w:rPr>
              <w:t>就在身边</w:t>
            </w:r>
            <w:r>
              <w:rPr>
                <w:rFonts w:hint="eastAsia"/>
                <w:color w:val="000000"/>
                <w:spacing w:val="4"/>
                <w:sz w:val="28"/>
                <w:szCs w:val="28"/>
              </w:rPr>
              <w:t>”</w:t>
            </w:r>
            <w:r>
              <w:rPr>
                <w:color w:val="000000"/>
                <w:spacing w:val="4"/>
                <w:sz w:val="28"/>
                <w:szCs w:val="28"/>
              </w:rPr>
              <w:t>的高效服务供给，聚焦劳动力技能水平、就业意愿与市场需求的匹配度，提供</w:t>
            </w:r>
            <w:r>
              <w:rPr>
                <w:rFonts w:hint="eastAsia"/>
                <w:color w:val="000000"/>
                <w:spacing w:val="4"/>
                <w:sz w:val="28"/>
                <w:szCs w:val="28"/>
              </w:rPr>
              <w:t>“</w:t>
            </w:r>
            <w:r>
              <w:rPr>
                <w:color w:val="000000"/>
                <w:spacing w:val="4"/>
                <w:sz w:val="28"/>
                <w:szCs w:val="28"/>
              </w:rPr>
              <w:t>一站式</w:t>
            </w:r>
            <w:r>
              <w:rPr>
                <w:rFonts w:hint="eastAsia"/>
                <w:color w:val="000000"/>
                <w:spacing w:val="4"/>
                <w:sz w:val="28"/>
                <w:szCs w:val="28"/>
              </w:rPr>
              <w:t>”</w:t>
            </w:r>
            <w:r>
              <w:rPr>
                <w:color w:val="000000"/>
                <w:spacing w:val="4"/>
                <w:sz w:val="28"/>
                <w:szCs w:val="28"/>
              </w:rPr>
              <w:t>职业指导，精准指导劳动力就业。</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区人力社保局</w:t>
            </w:r>
          </w:p>
        </w:tc>
      </w:tr>
      <w:tr>
        <w:tblPrEx>
          <w:tblCellMar>
            <w:top w:w="0" w:type="dxa"/>
            <w:left w:w="108" w:type="dxa"/>
            <w:bottom w:w="0" w:type="dxa"/>
            <w:right w:w="108" w:type="dxa"/>
          </w:tblCellMar>
        </w:tblPrEx>
        <w:trPr>
          <w:trHeight w:val="2176"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2</w:t>
            </w:r>
            <w:r>
              <w:rPr>
                <w:rFonts w:hint="eastAsia"/>
                <w:color w:val="000000"/>
                <w:sz w:val="28"/>
                <w:szCs w:val="28"/>
                <w:lang w:bidi="ar"/>
              </w:rPr>
              <w:t>1</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pacing w:val="4"/>
                <w:sz w:val="28"/>
                <w:szCs w:val="28"/>
              </w:rPr>
            </w:pPr>
            <w:r>
              <w:rPr>
                <w:color w:val="000000"/>
                <w:spacing w:val="4"/>
                <w:sz w:val="28"/>
                <w:szCs w:val="28"/>
              </w:rPr>
              <w:t>规范维权机构建设，推广监察仲裁前端一体化受理，推广</w:t>
            </w:r>
            <w:r>
              <w:rPr>
                <w:rFonts w:hint="eastAsia"/>
                <w:color w:val="000000"/>
                <w:spacing w:val="4"/>
                <w:sz w:val="28"/>
                <w:szCs w:val="28"/>
              </w:rPr>
              <w:t>“</w:t>
            </w:r>
            <w:r>
              <w:rPr>
                <w:color w:val="000000"/>
                <w:spacing w:val="4"/>
                <w:sz w:val="28"/>
                <w:szCs w:val="28"/>
              </w:rPr>
              <w:t>渝悦·根治欠薪</w:t>
            </w:r>
            <w:r>
              <w:rPr>
                <w:rFonts w:hint="eastAsia"/>
                <w:color w:val="000000"/>
                <w:spacing w:val="4"/>
                <w:sz w:val="28"/>
                <w:szCs w:val="28"/>
              </w:rPr>
              <w:t>”</w:t>
            </w:r>
            <w:r>
              <w:rPr>
                <w:color w:val="000000"/>
                <w:spacing w:val="4"/>
                <w:sz w:val="28"/>
                <w:szCs w:val="28"/>
              </w:rPr>
              <w:t>平台畅通数字治欠渠道，提升劳动维权便利度，劳动保障监察举报投诉结案率和拖欠农民工工资举报投诉结案率均达到98%以上。</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2</w:t>
            </w:r>
            <w:r>
              <w:rPr>
                <w:rFonts w:hint="eastAsia"/>
                <w:color w:val="000000"/>
                <w:sz w:val="28"/>
                <w:szCs w:val="28"/>
                <w:lang w:bidi="ar"/>
              </w:rPr>
              <w:t>2</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pacing w:val="4"/>
                <w:sz w:val="28"/>
                <w:szCs w:val="28"/>
              </w:rPr>
            </w:pPr>
            <w:r>
              <w:rPr>
                <w:color w:val="000000"/>
                <w:spacing w:val="4"/>
                <w:sz w:val="28"/>
                <w:szCs w:val="28"/>
              </w:rPr>
              <w:t>发挥镇（街道）调解组织和行业性调解组织在劳动争议调解中的主战场、主渠道作用，加强多元联处，力争劳动人事争议调解成功率达到70%以上。</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2</w:t>
            </w:r>
            <w:r>
              <w:rPr>
                <w:rFonts w:hint="eastAsia"/>
                <w:color w:val="000000"/>
                <w:sz w:val="28"/>
                <w:szCs w:val="28"/>
                <w:lang w:bidi="ar"/>
              </w:rPr>
              <w:t>3</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pacing w:val="4"/>
                <w:sz w:val="28"/>
                <w:szCs w:val="28"/>
              </w:rPr>
            </w:pPr>
            <w:r>
              <w:rPr>
                <w:color w:val="000000"/>
                <w:spacing w:val="4"/>
                <w:sz w:val="28"/>
                <w:szCs w:val="28"/>
              </w:rPr>
              <w:t>依托现有的区劳动纠纷一站式联动处置中心打造新就业形态劳动争议一站式调解平台，保障新就业形态劳动者合法权益，提升调解工作效能。</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sz w:val="28"/>
                <w:szCs w:val="28"/>
                <w:lang w:bidi="ar"/>
              </w:rPr>
              <w:t>2</w:t>
            </w:r>
            <w:r>
              <w:rPr>
                <w:rFonts w:hint="eastAsia"/>
                <w:sz w:val="28"/>
                <w:szCs w:val="28"/>
                <w:lang w:bidi="ar"/>
              </w:rPr>
              <w:t>4</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pacing w:val="4"/>
                <w:sz w:val="28"/>
                <w:szCs w:val="28"/>
              </w:rPr>
            </w:pPr>
            <w:r>
              <w:rPr>
                <w:spacing w:val="4"/>
                <w:sz w:val="28"/>
                <w:szCs w:val="28"/>
              </w:rPr>
              <w:t>探索引入在各区县司法局备案的民商事调解组织进行劳动人事争议调解工作，充分利用民商事调解组织中律师的专业性、灵活性和高效性，为当事人提供更加便捷、低成本的纠纷解决途径。</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2</w:t>
            </w:r>
            <w:r>
              <w:rPr>
                <w:rFonts w:hint="eastAsia"/>
                <w:color w:val="000000"/>
                <w:sz w:val="28"/>
                <w:szCs w:val="28"/>
                <w:lang w:bidi="ar"/>
              </w:rPr>
              <w:t>5</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pacing w:val="4"/>
                <w:sz w:val="28"/>
                <w:szCs w:val="28"/>
              </w:rPr>
            </w:pPr>
            <w:r>
              <w:rPr>
                <w:color w:val="000000"/>
                <w:spacing w:val="4"/>
                <w:sz w:val="28"/>
                <w:szCs w:val="28"/>
              </w:rPr>
              <w:t>落实社保参保</w:t>
            </w:r>
            <w:r>
              <w:rPr>
                <w:rFonts w:hint="eastAsia"/>
                <w:color w:val="000000"/>
                <w:spacing w:val="4"/>
                <w:sz w:val="28"/>
                <w:szCs w:val="28"/>
              </w:rPr>
              <w:t>“</w:t>
            </w:r>
            <w:r>
              <w:rPr>
                <w:color w:val="000000"/>
                <w:spacing w:val="4"/>
                <w:sz w:val="28"/>
                <w:szCs w:val="28"/>
              </w:rPr>
              <w:t>一件事</w:t>
            </w:r>
            <w:r>
              <w:rPr>
                <w:rFonts w:hint="eastAsia"/>
                <w:color w:val="000000"/>
                <w:spacing w:val="4"/>
                <w:sz w:val="28"/>
                <w:szCs w:val="28"/>
              </w:rPr>
              <w:t>”</w:t>
            </w:r>
            <w:r>
              <w:rPr>
                <w:color w:val="000000"/>
                <w:spacing w:val="4"/>
                <w:sz w:val="28"/>
                <w:szCs w:val="28"/>
              </w:rPr>
              <w:t>办理，引导灵活就业人员通过社保业务</w:t>
            </w:r>
            <w:r>
              <w:rPr>
                <w:rFonts w:hint="eastAsia"/>
                <w:color w:val="000000"/>
                <w:spacing w:val="4"/>
                <w:sz w:val="28"/>
                <w:szCs w:val="28"/>
              </w:rPr>
              <w:t>“</w:t>
            </w:r>
            <w:r>
              <w:rPr>
                <w:color w:val="000000"/>
                <w:spacing w:val="4"/>
                <w:sz w:val="28"/>
                <w:szCs w:val="28"/>
              </w:rPr>
              <w:t>单位网上申报平台</w:t>
            </w:r>
            <w:r>
              <w:rPr>
                <w:rFonts w:hint="eastAsia"/>
                <w:color w:val="000000"/>
                <w:spacing w:val="4"/>
                <w:sz w:val="28"/>
                <w:szCs w:val="28"/>
              </w:rPr>
              <w:t>”</w:t>
            </w:r>
            <w:r>
              <w:rPr>
                <w:color w:val="000000"/>
                <w:spacing w:val="4"/>
                <w:sz w:val="28"/>
                <w:szCs w:val="28"/>
              </w:rPr>
              <w:t>办理参保、续保等业务。</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区人力社保局</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（五）获取金融服务（牵头单位：区政府办公室）</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rPr>
              <w:t>2</w:t>
            </w:r>
            <w:r>
              <w:rPr>
                <w:rFonts w:hint="eastAsia"/>
                <w:color w:val="000000"/>
                <w:sz w:val="28"/>
                <w:szCs w:val="28"/>
              </w:rPr>
              <w:t>6</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pStyle w:val="22"/>
              <w:spacing w:before="143" w:line="320" w:lineRule="atLeast"/>
              <w:ind w:right="83"/>
              <w:rPr>
                <w:rFonts w:ascii="Times New Roman" w:hAnsi="Times New Roman" w:eastAsia="方正仿宋_GBK" w:cs="Times New Roman"/>
                <w:sz w:val="28"/>
                <w:szCs w:val="28"/>
                <w:lang w:eastAsia="zh-CN"/>
              </w:rPr>
            </w:pPr>
            <w:r>
              <w:rPr>
                <w:rFonts w:ascii="Times New Roman" w:hAnsi="Times New Roman" w:eastAsia="方正仿宋_GBK" w:cs="Times New Roman"/>
                <w:spacing w:val="4"/>
                <w:sz w:val="28"/>
                <w:szCs w:val="28"/>
                <w:lang w:eastAsia="zh-CN"/>
              </w:rPr>
              <w:t>依托市委金融办</w:t>
            </w:r>
            <w:r>
              <w:rPr>
                <w:rFonts w:hint="eastAsia" w:ascii="Times New Roman" w:hAnsi="Times New Roman" w:eastAsia="方正仿宋_GBK" w:cs="Times New Roman"/>
                <w:spacing w:val="4"/>
                <w:sz w:val="28"/>
                <w:szCs w:val="28"/>
                <w:lang w:eastAsia="zh-CN"/>
              </w:rPr>
              <w:t>“</w:t>
            </w:r>
            <w:r>
              <w:rPr>
                <w:rFonts w:ascii="Times New Roman" w:hAnsi="Times New Roman" w:eastAsia="方正仿宋_GBK" w:cs="Times New Roman"/>
                <w:spacing w:val="4"/>
                <w:sz w:val="28"/>
                <w:szCs w:val="28"/>
                <w:lang w:eastAsia="zh-CN"/>
              </w:rPr>
              <w:t>渝金通</w:t>
            </w:r>
            <w:r>
              <w:rPr>
                <w:rFonts w:hint="eastAsia" w:ascii="Times New Roman" w:hAnsi="Times New Roman" w:eastAsia="方正仿宋_GBK" w:cs="Times New Roman"/>
                <w:spacing w:val="4"/>
                <w:sz w:val="28"/>
                <w:szCs w:val="28"/>
                <w:lang w:eastAsia="zh-CN"/>
              </w:rPr>
              <w:t>”</w:t>
            </w:r>
            <w:r>
              <w:rPr>
                <w:rFonts w:ascii="Times New Roman" w:hAnsi="Times New Roman" w:eastAsia="方正仿宋_GBK" w:cs="Times New Roman"/>
                <w:spacing w:val="4"/>
                <w:sz w:val="28"/>
                <w:szCs w:val="28"/>
                <w:lang w:eastAsia="zh-CN"/>
              </w:rPr>
              <w:t>数智金融服务平台，推进各类金融服务平台多维集成、多跨协同，构建产业金融、科创金融、普惠</w:t>
            </w:r>
            <w:r>
              <w:rPr>
                <w:rFonts w:ascii="Times New Roman" w:hAnsi="Times New Roman" w:eastAsia="方正仿宋_GBK" w:cs="Times New Roman"/>
                <w:spacing w:val="5"/>
                <w:sz w:val="28"/>
                <w:szCs w:val="28"/>
                <w:lang w:eastAsia="zh-CN"/>
              </w:rPr>
              <w:t>金融等领域多跨业务场景。</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区政府办公室</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27</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pStyle w:val="22"/>
              <w:spacing w:before="143" w:line="320" w:lineRule="atLeast"/>
              <w:ind w:right="83"/>
              <w:rPr>
                <w:rFonts w:ascii="Times New Roman" w:hAnsi="Times New Roman" w:eastAsia="方正仿宋_GBK" w:cs="Times New Roman"/>
                <w:sz w:val="28"/>
                <w:szCs w:val="28"/>
                <w:lang w:eastAsia="zh-CN"/>
              </w:rPr>
            </w:pPr>
            <w:r>
              <w:rPr>
                <w:rFonts w:ascii="Times New Roman" w:hAnsi="Times New Roman" w:eastAsia="方正仿宋_GBK" w:cs="Times New Roman"/>
                <w:spacing w:val="4"/>
                <w:sz w:val="28"/>
                <w:szCs w:val="28"/>
                <w:lang w:eastAsia="zh-CN"/>
              </w:rPr>
              <w:t>支持金融机构大力开展绿色贷款和转型贷款工作，力争全年绿色贷款余额达350亿元。</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区政府办公室</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28</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pStyle w:val="22"/>
              <w:spacing w:before="144" w:line="320" w:lineRule="atLeast"/>
              <w:ind w:right="82"/>
              <w:rPr>
                <w:rFonts w:ascii="Times New Roman" w:hAnsi="Times New Roman" w:eastAsia="方正仿宋_GBK" w:cs="Times New Roman"/>
                <w:sz w:val="28"/>
                <w:szCs w:val="28"/>
                <w:lang w:eastAsia="zh-CN"/>
              </w:rPr>
            </w:pPr>
            <w:r>
              <w:rPr>
                <w:rFonts w:ascii="Times New Roman" w:hAnsi="Times New Roman" w:eastAsia="方正仿宋_GBK" w:cs="Times New Roman"/>
                <w:spacing w:val="4"/>
                <w:sz w:val="28"/>
                <w:szCs w:val="28"/>
                <w:lang w:eastAsia="zh-CN"/>
              </w:rPr>
              <w:t>鼓励更多金融机构强化绿色金融风险监管，推动更多企业</w:t>
            </w:r>
            <w:r>
              <w:rPr>
                <w:rFonts w:ascii="Times New Roman" w:hAnsi="Times New Roman" w:eastAsia="方正仿宋_GBK" w:cs="Times New Roman"/>
                <w:spacing w:val="5"/>
                <w:sz w:val="28"/>
                <w:szCs w:val="28"/>
                <w:lang w:eastAsia="zh-CN"/>
              </w:rPr>
              <w:t>开展环境信息披露，促进绿色金融规范发展。</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区政府办公室</w:t>
            </w:r>
          </w:p>
        </w:tc>
      </w:tr>
      <w:tr>
        <w:tblPrEx>
          <w:tblCellMar>
            <w:top w:w="0" w:type="dxa"/>
            <w:left w:w="108" w:type="dxa"/>
            <w:bottom w:w="0" w:type="dxa"/>
            <w:right w:w="108" w:type="dxa"/>
          </w:tblCellMar>
        </w:tblPrEx>
        <w:trPr>
          <w:trHeight w:val="14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29</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pStyle w:val="22"/>
              <w:spacing w:before="143" w:line="320" w:lineRule="atLeast"/>
              <w:ind w:right="79"/>
              <w:rPr>
                <w:rFonts w:ascii="Times New Roman" w:hAnsi="Times New Roman" w:eastAsia="方正仿宋_GBK" w:cs="Times New Roman"/>
                <w:sz w:val="28"/>
                <w:szCs w:val="28"/>
                <w:lang w:eastAsia="zh-CN"/>
              </w:rPr>
            </w:pPr>
            <w:r>
              <w:rPr>
                <w:rFonts w:ascii="Times New Roman" w:hAnsi="Times New Roman" w:eastAsia="方正仿宋_GBK" w:cs="Times New Roman"/>
                <w:spacing w:val="4"/>
                <w:sz w:val="28"/>
                <w:szCs w:val="28"/>
                <w:lang w:eastAsia="zh-CN"/>
              </w:rPr>
              <w:t>实施无还本续贷升级行动，鼓励金融机构进一步降低银行账户服务费、人民币转账汇款手续费、银行卡刷卡手续费等费用。</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区政府办公室</w:t>
            </w:r>
          </w:p>
        </w:tc>
      </w:tr>
      <w:tr>
        <w:tblPrEx>
          <w:tblCellMar>
            <w:top w:w="0" w:type="dxa"/>
            <w:left w:w="108" w:type="dxa"/>
            <w:bottom w:w="0" w:type="dxa"/>
            <w:right w:w="108" w:type="dxa"/>
          </w:tblCellMar>
        </w:tblPrEx>
        <w:trPr>
          <w:trHeight w:val="1011"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3</w:t>
            </w:r>
            <w:r>
              <w:rPr>
                <w:rFonts w:hint="eastAsia"/>
                <w:color w:val="000000"/>
                <w:sz w:val="28"/>
                <w:szCs w:val="28"/>
                <w:lang w:bidi="ar"/>
              </w:rPr>
              <w:t>0</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pStyle w:val="22"/>
              <w:spacing w:before="99" w:line="320" w:lineRule="atLeast"/>
              <w:ind w:right="82"/>
              <w:rPr>
                <w:rFonts w:ascii="Times New Roman" w:hAnsi="Times New Roman" w:eastAsia="方正仿宋_GBK" w:cs="Times New Roman"/>
                <w:sz w:val="28"/>
                <w:szCs w:val="28"/>
                <w:lang w:eastAsia="zh-CN"/>
              </w:rPr>
            </w:pPr>
            <w:r>
              <w:rPr>
                <w:rFonts w:ascii="Times New Roman" w:hAnsi="Times New Roman" w:eastAsia="方正仿宋_GBK" w:cs="Times New Roman"/>
                <w:spacing w:val="4"/>
                <w:sz w:val="28"/>
                <w:szCs w:val="28"/>
                <w:lang w:eastAsia="zh-CN"/>
              </w:rPr>
              <w:t>落地小微企业融资协调机制，普惠小微贷款余额占比提高</w:t>
            </w:r>
            <w:r>
              <w:rPr>
                <w:rFonts w:ascii="Times New Roman" w:hAnsi="Times New Roman" w:eastAsia="方正仿宋_GBK" w:cs="Times New Roman"/>
                <w:spacing w:val="-2"/>
                <w:sz w:val="28"/>
                <w:szCs w:val="28"/>
                <w:lang w:eastAsia="zh-CN"/>
              </w:rPr>
              <w:t>到10.2%。</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区政府办公室、区</w:t>
            </w:r>
            <w:r>
              <w:rPr>
                <w:rFonts w:hint="eastAsia"/>
                <w:color w:val="000000"/>
                <w:sz w:val="28"/>
                <w:szCs w:val="28"/>
              </w:rPr>
              <w:t>发展改革委</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（六）国际贸易（牵头单位：区商务委）</w:t>
            </w:r>
          </w:p>
        </w:tc>
      </w:tr>
      <w:tr>
        <w:tblPrEx>
          <w:tblCellMar>
            <w:top w:w="0" w:type="dxa"/>
            <w:left w:w="108" w:type="dxa"/>
            <w:bottom w:w="0" w:type="dxa"/>
            <w:right w:w="108" w:type="dxa"/>
          </w:tblCellMar>
        </w:tblPrEx>
        <w:trPr>
          <w:trHeight w:val="931"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kern w:val="2"/>
                <w:sz w:val="28"/>
                <w:szCs w:val="28"/>
                <w:lang w:bidi="ar"/>
              </w:rPr>
            </w:pPr>
            <w:r>
              <w:rPr>
                <w:rFonts w:hint="eastAsia"/>
                <w:color w:val="000000"/>
                <w:sz w:val="28"/>
                <w:szCs w:val="28"/>
                <w:lang w:bidi="ar"/>
              </w:rPr>
              <w:t>31</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kern w:val="2"/>
                <w:sz w:val="28"/>
                <w:szCs w:val="28"/>
                <w:lang w:bidi="ar"/>
              </w:rPr>
            </w:pPr>
            <w:r>
              <w:rPr>
                <w:kern w:val="2"/>
                <w:sz w:val="28"/>
                <w:szCs w:val="28"/>
                <w:lang w:bidi="ar"/>
              </w:rPr>
              <w:t>在重庆自贸试验区沙坪坝板块开展</w:t>
            </w:r>
            <w:r>
              <w:rPr>
                <w:rFonts w:hint="eastAsia"/>
                <w:kern w:val="2"/>
                <w:sz w:val="28"/>
                <w:szCs w:val="28"/>
                <w:lang w:bidi="ar"/>
              </w:rPr>
              <w:t>“</w:t>
            </w:r>
            <w:r>
              <w:rPr>
                <w:kern w:val="2"/>
                <w:sz w:val="28"/>
                <w:szCs w:val="28"/>
                <w:lang w:bidi="ar"/>
              </w:rPr>
              <w:t>药食同源</w:t>
            </w:r>
            <w:r>
              <w:rPr>
                <w:rFonts w:hint="eastAsia"/>
                <w:kern w:val="2"/>
                <w:sz w:val="28"/>
                <w:szCs w:val="28"/>
                <w:lang w:bidi="ar"/>
              </w:rPr>
              <w:t>”</w:t>
            </w:r>
            <w:r>
              <w:rPr>
                <w:kern w:val="2"/>
                <w:sz w:val="28"/>
                <w:szCs w:val="28"/>
                <w:lang w:bidi="ar"/>
              </w:rPr>
              <w:t>商品进口通关便利化改革。</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kern w:val="2"/>
                <w:sz w:val="28"/>
                <w:szCs w:val="28"/>
                <w:lang w:bidi="ar"/>
              </w:rPr>
              <w:t>国际物流枢纽公司</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kern w:val="2"/>
                <w:sz w:val="28"/>
                <w:szCs w:val="28"/>
                <w:lang w:bidi="ar"/>
              </w:rPr>
            </w:pPr>
            <w:r>
              <w:rPr>
                <w:rFonts w:hint="eastAsia"/>
                <w:color w:val="000000"/>
                <w:sz w:val="28"/>
                <w:szCs w:val="28"/>
                <w:lang w:bidi="ar"/>
              </w:rPr>
              <w:t>32</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kern w:val="2"/>
                <w:sz w:val="28"/>
                <w:szCs w:val="28"/>
                <w:lang w:bidi="ar"/>
              </w:rPr>
            </w:pPr>
            <w:r>
              <w:rPr>
                <w:kern w:val="2"/>
                <w:sz w:val="28"/>
                <w:szCs w:val="28"/>
                <w:lang w:bidi="ar"/>
              </w:rPr>
              <w:t>力争新增国际线路2条，面向东盟、俄罗斯、欧洲等地新设立海外分拨仓2个，常态化开行新能源汽车出口、冷链进口等特色班列，推动中亚图定班列。</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kern w:val="2"/>
                <w:sz w:val="28"/>
                <w:szCs w:val="28"/>
                <w:lang w:bidi="ar"/>
              </w:rPr>
              <w:t>国际物流枢纽公司</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（七）纳税（牵头单位：区税务局、区财政局）</w:t>
            </w:r>
          </w:p>
        </w:tc>
      </w:tr>
      <w:tr>
        <w:tblPrEx>
          <w:tblCellMar>
            <w:top w:w="0" w:type="dxa"/>
            <w:left w:w="108" w:type="dxa"/>
            <w:bottom w:w="0" w:type="dxa"/>
            <w:right w:w="108" w:type="dxa"/>
          </w:tblCellMar>
        </w:tblPrEx>
        <w:trPr>
          <w:trHeight w:val="1340"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33</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1"/>
              <w:widowControl/>
              <w:spacing w:line="320" w:lineRule="atLeast"/>
              <w:rPr>
                <w:rFonts w:hint="default" w:ascii="Times New Roman" w:hAnsi="Times New Roman" w:eastAsia="方正仿宋_GBK"/>
                <w:color w:val="000000"/>
                <w:sz w:val="28"/>
                <w:szCs w:val="28"/>
              </w:rPr>
            </w:pPr>
            <w:r>
              <w:rPr>
                <w:rFonts w:hint="default" w:ascii="Times New Roman" w:hAnsi="Times New Roman" w:eastAsia="方正仿宋_GBK"/>
                <w:sz w:val="28"/>
                <w:szCs w:val="28"/>
              </w:rPr>
              <w:t>优化税费服务诉求解决，实现诉求</w:t>
            </w:r>
            <w:r>
              <w:rPr>
                <w:rFonts w:ascii="Times New Roman" w:hAnsi="Times New Roman" w:eastAsia="方正仿宋_GBK"/>
                <w:sz w:val="28"/>
                <w:szCs w:val="28"/>
              </w:rPr>
              <w:t>“</w:t>
            </w:r>
            <w:r>
              <w:rPr>
                <w:rFonts w:hint="default" w:ascii="Times New Roman" w:hAnsi="Times New Roman" w:eastAsia="方正仿宋_GBK"/>
                <w:sz w:val="28"/>
                <w:szCs w:val="28"/>
              </w:rPr>
              <w:t>早发现、快解决、少发生</w:t>
            </w:r>
            <w:r>
              <w:rPr>
                <w:rFonts w:ascii="Times New Roman" w:hAnsi="Times New Roman" w:eastAsia="方正仿宋_GBK"/>
                <w:sz w:val="28"/>
                <w:szCs w:val="28"/>
              </w:rPr>
              <w:t>”</w:t>
            </w:r>
            <w:r>
              <w:rPr>
                <w:rFonts w:hint="default" w:ascii="Times New Roman" w:hAnsi="Times New Roman" w:eastAsia="方正仿宋_GBK"/>
                <w:sz w:val="28"/>
                <w:szCs w:val="28"/>
              </w:rPr>
              <w:t>，全年</w:t>
            </w:r>
            <w:r>
              <w:rPr>
                <w:rFonts w:ascii="Times New Roman" w:hAnsi="Times New Roman" w:eastAsia="方正仿宋_GBK"/>
                <w:sz w:val="28"/>
                <w:szCs w:val="28"/>
              </w:rPr>
              <w:t>“</w:t>
            </w:r>
            <w:r>
              <w:rPr>
                <w:rFonts w:hint="default" w:ascii="Times New Roman" w:hAnsi="Times New Roman" w:eastAsia="方正仿宋_GBK"/>
                <w:sz w:val="28"/>
                <w:szCs w:val="28"/>
              </w:rPr>
              <w:t>民呼我为</w:t>
            </w:r>
            <w:r>
              <w:rPr>
                <w:rFonts w:ascii="Times New Roman" w:hAnsi="Times New Roman" w:eastAsia="方正仿宋_GBK"/>
                <w:sz w:val="28"/>
                <w:szCs w:val="28"/>
              </w:rPr>
              <w:t>”</w:t>
            </w:r>
            <w:r>
              <w:rPr>
                <w:rFonts w:hint="default" w:ascii="Times New Roman" w:hAnsi="Times New Roman" w:eastAsia="方正仿宋_GBK"/>
                <w:sz w:val="28"/>
                <w:szCs w:val="28"/>
              </w:rPr>
              <w:t>涉税服务诉求平均办理时长压缩至7个工作日。</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区税务局</w:t>
            </w:r>
          </w:p>
        </w:tc>
      </w:tr>
      <w:tr>
        <w:tblPrEx>
          <w:tblCellMar>
            <w:top w:w="0" w:type="dxa"/>
            <w:left w:w="108" w:type="dxa"/>
            <w:bottom w:w="0" w:type="dxa"/>
            <w:right w:w="108" w:type="dxa"/>
          </w:tblCellMar>
        </w:tblPrEx>
        <w:trPr>
          <w:trHeight w:val="1358"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34</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1"/>
              <w:widowControl/>
              <w:spacing w:line="320" w:lineRule="atLeast"/>
              <w:rPr>
                <w:rFonts w:hint="default" w:ascii="Times New Roman" w:hAnsi="Times New Roman" w:eastAsia="方正仿宋_GBK"/>
                <w:color w:val="000000"/>
                <w:sz w:val="28"/>
                <w:szCs w:val="28"/>
              </w:rPr>
            </w:pPr>
            <w:r>
              <w:rPr>
                <w:rFonts w:hint="default" w:ascii="Times New Roman" w:hAnsi="Times New Roman" w:eastAsia="方正仿宋_GBK"/>
                <w:sz w:val="28"/>
                <w:szCs w:val="28"/>
              </w:rPr>
              <w:t>围绕</w:t>
            </w:r>
            <w:r>
              <w:rPr>
                <w:rFonts w:ascii="Times New Roman" w:hAnsi="Times New Roman" w:eastAsia="方正仿宋_GBK"/>
                <w:sz w:val="28"/>
                <w:szCs w:val="28"/>
              </w:rPr>
              <w:t>“</w:t>
            </w:r>
            <w:r>
              <w:rPr>
                <w:rFonts w:hint="default" w:ascii="Times New Roman" w:hAnsi="Times New Roman" w:eastAsia="方正仿宋_GBK"/>
                <w:sz w:val="28"/>
                <w:szCs w:val="28"/>
              </w:rPr>
              <w:t>高效办成一件事</w:t>
            </w:r>
            <w:r>
              <w:rPr>
                <w:rFonts w:ascii="Times New Roman" w:hAnsi="Times New Roman" w:eastAsia="方正仿宋_GBK"/>
                <w:sz w:val="28"/>
                <w:szCs w:val="28"/>
              </w:rPr>
              <w:t>”</w:t>
            </w:r>
            <w:r>
              <w:rPr>
                <w:rFonts w:hint="default" w:ascii="Times New Roman" w:hAnsi="Times New Roman" w:eastAsia="方正仿宋_GBK"/>
                <w:sz w:val="28"/>
                <w:szCs w:val="28"/>
              </w:rPr>
              <w:t>，深入开展</w:t>
            </w:r>
            <w:r>
              <w:rPr>
                <w:rFonts w:ascii="Times New Roman" w:hAnsi="Times New Roman" w:eastAsia="方正仿宋_GBK"/>
                <w:sz w:val="28"/>
                <w:szCs w:val="28"/>
              </w:rPr>
              <w:t>“</w:t>
            </w:r>
            <w:r>
              <w:rPr>
                <w:rFonts w:hint="default" w:ascii="Times New Roman" w:hAnsi="Times New Roman" w:eastAsia="方正仿宋_GBK"/>
                <w:sz w:val="28"/>
                <w:szCs w:val="28"/>
              </w:rPr>
              <w:t>便民办税春风行动</w:t>
            </w:r>
            <w:r>
              <w:rPr>
                <w:rFonts w:ascii="Times New Roman" w:hAnsi="Times New Roman" w:eastAsia="方正仿宋_GBK"/>
                <w:sz w:val="28"/>
                <w:szCs w:val="28"/>
              </w:rPr>
              <w:t>”</w:t>
            </w:r>
            <w:r>
              <w:rPr>
                <w:rFonts w:hint="default" w:ascii="Times New Roman" w:hAnsi="Times New Roman" w:eastAsia="方正仿宋_GBK"/>
                <w:sz w:val="28"/>
                <w:szCs w:val="28"/>
              </w:rPr>
              <w:t>，推进办税服务厅、12366热线转型升级。</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区税务局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35</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1"/>
              <w:widowControl/>
              <w:spacing w:line="320" w:lineRule="atLeast"/>
              <w:rPr>
                <w:rFonts w:hint="default" w:ascii="Times New Roman" w:hAnsi="Times New Roman" w:eastAsia="方正仿宋_GBK"/>
                <w:color w:val="000000"/>
                <w:sz w:val="28"/>
                <w:szCs w:val="28"/>
              </w:rPr>
            </w:pPr>
            <w:r>
              <w:rPr>
                <w:rFonts w:hint="default" w:ascii="Times New Roman" w:hAnsi="Times New Roman" w:eastAsia="方正仿宋_GBK"/>
                <w:sz w:val="28"/>
                <w:szCs w:val="28"/>
              </w:rPr>
              <w:t>加强分类型、分行业的申报辅导，规范纳税人自行申报和委托代理申报行为，税收综合申报率达到90%。</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区税务局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36</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1"/>
              <w:widowControl/>
              <w:spacing w:line="320" w:lineRule="atLeast"/>
              <w:rPr>
                <w:rFonts w:hint="default" w:ascii="Times New Roman" w:hAnsi="Times New Roman" w:eastAsia="方正仿宋_GBK"/>
                <w:color w:val="000000"/>
                <w:sz w:val="28"/>
                <w:szCs w:val="28"/>
              </w:rPr>
            </w:pPr>
            <w:r>
              <w:rPr>
                <w:rFonts w:hint="default" w:ascii="Times New Roman" w:hAnsi="Times New Roman" w:eastAsia="方正仿宋_GBK"/>
                <w:sz w:val="28"/>
                <w:szCs w:val="28"/>
              </w:rPr>
              <w:t>深入推动实施纳税人信用提升计划，优化</w:t>
            </w:r>
            <w:r>
              <w:rPr>
                <w:rFonts w:ascii="Times New Roman" w:hAnsi="Times New Roman" w:eastAsia="方正仿宋_GBK"/>
                <w:sz w:val="28"/>
                <w:szCs w:val="28"/>
              </w:rPr>
              <w:t>“</w:t>
            </w:r>
            <w:r>
              <w:rPr>
                <w:rFonts w:hint="default" w:ascii="Times New Roman" w:hAnsi="Times New Roman" w:eastAsia="方正仿宋_GBK"/>
                <w:sz w:val="28"/>
                <w:szCs w:val="28"/>
              </w:rPr>
              <w:t>纳税信用账户</w:t>
            </w:r>
            <w:r>
              <w:rPr>
                <w:rFonts w:ascii="Times New Roman" w:hAnsi="Times New Roman" w:eastAsia="方正仿宋_GBK"/>
                <w:sz w:val="28"/>
                <w:szCs w:val="28"/>
              </w:rPr>
              <w:t>”</w:t>
            </w:r>
            <w:r>
              <w:rPr>
                <w:rFonts w:hint="default" w:ascii="Times New Roman" w:hAnsi="Times New Roman" w:eastAsia="方正仿宋_GBK"/>
                <w:sz w:val="28"/>
                <w:szCs w:val="28"/>
              </w:rPr>
              <w:t>应用，推动A级纳税人稳步增长，信用修复准期率达到90%。</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区税务局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37</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pStyle w:val="11"/>
              <w:widowControl/>
              <w:spacing w:line="320" w:lineRule="atLeast"/>
              <w:rPr>
                <w:rFonts w:hint="default" w:ascii="Times New Roman" w:hAnsi="Times New Roman" w:eastAsia="方正仿宋_GBK"/>
                <w:color w:val="000000"/>
                <w:sz w:val="28"/>
                <w:szCs w:val="28"/>
              </w:rPr>
            </w:pPr>
            <w:r>
              <w:rPr>
                <w:rFonts w:hint="default" w:ascii="Times New Roman" w:hAnsi="Times New Roman" w:eastAsia="方正仿宋_GBK"/>
                <w:sz w:val="28"/>
                <w:szCs w:val="28"/>
              </w:rPr>
              <w:t>构建</w:t>
            </w:r>
            <w:r>
              <w:rPr>
                <w:rFonts w:ascii="Times New Roman" w:hAnsi="Times New Roman" w:eastAsia="方正仿宋_GBK"/>
                <w:sz w:val="28"/>
                <w:szCs w:val="28"/>
              </w:rPr>
              <w:t>“</w:t>
            </w:r>
            <w:r>
              <w:rPr>
                <w:rFonts w:hint="default" w:ascii="Times New Roman" w:hAnsi="Times New Roman" w:eastAsia="方正仿宋_GBK"/>
                <w:sz w:val="28"/>
                <w:szCs w:val="28"/>
              </w:rPr>
              <w:t>信用+风险</w:t>
            </w:r>
            <w:r>
              <w:rPr>
                <w:rFonts w:ascii="Times New Roman" w:hAnsi="Times New Roman" w:eastAsia="方正仿宋_GBK"/>
                <w:sz w:val="28"/>
                <w:szCs w:val="28"/>
              </w:rPr>
              <w:t>”</w:t>
            </w:r>
            <w:r>
              <w:rPr>
                <w:rFonts w:hint="default" w:ascii="Times New Roman" w:hAnsi="Times New Roman" w:eastAsia="方正仿宋_GBK"/>
                <w:sz w:val="28"/>
                <w:szCs w:val="28"/>
              </w:rPr>
              <w:t>管理模式，引导涉税中介发挥专业优势，依法规范服务经营主体合规经营，</w:t>
            </w:r>
            <w:r>
              <w:rPr>
                <w:rFonts w:ascii="Times New Roman" w:hAnsi="Times New Roman" w:eastAsia="方正仿宋_GBK"/>
                <w:sz w:val="28"/>
                <w:szCs w:val="28"/>
              </w:rPr>
              <w:t>“</w:t>
            </w:r>
            <w:r>
              <w:rPr>
                <w:rFonts w:hint="default" w:ascii="Times New Roman" w:hAnsi="Times New Roman" w:eastAsia="方正仿宋_GBK"/>
                <w:sz w:val="28"/>
                <w:szCs w:val="28"/>
              </w:rPr>
              <w:t>信用码</w:t>
            </w:r>
            <w:r>
              <w:rPr>
                <w:rFonts w:ascii="Times New Roman" w:hAnsi="Times New Roman" w:eastAsia="方正仿宋_GBK"/>
                <w:sz w:val="28"/>
                <w:szCs w:val="28"/>
              </w:rPr>
              <w:t>”</w:t>
            </w:r>
            <w:r>
              <w:rPr>
                <w:rFonts w:hint="default" w:ascii="Times New Roman" w:hAnsi="Times New Roman" w:eastAsia="方正仿宋_GBK"/>
                <w:sz w:val="28"/>
                <w:szCs w:val="28"/>
              </w:rPr>
              <w:t>申领率达到90%。</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区税务局</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（八）解决商业纠纷（牵头单位：区法院）</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lang w:bidi="ar"/>
              </w:rPr>
              <w:t>38</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构建</w:t>
            </w:r>
            <w:r>
              <w:rPr>
                <w:rFonts w:hint="eastAsia"/>
                <w:color w:val="000000"/>
                <w:sz w:val="28"/>
                <w:szCs w:val="28"/>
              </w:rPr>
              <w:t>“</w:t>
            </w:r>
            <w:r>
              <w:rPr>
                <w:color w:val="000000"/>
                <w:sz w:val="28"/>
                <w:szCs w:val="28"/>
              </w:rPr>
              <w:t>立、调、审</w:t>
            </w:r>
            <w:r>
              <w:rPr>
                <w:rFonts w:hint="eastAsia"/>
                <w:color w:val="000000"/>
                <w:sz w:val="28"/>
                <w:szCs w:val="28"/>
              </w:rPr>
              <w:t>”</w:t>
            </w:r>
            <w:r>
              <w:rPr>
                <w:color w:val="000000"/>
                <w:sz w:val="28"/>
                <w:szCs w:val="28"/>
              </w:rPr>
              <w:t>一体化解纷工作格局，严格落实立案登记制，推广使用起诉状、答辩状示范文本；积极推行先行调解，实行简案快审、繁案精审，妥善化解矛盾纠纷。</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区法院</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lang w:bidi="ar"/>
              </w:rPr>
            </w:pPr>
            <w:r>
              <w:rPr>
                <w:rFonts w:hint="eastAsia"/>
                <w:color w:val="000000"/>
                <w:sz w:val="28"/>
                <w:szCs w:val="28"/>
                <w:lang w:bidi="ar"/>
              </w:rPr>
              <w:t>39</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推动</w:t>
            </w:r>
            <w:r>
              <w:rPr>
                <w:rFonts w:hint="eastAsia"/>
                <w:color w:val="000000"/>
                <w:sz w:val="28"/>
                <w:szCs w:val="28"/>
              </w:rPr>
              <w:t>“</w:t>
            </w:r>
            <w:r>
              <w:rPr>
                <w:color w:val="000000"/>
                <w:sz w:val="28"/>
                <w:szCs w:val="28"/>
              </w:rPr>
              <w:t>法院+邮政</w:t>
            </w:r>
            <w:r>
              <w:rPr>
                <w:rFonts w:hint="eastAsia"/>
                <w:color w:val="000000"/>
                <w:sz w:val="28"/>
                <w:szCs w:val="28"/>
              </w:rPr>
              <w:t>”</w:t>
            </w:r>
            <w:r>
              <w:rPr>
                <w:color w:val="000000"/>
                <w:sz w:val="28"/>
                <w:szCs w:val="28"/>
              </w:rPr>
              <w:t>目的地集中打印服务，进一步提升邮寄送达效率。</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区法院</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lang w:bidi="ar"/>
              </w:rPr>
            </w:pPr>
            <w:r>
              <w:rPr>
                <w:rFonts w:hint="eastAsia"/>
                <w:color w:val="000000"/>
                <w:sz w:val="28"/>
                <w:szCs w:val="28"/>
                <w:lang w:bidi="ar"/>
              </w:rPr>
              <w:t>40</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强化承办人</w:t>
            </w:r>
            <w:r>
              <w:rPr>
                <w:rFonts w:hint="eastAsia"/>
                <w:color w:val="000000"/>
                <w:sz w:val="28"/>
                <w:szCs w:val="28"/>
              </w:rPr>
              <w:t>“</w:t>
            </w:r>
            <w:r>
              <w:rPr>
                <w:color w:val="000000"/>
                <w:sz w:val="28"/>
                <w:szCs w:val="28"/>
              </w:rPr>
              <w:t>法治·渝诉快执</w:t>
            </w:r>
            <w:r>
              <w:rPr>
                <w:rFonts w:hint="eastAsia"/>
                <w:color w:val="000000"/>
                <w:sz w:val="28"/>
                <w:szCs w:val="28"/>
              </w:rPr>
              <w:t>”</w:t>
            </w:r>
            <w:r>
              <w:rPr>
                <w:color w:val="000000"/>
                <w:sz w:val="28"/>
                <w:szCs w:val="28"/>
              </w:rPr>
              <w:t>运用，培养数字化办案能力，将</w:t>
            </w:r>
            <w:r>
              <w:rPr>
                <w:rFonts w:hint="eastAsia"/>
                <w:color w:val="000000"/>
                <w:sz w:val="28"/>
                <w:szCs w:val="28"/>
              </w:rPr>
              <w:t>“</w:t>
            </w:r>
            <w:r>
              <w:rPr>
                <w:color w:val="000000"/>
                <w:sz w:val="28"/>
                <w:szCs w:val="28"/>
              </w:rPr>
              <w:t>法治·渝诉快执</w:t>
            </w:r>
            <w:r>
              <w:rPr>
                <w:rFonts w:hint="eastAsia"/>
                <w:color w:val="000000"/>
                <w:sz w:val="28"/>
                <w:szCs w:val="28"/>
              </w:rPr>
              <w:t>”</w:t>
            </w:r>
            <w:r>
              <w:rPr>
                <w:color w:val="000000"/>
                <w:sz w:val="28"/>
                <w:szCs w:val="28"/>
              </w:rPr>
              <w:t>与执行监督机制改革任务相结合，拓宽当事人监督渠道，提高执行规范性。</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区法院</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lang w:bidi="ar"/>
              </w:rPr>
              <w:t>41</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高质量办理涉民营经济保护案件，不断挖掘案例素材、编写民营经济司法保护案例，依法平等保护民营企业产权和企业家权益。</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区法院</w:t>
            </w:r>
          </w:p>
        </w:tc>
      </w:tr>
      <w:tr>
        <w:tblPrEx>
          <w:tblCellMar>
            <w:top w:w="0" w:type="dxa"/>
            <w:left w:w="108" w:type="dxa"/>
            <w:bottom w:w="0" w:type="dxa"/>
            <w:right w:w="108" w:type="dxa"/>
          </w:tblCellMar>
        </w:tblPrEx>
        <w:trPr>
          <w:trHeight w:val="667"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（九）促进市场竞争（牵头单位：区财政局、区市场监管局）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42</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rPr>
            </w:pPr>
            <w:r>
              <w:rPr>
                <w:color w:val="000000"/>
                <w:sz w:val="28"/>
                <w:szCs w:val="28"/>
              </w:rPr>
              <w:t>严格落实招标文件前置审核，禁止采购人、代理机构设置</w:t>
            </w:r>
            <w:r>
              <w:rPr>
                <w:color w:val="000000"/>
                <w:sz w:val="28"/>
                <w:szCs w:val="28"/>
                <w:lang w:bidi="ar"/>
              </w:rPr>
              <w:t>设置差别歧视条款。开展线下采购文件编制专题培训，切实提升采购文件编制水平。按照市财政局要求，重点聚焦代理机构乱收费、供应商提供虚假材料、供应商围标串标等四类违法违规行为开展专项整治。</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区财政局、区公共资源交易中心</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43</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rPr>
            </w:pPr>
            <w:r>
              <w:rPr>
                <w:color w:val="000000"/>
                <w:sz w:val="28"/>
                <w:szCs w:val="28"/>
                <w:lang w:bidi="ar"/>
              </w:rPr>
              <w:t>积极推动政府采购工程领域中小企业支持政策落实落地，提升工程招标文件编制水平，降低中小企业参与工程招投标门槛。</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rFonts w:hint="eastAsia"/>
                <w:color w:val="000000"/>
                <w:sz w:val="28"/>
                <w:szCs w:val="28"/>
              </w:rPr>
              <w:t>区财政局、</w:t>
            </w:r>
            <w:r>
              <w:rPr>
                <w:color w:val="000000"/>
                <w:sz w:val="28"/>
                <w:szCs w:val="28"/>
              </w:rPr>
              <w:t>区</w:t>
            </w:r>
            <w:r>
              <w:rPr>
                <w:rFonts w:hint="eastAsia"/>
                <w:color w:val="000000"/>
                <w:sz w:val="28"/>
                <w:szCs w:val="28"/>
              </w:rPr>
              <w:t>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44</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依托政府采购</w:t>
            </w:r>
            <w:r>
              <w:rPr>
                <w:rFonts w:hint="eastAsia"/>
                <w:color w:val="000000"/>
                <w:sz w:val="28"/>
                <w:szCs w:val="28"/>
              </w:rPr>
              <w:t>“</w:t>
            </w:r>
            <w:r>
              <w:rPr>
                <w:color w:val="000000"/>
                <w:sz w:val="28"/>
                <w:szCs w:val="28"/>
              </w:rPr>
              <w:t>一件事</w:t>
            </w:r>
            <w:r>
              <w:rPr>
                <w:rFonts w:hint="eastAsia"/>
                <w:color w:val="000000"/>
                <w:sz w:val="28"/>
                <w:szCs w:val="28"/>
              </w:rPr>
              <w:t>”</w:t>
            </w:r>
            <w:r>
              <w:rPr>
                <w:color w:val="000000"/>
                <w:sz w:val="28"/>
                <w:szCs w:val="28"/>
              </w:rPr>
              <w:t>，加强政府采购数据分析，提高监管效能</w:t>
            </w:r>
            <w:r>
              <w:rPr>
                <w:rFonts w:hint="eastAsia"/>
                <w:color w:val="000000"/>
                <w:sz w:val="28"/>
                <w:szCs w:val="28"/>
              </w:rPr>
              <w:t>。</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区财政局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45</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rPr>
            </w:pPr>
            <w:r>
              <w:rPr>
                <w:color w:val="000000"/>
                <w:sz w:val="28"/>
                <w:szCs w:val="28"/>
                <w:lang w:bidi="ar"/>
              </w:rPr>
              <w:t>依托政府采购平台投标保证金在线查询、支付追踪等功能，加强投标保证金全流程规范管理，确保投标保证金按时退还。</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rFonts w:hint="eastAsia"/>
                <w:color w:val="000000"/>
                <w:sz w:val="28"/>
                <w:szCs w:val="28"/>
              </w:rPr>
              <w:t>区财政局、</w:t>
            </w:r>
            <w:r>
              <w:rPr>
                <w:color w:val="000000"/>
                <w:sz w:val="28"/>
                <w:szCs w:val="28"/>
              </w:rPr>
              <w:t>区公共资源交易中心</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46</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积极排查民生领域反垄断线索并上报市局，依法查处平台经济、民生保障等方面不正当竞争违法行为，加大医药、殡葬、公用事业等领域不正当竞争整治力度。</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47</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根据市局开展的滥用行政权力排除、限制竞争执法专项行动安排，依法查处地方保护、市场分割等经营主体反映强烈的问题</w:t>
            </w:r>
            <w:r>
              <w:rPr>
                <w:rFonts w:hint="eastAsia"/>
                <w:color w:val="000000"/>
                <w:sz w:val="28"/>
                <w:szCs w:val="28"/>
                <w:lang w:bidi="ar"/>
              </w:rPr>
              <w:t>。</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48</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根据市局《加强反垄断全链条监管执法若干措施（试行）》规定，深入落实公平竞争审查制度，强化公平竞争倡导，加强垄断问题线索的摸排力度。</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49</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根据市局开展的网络反不正当竞争执法专项行动安排，严厉打击直播带货中虚构流量数据等违法行为，防止不正当竞争行为向网络蔓延。</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rPr>
              <w:t>5</w:t>
            </w:r>
            <w:r>
              <w:rPr>
                <w:rFonts w:hint="eastAsia"/>
                <w:color w:val="000000"/>
                <w:sz w:val="28"/>
                <w:szCs w:val="28"/>
              </w:rPr>
              <w:t>0</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强化商业秘密保护，加强企业商业标识、商业信誉、商业秘密等权益保护行政执法，提升不正当竞争投诉举报处置率。</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rPr>
              <w:t>51</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推动区知识产权运营中心高效运行，提供专利转化、供需对接服务。</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rPr>
            </w:pPr>
            <w:r>
              <w:rPr>
                <w:color w:val="000000"/>
                <w:sz w:val="28"/>
                <w:szCs w:val="28"/>
                <w:lang w:bidi="ar"/>
              </w:rPr>
              <w:t>区市场监管局</w:t>
            </w:r>
          </w:p>
        </w:tc>
      </w:tr>
      <w:tr>
        <w:tblPrEx>
          <w:tblCellMar>
            <w:top w:w="0" w:type="dxa"/>
            <w:left w:w="108" w:type="dxa"/>
            <w:bottom w:w="0" w:type="dxa"/>
            <w:right w:w="108" w:type="dxa"/>
          </w:tblCellMar>
        </w:tblPrEx>
        <w:trPr>
          <w:trHeight w:val="596"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黑体_GBK" w:cs="方正黑体_GBK"/>
                <w:color w:val="000000"/>
                <w:sz w:val="28"/>
                <w:szCs w:val="28"/>
                <w:lang w:bidi="ar"/>
              </w:rPr>
            </w:pPr>
            <w:r>
              <w:rPr>
                <w:rFonts w:eastAsia="方正黑体_GBK" w:cs="方正黑体_GBK"/>
                <w:color w:val="000000"/>
                <w:sz w:val="28"/>
                <w:szCs w:val="28"/>
                <w:lang w:bidi="ar"/>
              </w:rPr>
              <w:t>二、提升政务环境专项行动</w:t>
            </w:r>
          </w:p>
        </w:tc>
      </w:tr>
      <w:tr>
        <w:tblPrEx>
          <w:tblCellMar>
            <w:top w:w="0" w:type="dxa"/>
            <w:left w:w="108" w:type="dxa"/>
            <w:bottom w:w="0" w:type="dxa"/>
            <w:right w:w="108" w:type="dxa"/>
          </w:tblCellMar>
        </w:tblPrEx>
        <w:trPr>
          <w:trHeight w:val="930"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（一）全面加强政务服务渠道建设（牵头单位：区政府办公室、区大数据发展局）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52</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有序推动人社、医保、公积金等领域窗口使用“渝快办”平台收件，提升“一网通办”率。</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区政府办、区大数据发展局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53</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依托镇街便民服务中心、村（社区）便民服务站和银行网点、邮政网点、园区便民服务点等建立政务服务点，推动政务服务供给合理布局、高频服务精准“前移”。</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区政府办、区级有关单位</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54</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完善政务服务评价体系，线上依托“民呼我为”“好差评”渠道，线下依托“办不成事”反映窗口，及时了解问题建议，推动问题有效解决。</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区政府办</w:t>
            </w:r>
          </w:p>
        </w:tc>
      </w:tr>
      <w:tr>
        <w:tblPrEx>
          <w:tblCellMar>
            <w:top w:w="0" w:type="dxa"/>
            <w:left w:w="108" w:type="dxa"/>
            <w:bottom w:w="0" w:type="dxa"/>
            <w:right w:w="108" w:type="dxa"/>
          </w:tblCellMar>
        </w:tblPrEx>
        <w:trPr>
          <w:trHeight w:val="100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（二）全面深化政务服务模式创新（牵头单位：区政府办公室、区大数据发展局）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55</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动态关注市级新上线的“一件事”套餐，督促政务服务部门承接、推广和运用，争取个别套餐试点。探索企业“投资促产一件事”等更多区级“一件事”特色服务场景，争取打造在全市具有示范性和辨识度的精品“一件事”。</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区政府办、区级有关单位</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56</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落实政务服务“川渝通办”迭代升级，积极宣传运用电子证照亮证互认场景。</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区政府办、区级有关单位</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57</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及时在我区门户网站设立政策直达快享专区，全量归集、展示区级层面依法主动公开的政策文件及政策事项。</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rPr>
                <w:color w:val="000000"/>
                <w:sz w:val="28"/>
                <w:szCs w:val="28"/>
                <w:lang w:bidi="ar"/>
              </w:rPr>
            </w:pPr>
            <w:r>
              <w:rPr>
                <w:rFonts w:hint="eastAsia"/>
                <w:color w:val="000000"/>
                <w:sz w:val="28"/>
                <w:szCs w:val="28"/>
                <w:lang w:bidi="ar"/>
              </w:rPr>
              <w:t>区政府办、区发展改革委</w:t>
            </w:r>
          </w:p>
        </w:tc>
      </w:tr>
      <w:tr>
        <w:tblPrEx>
          <w:tblCellMar>
            <w:top w:w="0" w:type="dxa"/>
            <w:left w:w="108" w:type="dxa"/>
            <w:bottom w:w="0" w:type="dxa"/>
            <w:right w:w="108" w:type="dxa"/>
          </w:tblCellMar>
        </w:tblPrEx>
        <w:trPr>
          <w:trHeight w:val="100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（三）全面强化政务服务数字赋能（牵头单位：区大数据发展局）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58</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rPr>
            </w:pPr>
            <w:r>
              <w:rPr>
                <w:color w:val="000000"/>
                <w:sz w:val="28"/>
                <w:szCs w:val="28"/>
              </w:rPr>
              <w:t>持续谋划开发</w:t>
            </w:r>
            <w:r>
              <w:rPr>
                <w:rFonts w:hint="eastAsia"/>
                <w:color w:val="000000"/>
                <w:sz w:val="28"/>
                <w:szCs w:val="28"/>
              </w:rPr>
              <w:t>“</w:t>
            </w:r>
            <w:r>
              <w:rPr>
                <w:color w:val="000000"/>
                <w:sz w:val="28"/>
                <w:szCs w:val="28"/>
              </w:rPr>
              <w:t>一件事</w:t>
            </w:r>
            <w:r>
              <w:rPr>
                <w:rFonts w:hint="eastAsia"/>
                <w:color w:val="000000"/>
                <w:sz w:val="28"/>
                <w:szCs w:val="28"/>
              </w:rPr>
              <w:t>”</w:t>
            </w:r>
            <w:r>
              <w:rPr>
                <w:color w:val="000000"/>
                <w:sz w:val="28"/>
                <w:szCs w:val="28"/>
              </w:rPr>
              <w:t>应用，探索AI赋能综合场景应用，加快完成</w:t>
            </w:r>
            <w:r>
              <w:rPr>
                <w:rFonts w:hint="eastAsia"/>
                <w:color w:val="000000"/>
                <w:sz w:val="28"/>
                <w:szCs w:val="28"/>
              </w:rPr>
              <w:t>“</w:t>
            </w:r>
            <w:r>
              <w:rPr>
                <w:color w:val="000000"/>
                <w:sz w:val="28"/>
                <w:szCs w:val="28"/>
              </w:rPr>
              <w:t>铁路沿线安全风险防范化解</w:t>
            </w:r>
            <w:r>
              <w:rPr>
                <w:rFonts w:hint="eastAsia"/>
                <w:color w:val="000000"/>
                <w:sz w:val="28"/>
                <w:szCs w:val="28"/>
              </w:rPr>
              <w:t>”</w:t>
            </w:r>
            <w:r>
              <w:rPr>
                <w:color w:val="000000"/>
                <w:sz w:val="28"/>
                <w:szCs w:val="28"/>
              </w:rPr>
              <w:t>等3个新进入</w:t>
            </w:r>
            <w:r>
              <w:rPr>
                <w:rFonts w:hint="eastAsia"/>
                <w:color w:val="000000"/>
                <w:sz w:val="28"/>
                <w:szCs w:val="28"/>
              </w:rPr>
              <w:t>“</w:t>
            </w:r>
            <w:r>
              <w:rPr>
                <w:color w:val="000000"/>
                <w:sz w:val="28"/>
                <w:szCs w:val="28"/>
              </w:rPr>
              <w:t>一本账</w:t>
            </w:r>
            <w:r>
              <w:rPr>
                <w:rFonts w:hint="eastAsia"/>
                <w:color w:val="000000"/>
                <w:sz w:val="28"/>
                <w:szCs w:val="28"/>
              </w:rPr>
              <w:t>”</w:t>
            </w:r>
            <w:r>
              <w:rPr>
                <w:color w:val="000000"/>
                <w:sz w:val="28"/>
                <w:szCs w:val="28"/>
              </w:rPr>
              <w:t>应用的开发上线实战运行。</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rPr>
              <w:t>区大数据发展局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59</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rPr>
              <w:t>以企业群众视角，梳理服务事项简介、办理流程、所需材料、常见问题、应用场景（形成材料类事项）等内容，宣传推广可视化的办事指南，提升企业群众办事便捷性。</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rPr>
              <w:t>区政府办、区级有关单位</w:t>
            </w:r>
          </w:p>
        </w:tc>
      </w:tr>
      <w:tr>
        <w:tblPrEx>
          <w:tblCellMar>
            <w:top w:w="0" w:type="dxa"/>
            <w:left w:w="108" w:type="dxa"/>
            <w:bottom w:w="0" w:type="dxa"/>
            <w:right w:w="108" w:type="dxa"/>
          </w:tblCellMar>
        </w:tblPrEx>
        <w:trPr>
          <w:trHeight w:val="100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（四）全面推动政务服务扩面增效（牵头单位：区政府办公室）</w:t>
            </w:r>
          </w:p>
        </w:tc>
      </w:tr>
      <w:tr>
        <w:tblPrEx>
          <w:tblCellMar>
            <w:top w:w="0" w:type="dxa"/>
            <w:left w:w="108" w:type="dxa"/>
            <w:bottom w:w="0" w:type="dxa"/>
            <w:right w:w="108" w:type="dxa"/>
          </w:tblCellMar>
        </w:tblPrEx>
        <w:trPr>
          <w:trHeight w:val="345"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60</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rPr>
              <w:t>丰富线上线下服务供给，推动与企业群众生产生活密切相关的公共服务、便民服务事项纳入政务服务中心、接入“渝快办”平台。</w:t>
            </w:r>
          </w:p>
        </w:tc>
        <w:tc>
          <w:tcPr>
            <w:tcW w:w="2137"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rPr>
              <w:t>区政府办、区级有关单位</w:t>
            </w:r>
          </w:p>
        </w:tc>
      </w:tr>
      <w:tr>
        <w:tblPrEx>
          <w:tblCellMar>
            <w:top w:w="0" w:type="dxa"/>
            <w:left w:w="108" w:type="dxa"/>
            <w:bottom w:w="0" w:type="dxa"/>
            <w:right w:w="108" w:type="dxa"/>
          </w:tblCellMar>
        </w:tblPrEx>
        <w:trPr>
          <w:trHeight w:val="345"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61</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rPr>
              <w:t>建立沙坪坝区高频服务事项清单，发布帮办代办事项清单。探索高频服务精准前移，便民服务中心、园区等多点可办。聚焦“一老一小”、大学生、残疾人等特定群众，丰富服务渠道，开展陪同办、代理办、上门办。</w:t>
            </w:r>
          </w:p>
        </w:tc>
        <w:tc>
          <w:tcPr>
            <w:tcW w:w="2137"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rPr>
              <w:t>区政府办、区级有关单位</w:t>
            </w:r>
          </w:p>
        </w:tc>
      </w:tr>
      <w:tr>
        <w:tblPrEx>
          <w:tblCellMar>
            <w:top w:w="0" w:type="dxa"/>
            <w:left w:w="108" w:type="dxa"/>
            <w:bottom w:w="0" w:type="dxa"/>
            <w:right w:w="108" w:type="dxa"/>
          </w:tblCellMar>
        </w:tblPrEx>
        <w:trPr>
          <w:trHeight w:val="345"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62</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rPr>
              <w:t>持续</w:t>
            </w:r>
            <w:r>
              <w:rPr>
                <w:color w:val="000000"/>
                <w:sz w:val="28"/>
                <w:szCs w:val="28"/>
              </w:rPr>
              <w:t>开展</w:t>
            </w:r>
            <w:r>
              <w:rPr>
                <w:rFonts w:hint="eastAsia"/>
                <w:color w:val="000000"/>
                <w:sz w:val="28"/>
                <w:szCs w:val="28"/>
              </w:rPr>
              <w:t>“</w:t>
            </w:r>
            <w:r>
              <w:rPr>
                <w:color w:val="000000"/>
                <w:sz w:val="28"/>
                <w:szCs w:val="28"/>
              </w:rPr>
              <w:t>我陪群众走流程</w:t>
            </w:r>
            <w:r>
              <w:rPr>
                <w:rFonts w:hint="eastAsia"/>
                <w:color w:val="000000"/>
                <w:sz w:val="28"/>
                <w:szCs w:val="28"/>
              </w:rPr>
              <w:t>”“</w:t>
            </w:r>
            <w:r>
              <w:rPr>
                <w:color w:val="000000"/>
                <w:sz w:val="28"/>
                <w:szCs w:val="28"/>
              </w:rPr>
              <w:t>政务服务体验员</w:t>
            </w:r>
            <w:r>
              <w:rPr>
                <w:rFonts w:hint="eastAsia"/>
                <w:color w:val="000000"/>
                <w:sz w:val="28"/>
                <w:szCs w:val="28"/>
              </w:rPr>
              <w:t>”</w:t>
            </w:r>
            <w:r>
              <w:rPr>
                <w:color w:val="000000"/>
                <w:sz w:val="28"/>
                <w:szCs w:val="28"/>
              </w:rPr>
              <w:t>工作，</w:t>
            </w:r>
            <w:r>
              <w:rPr>
                <w:rFonts w:hint="eastAsia"/>
                <w:color w:val="000000"/>
                <w:sz w:val="28"/>
                <w:szCs w:val="28"/>
              </w:rPr>
              <w:t>对政务服务开展质效评价，</w:t>
            </w:r>
            <w:r>
              <w:rPr>
                <w:color w:val="000000"/>
                <w:sz w:val="28"/>
                <w:szCs w:val="28"/>
              </w:rPr>
              <w:t>通过用户感知促进政务服务效能提升。</w:t>
            </w:r>
          </w:p>
        </w:tc>
        <w:tc>
          <w:tcPr>
            <w:tcW w:w="2137"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rPr>
              <w:t>区政府办、区级有关单位</w:t>
            </w:r>
          </w:p>
        </w:tc>
      </w:tr>
      <w:tr>
        <w:tblPrEx>
          <w:tblCellMar>
            <w:top w:w="0" w:type="dxa"/>
            <w:left w:w="108" w:type="dxa"/>
            <w:bottom w:w="0" w:type="dxa"/>
            <w:right w:w="108" w:type="dxa"/>
          </w:tblCellMar>
        </w:tblPrEx>
        <w:trPr>
          <w:trHeight w:val="345"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63</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rPr>
              <w:t>加强政务服务宣传解读，提高信息投放的精准度和渗透率，在充分尊重企业群众意愿前提下，引导优先选择“网上办”“掌上办”“就近办”。</w:t>
            </w:r>
          </w:p>
        </w:tc>
        <w:tc>
          <w:tcPr>
            <w:tcW w:w="2137" w:type="dxa"/>
            <w:tcBorders>
              <w:top w:val="nil"/>
              <w:left w:val="single" w:color="auto" w:sz="4"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rPr>
            </w:pPr>
            <w:r>
              <w:rPr>
                <w:rFonts w:hint="eastAsia"/>
                <w:color w:val="000000"/>
                <w:sz w:val="28"/>
                <w:szCs w:val="28"/>
              </w:rPr>
              <w:t>区政府办、区级有关单位</w:t>
            </w:r>
          </w:p>
        </w:tc>
      </w:tr>
      <w:tr>
        <w:tblPrEx>
          <w:tblCellMar>
            <w:top w:w="0" w:type="dxa"/>
            <w:left w:w="108" w:type="dxa"/>
            <w:bottom w:w="0" w:type="dxa"/>
            <w:right w:w="108" w:type="dxa"/>
          </w:tblCellMar>
        </w:tblPrEx>
        <w:trPr>
          <w:trHeight w:val="315" w:hRule="atLeast"/>
        </w:trPr>
        <w:tc>
          <w:tcPr>
            <w:tcW w:w="90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textAlignment w:val="center"/>
              <w:rPr>
                <w:rFonts w:eastAsia="方正黑体_GBK" w:cs="方正黑体_GBK"/>
                <w:color w:val="000000"/>
                <w:sz w:val="28"/>
                <w:szCs w:val="28"/>
                <w:lang w:bidi="ar"/>
              </w:rPr>
            </w:pPr>
            <w:r>
              <w:rPr>
                <w:rFonts w:eastAsia="方正黑体_GBK" w:cs="方正黑体_GBK"/>
                <w:color w:val="000000"/>
                <w:sz w:val="28"/>
                <w:szCs w:val="28"/>
                <w:lang w:bidi="ar"/>
              </w:rPr>
              <w:t>三、提升法治环境专项行动</w:t>
            </w:r>
          </w:p>
        </w:tc>
      </w:tr>
      <w:tr>
        <w:tblPrEx>
          <w:tblCellMar>
            <w:top w:w="0" w:type="dxa"/>
            <w:left w:w="108" w:type="dxa"/>
            <w:bottom w:w="0" w:type="dxa"/>
            <w:right w:w="108" w:type="dxa"/>
          </w:tblCellMar>
        </w:tblPrEx>
        <w:trPr>
          <w:trHeight w:val="1005" w:hRule="atLeast"/>
        </w:trPr>
        <w:tc>
          <w:tcPr>
            <w:tcW w:w="90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（一）深入开展综合行政执法体制改革（牵头单位：区司法局）</w:t>
            </w:r>
          </w:p>
        </w:tc>
      </w:tr>
      <w:tr>
        <w:tblPrEx>
          <w:tblCellMar>
            <w:top w:w="0" w:type="dxa"/>
            <w:left w:w="108" w:type="dxa"/>
            <w:bottom w:w="0" w:type="dxa"/>
            <w:right w:w="108" w:type="dxa"/>
          </w:tblCellMar>
        </w:tblPrEx>
        <w:trPr>
          <w:trHeight w:val="345"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64</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adjustRightInd/>
              <w:snapToGrid w:val="0"/>
              <w:spacing w:line="320" w:lineRule="atLeast"/>
              <w:textAlignment w:val="auto"/>
              <w:rPr>
                <w:color w:val="000000"/>
                <w:sz w:val="28"/>
                <w:szCs w:val="28"/>
              </w:rPr>
            </w:pPr>
            <w:r>
              <w:rPr>
                <w:color w:val="000000"/>
                <w:sz w:val="28"/>
                <w:szCs w:val="28"/>
              </w:rPr>
              <w:t>推行中心城区</w:t>
            </w:r>
            <w:r>
              <w:rPr>
                <w:rFonts w:hint="eastAsia"/>
                <w:color w:val="000000"/>
                <w:sz w:val="28"/>
                <w:szCs w:val="28"/>
              </w:rPr>
              <w:t>“</w:t>
            </w:r>
            <w:r>
              <w:rPr>
                <w:color w:val="000000"/>
                <w:sz w:val="28"/>
                <w:szCs w:val="28"/>
              </w:rPr>
              <w:t>市级统筹、一贯到底</w:t>
            </w:r>
            <w:r>
              <w:rPr>
                <w:rFonts w:hint="eastAsia"/>
                <w:color w:val="000000"/>
                <w:sz w:val="28"/>
                <w:szCs w:val="28"/>
              </w:rPr>
              <w:t>”</w:t>
            </w:r>
            <w:r>
              <w:rPr>
                <w:color w:val="000000"/>
                <w:sz w:val="28"/>
                <w:szCs w:val="28"/>
              </w:rPr>
              <w:t>执法新模式，行政检查计划统筹率达100%，综合行政执法场景集成数量达3个以上。</w:t>
            </w:r>
          </w:p>
        </w:tc>
        <w:tc>
          <w:tcPr>
            <w:tcW w:w="2137" w:type="dxa"/>
            <w:tcBorders>
              <w:top w:val="nil"/>
              <w:left w:val="single" w:color="auto" w:sz="4" w:space="0"/>
              <w:bottom w:val="single" w:color="000000" w:sz="8" w:space="0"/>
              <w:right w:val="single" w:color="000000" w:sz="8" w:space="0"/>
            </w:tcBorders>
            <w:shd w:val="clear" w:color="auto" w:fill="auto"/>
            <w:vAlign w:val="center"/>
          </w:tcPr>
          <w:p>
            <w:pPr>
              <w:pStyle w:val="23"/>
              <w:widowControl/>
              <w:adjustRightInd/>
              <w:snapToGrid w:val="0"/>
              <w:spacing w:line="320" w:lineRule="atLeast"/>
              <w:textAlignment w:val="auto"/>
              <w:rPr>
                <w:color w:val="000000"/>
                <w:sz w:val="28"/>
                <w:szCs w:val="28"/>
              </w:rPr>
            </w:pPr>
            <w:r>
              <w:rPr>
                <w:rFonts w:hint="eastAsia"/>
                <w:color w:val="000000"/>
                <w:sz w:val="28"/>
                <w:szCs w:val="28"/>
              </w:rPr>
              <w:t>区司法局、区级有关单位</w:t>
            </w:r>
          </w:p>
        </w:tc>
      </w:tr>
      <w:tr>
        <w:tblPrEx>
          <w:tblCellMar>
            <w:top w:w="0" w:type="dxa"/>
            <w:left w:w="108" w:type="dxa"/>
            <w:bottom w:w="0" w:type="dxa"/>
            <w:right w:w="108" w:type="dxa"/>
          </w:tblCellMar>
        </w:tblPrEx>
        <w:trPr>
          <w:trHeight w:val="345"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65</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adjustRightInd/>
              <w:snapToGrid w:val="0"/>
              <w:spacing w:line="320" w:lineRule="atLeast"/>
              <w:textAlignment w:val="auto"/>
              <w:rPr>
                <w:color w:val="000000"/>
                <w:sz w:val="28"/>
                <w:szCs w:val="28"/>
              </w:rPr>
            </w:pPr>
            <w:r>
              <w:rPr>
                <w:color w:val="000000"/>
                <w:sz w:val="28"/>
                <w:szCs w:val="28"/>
              </w:rPr>
              <w:t>推广执法监管</w:t>
            </w:r>
            <w:r>
              <w:rPr>
                <w:rFonts w:hint="eastAsia"/>
                <w:color w:val="000000"/>
                <w:sz w:val="28"/>
                <w:szCs w:val="28"/>
              </w:rPr>
              <w:t>“</w:t>
            </w:r>
            <w:r>
              <w:rPr>
                <w:color w:val="000000"/>
                <w:sz w:val="28"/>
                <w:szCs w:val="28"/>
              </w:rPr>
              <w:t>一件事</w:t>
            </w:r>
            <w:r>
              <w:rPr>
                <w:rFonts w:hint="eastAsia"/>
                <w:color w:val="000000"/>
                <w:sz w:val="28"/>
                <w:szCs w:val="28"/>
              </w:rPr>
              <w:t>”</w:t>
            </w:r>
            <w:r>
              <w:rPr>
                <w:color w:val="000000"/>
                <w:sz w:val="28"/>
                <w:szCs w:val="28"/>
              </w:rPr>
              <w:t>，综合集成多部门多领域执法监管事项，统筹推行行政检查年度计划管理，实施</w:t>
            </w:r>
            <w:r>
              <w:rPr>
                <w:rFonts w:hint="eastAsia"/>
                <w:color w:val="000000"/>
                <w:sz w:val="28"/>
                <w:szCs w:val="28"/>
              </w:rPr>
              <w:t>“</w:t>
            </w:r>
            <w:r>
              <w:rPr>
                <w:color w:val="000000"/>
                <w:sz w:val="28"/>
                <w:szCs w:val="28"/>
              </w:rPr>
              <w:t>综合查一次</w:t>
            </w:r>
            <w:r>
              <w:rPr>
                <w:rFonts w:hint="eastAsia"/>
                <w:color w:val="000000"/>
                <w:sz w:val="28"/>
                <w:szCs w:val="28"/>
              </w:rPr>
              <w:t>”</w:t>
            </w:r>
            <w:r>
              <w:rPr>
                <w:color w:val="000000"/>
                <w:sz w:val="28"/>
                <w:szCs w:val="28"/>
              </w:rPr>
              <w:t>。</w:t>
            </w:r>
          </w:p>
        </w:tc>
        <w:tc>
          <w:tcPr>
            <w:tcW w:w="2137" w:type="dxa"/>
            <w:tcBorders>
              <w:top w:val="nil"/>
              <w:left w:val="single" w:color="auto" w:sz="4" w:space="0"/>
              <w:bottom w:val="single" w:color="000000" w:sz="8" w:space="0"/>
              <w:right w:val="single" w:color="000000" w:sz="8" w:space="0"/>
            </w:tcBorders>
            <w:shd w:val="clear" w:color="auto" w:fill="auto"/>
            <w:vAlign w:val="center"/>
          </w:tcPr>
          <w:p>
            <w:pPr>
              <w:widowControl/>
              <w:adjustRightInd/>
              <w:snapToGrid w:val="0"/>
              <w:spacing w:line="320" w:lineRule="atLeast"/>
              <w:jc w:val="left"/>
              <w:textAlignment w:val="auto"/>
              <w:rPr>
                <w:color w:val="000000"/>
                <w:sz w:val="28"/>
                <w:szCs w:val="28"/>
              </w:rPr>
            </w:pPr>
            <w:r>
              <w:rPr>
                <w:rFonts w:hint="eastAsia"/>
                <w:color w:val="000000"/>
                <w:sz w:val="28"/>
                <w:szCs w:val="28"/>
              </w:rPr>
              <w:t>区司法局、区级有关单位</w:t>
            </w:r>
          </w:p>
        </w:tc>
      </w:tr>
      <w:tr>
        <w:tblPrEx>
          <w:tblCellMar>
            <w:top w:w="0" w:type="dxa"/>
            <w:left w:w="108" w:type="dxa"/>
            <w:bottom w:w="0" w:type="dxa"/>
            <w:right w:w="108" w:type="dxa"/>
          </w:tblCellMar>
        </w:tblPrEx>
        <w:trPr>
          <w:trHeight w:val="345"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66</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adjustRightInd/>
              <w:snapToGrid w:val="0"/>
              <w:spacing w:line="320" w:lineRule="atLeast"/>
              <w:textAlignment w:val="auto"/>
              <w:rPr>
                <w:color w:val="000000"/>
                <w:sz w:val="28"/>
                <w:szCs w:val="28"/>
              </w:rPr>
            </w:pPr>
            <w:r>
              <w:rPr>
                <w:color w:val="000000"/>
                <w:sz w:val="28"/>
                <w:szCs w:val="28"/>
              </w:rPr>
              <w:t>建立涉企行政检查</w:t>
            </w:r>
            <w:r>
              <w:rPr>
                <w:rFonts w:hint="eastAsia"/>
                <w:color w:val="000000"/>
                <w:sz w:val="28"/>
                <w:szCs w:val="28"/>
              </w:rPr>
              <w:t>“</w:t>
            </w:r>
            <w:r>
              <w:rPr>
                <w:color w:val="000000"/>
                <w:sz w:val="28"/>
                <w:szCs w:val="28"/>
              </w:rPr>
              <w:t>白名单</w:t>
            </w:r>
            <w:r>
              <w:rPr>
                <w:rFonts w:hint="eastAsia"/>
                <w:color w:val="000000"/>
                <w:sz w:val="28"/>
                <w:szCs w:val="28"/>
              </w:rPr>
              <w:t>”</w:t>
            </w:r>
            <w:r>
              <w:rPr>
                <w:color w:val="000000"/>
                <w:sz w:val="28"/>
                <w:szCs w:val="28"/>
              </w:rPr>
              <w:t>制度，构建</w:t>
            </w:r>
            <w:r>
              <w:rPr>
                <w:rFonts w:hint="eastAsia"/>
                <w:color w:val="000000"/>
                <w:sz w:val="28"/>
                <w:szCs w:val="28"/>
              </w:rPr>
              <w:t>“</w:t>
            </w:r>
            <w:r>
              <w:rPr>
                <w:color w:val="000000"/>
                <w:sz w:val="28"/>
                <w:szCs w:val="28"/>
              </w:rPr>
              <w:t>包容审慎、无事不扰</w:t>
            </w:r>
            <w:r>
              <w:rPr>
                <w:rFonts w:hint="eastAsia"/>
                <w:color w:val="000000"/>
                <w:sz w:val="28"/>
                <w:szCs w:val="28"/>
              </w:rPr>
              <w:t>”</w:t>
            </w:r>
            <w:r>
              <w:rPr>
                <w:color w:val="000000"/>
                <w:sz w:val="28"/>
                <w:szCs w:val="28"/>
              </w:rPr>
              <w:t>的行政执法新模式，涉企行政检查频次减少30%以上，高频涉企执法事项裁量基准匹配率达到100%。</w:t>
            </w:r>
          </w:p>
        </w:tc>
        <w:tc>
          <w:tcPr>
            <w:tcW w:w="2137" w:type="dxa"/>
            <w:tcBorders>
              <w:top w:val="nil"/>
              <w:left w:val="single" w:color="auto" w:sz="4" w:space="0"/>
              <w:bottom w:val="single" w:color="000000" w:sz="8" w:space="0"/>
              <w:right w:val="single" w:color="000000" w:sz="8" w:space="0"/>
            </w:tcBorders>
            <w:shd w:val="clear" w:color="auto" w:fill="auto"/>
            <w:vAlign w:val="center"/>
          </w:tcPr>
          <w:p>
            <w:pPr>
              <w:widowControl/>
              <w:adjustRightInd/>
              <w:snapToGrid w:val="0"/>
              <w:spacing w:line="320" w:lineRule="atLeast"/>
              <w:jc w:val="left"/>
              <w:textAlignment w:val="auto"/>
              <w:rPr>
                <w:color w:val="000000"/>
                <w:sz w:val="28"/>
                <w:szCs w:val="28"/>
              </w:rPr>
            </w:pPr>
            <w:r>
              <w:rPr>
                <w:rFonts w:hint="eastAsia"/>
                <w:color w:val="000000"/>
                <w:sz w:val="28"/>
                <w:szCs w:val="28"/>
              </w:rPr>
              <w:t>区司法局、区级有关单位</w:t>
            </w:r>
          </w:p>
        </w:tc>
      </w:tr>
      <w:tr>
        <w:tblPrEx>
          <w:tblCellMar>
            <w:top w:w="0" w:type="dxa"/>
            <w:left w:w="108" w:type="dxa"/>
            <w:bottom w:w="0" w:type="dxa"/>
            <w:right w:w="108" w:type="dxa"/>
          </w:tblCellMar>
        </w:tblPrEx>
        <w:trPr>
          <w:trHeight w:val="345"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67</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adjustRightInd/>
              <w:snapToGrid w:val="0"/>
              <w:spacing w:line="320" w:lineRule="atLeast"/>
              <w:textAlignment w:val="auto"/>
              <w:rPr>
                <w:color w:val="000000"/>
                <w:sz w:val="28"/>
                <w:szCs w:val="28"/>
              </w:rPr>
            </w:pPr>
            <w:r>
              <w:rPr>
                <w:color w:val="000000"/>
                <w:sz w:val="28"/>
                <w:szCs w:val="28"/>
              </w:rPr>
              <w:t>充分运用大数据、物联网等技术，积极推行以远程监管、移动监管和预警防控为特征的</w:t>
            </w:r>
            <w:r>
              <w:rPr>
                <w:rFonts w:hint="eastAsia"/>
                <w:color w:val="000000"/>
                <w:sz w:val="28"/>
                <w:szCs w:val="28"/>
              </w:rPr>
              <w:t>“</w:t>
            </w:r>
            <w:r>
              <w:rPr>
                <w:color w:val="000000"/>
                <w:sz w:val="28"/>
                <w:szCs w:val="28"/>
              </w:rPr>
              <w:t>非现场检查</w:t>
            </w:r>
            <w:r>
              <w:rPr>
                <w:rFonts w:hint="eastAsia"/>
                <w:color w:val="000000"/>
                <w:sz w:val="28"/>
                <w:szCs w:val="28"/>
              </w:rPr>
              <w:t>”</w:t>
            </w:r>
            <w:r>
              <w:rPr>
                <w:color w:val="000000"/>
                <w:sz w:val="28"/>
                <w:szCs w:val="28"/>
              </w:rPr>
              <w:t>，通过智慧监管方式能够达到行政检查要求的，不再安排现场检查</w:t>
            </w:r>
            <w:r>
              <w:rPr>
                <w:rFonts w:hint="eastAsia"/>
                <w:color w:val="000000"/>
                <w:sz w:val="28"/>
                <w:szCs w:val="28"/>
              </w:rPr>
              <w:t>。</w:t>
            </w:r>
          </w:p>
        </w:tc>
        <w:tc>
          <w:tcPr>
            <w:tcW w:w="2137" w:type="dxa"/>
            <w:tcBorders>
              <w:top w:val="nil"/>
              <w:left w:val="single" w:color="auto" w:sz="4" w:space="0"/>
              <w:bottom w:val="single" w:color="000000" w:sz="8" w:space="0"/>
              <w:right w:val="single" w:color="000000" w:sz="8" w:space="0"/>
            </w:tcBorders>
            <w:shd w:val="clear" w:color="auto" w:fill="auto"/>
            <w:vAlign w:val="center"/>
          </w:tcPr>
          <w:p>
            <w:pPr>
              <w:widowControl/>
              <w:adjustRightInd/>
              <w:snapToGrid w:val="0"/>
              <w:spacing w:line="320" w:lineRule="atLeast"/>
              <w:jc w:val="left"/>
              <w:textAlignment w:val="auto"/>
              <w:rPr>
                <w:color w:val="000000"/>
                <w:sz w:val="28"/>
                <w:szCs w:val="28"/>
              </w:rPr>
            </w:pPr>
            <w:r>
              <w:rPr>
                <w:rFonts w:hint="eastAsia"/>
                <w:color w:val="000000"/>
                <w:sz w:val="28"/>
                <w:szCs w:val="28"/>
              </w:rPr>
              <w:t>区司法局、区级有关单位</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（二）加强涉企执法监督（牵头单位：区司法局）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68</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3"/>
              <w:widowControl/>
              <w:adjustRightInd/>
              <w:snapToGrid w:val="0"/>
              <w:spacing w:line="320" w:lineRule="atLeast"/>
              <w:textAlignment w:val="auto"/>
              <w:rPr>
                <w:color w:val="000000"/>
                <w:sz w:val="28"/>
                <w:szCs w:val="28"/>
              </w:rPr>
            </w:pPr>
            <w:r>
              <w:rPr>
                <w:color w:val="000000"/>
                <w:sz w:val="28"/>
                <w:szCs w:val="28"/>
              </w:rPr>
              <w:t>落实涉企行政执法监督评价机制，强化执法检查全流程监督，推行</w:t>
            </w:r>
            <w:r>
              <w:rPr>
                <w:rFonts w:hint="eastAsia"/>
                <w:color w:val="000000"/>
                <w:sz w:val="28"/>
                <w:szCs w:val="28"/>
              </w:rPr>
              <w:t>“</w:t>
            </w:r>
            <w:r>
              <w:rPr>
                <w:color w:val="000000"/>
                <w:sz w:val="28"/>
                <w:szCs w:val="28"/>
              </w:rPr>
              <w:t>扫码入企</w:t>
            </w:r>
            <w:r>
              <w:rPr>
                <w:rFonts w:hint="eastAsia"/>
                <w:color w:val="000000"/>
                <w:sz w:val="28"/>
                <w:szCs w:val="28"/>
              </w:rPr>
              <w:t>”</w:t>
            </w:r>
            <w:r>
              <w:rPr>
                <w:color w:val="000000"/>
                <w:sz w:val="28"/>
                <w:szCs w:val="28"/>
              </w:rPr>
              <w:t>、</w:t>
            </w:r>
            <w:r>
              <w:rPr>
                <w:rFonts w:hint="eastAsia"/>
                <w:color w:val="000000"/>
                <w:sz w:val="28"/>
                <w:szCs w:val="28"/>
              </w:rPr>
              <w:t>“</w:t>
            </w:r>
            <w:r>
              <w:rPr>
                <w:color w:val="000000"/>
                <w:sz w:val="28"/>
                <w:szCs w:val="28"/>
              </w:rPr>
              <w:t>执法码</w:t>
            </w:r>
            <w:r>
              <w:rPr>
                <w:rFonts w:hint="eastAsia"/>
                <w:color w:val="000000"/>
                <w:sz w:val="28"/>
                <w:szCs w:val="28"/>
              </w:rPr>
              <w:t>”“</w:t>
            </w:r>
            <w:r>
              <w:rPr>
                <w:color w:val="000000"/>
                <w:sz w:val="28"/>
                <w:szCs w:val="28"/>
              </w:rPr>
              <w:t>企业码</w:t>
            </w:r>
            <w:r>
              <w:rPr>
                <w:rFonts w:hint="eastAsia"/>
                <w:color w:val="000000"/>
                <w:sz w:val="28"/>
                <w:szCs w:val="28"/>
              </w:rPr>
              <w:t>”</w:t>
            </w:r>
            <w:r>
              <w:rPr>
                <w:color w:val="000000"/>
                <w:sz w:val="28"/>
                <w:szCs w:val="28"/>
              </w:rPr>
              <w:t>两码互核，实现涉企行政检查全生命周期管理。</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val="0"/>
              <w:spacing w:line="320" w:lineRule="atLeast"/>
              <w:jc w:val="left"/>
              <w:textAlignment w:val="auto"/>
              <w:rPr>
                <w:color w:val="000000"/>
                <w:sz w:val="28"/>
                <w:szCs w:val="28"/>
              </w:rPr>
            </w:pPr>
            <w:r>
              <w:rPr>
                <w:rFonts w:hint="eastAsia"/>
                <w:color w:val="000000"/>
                <w:sz w:val="28"/>
                <w:szCs w:val="28"/>
              </w:rPr>
              <w:t>区司法局、区级有关单位</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69</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pStyle w:val="23"/>
              <w:widowControl/>
              <w:adjustRightInd/>
              <w:snapToGrid w:val="0"/>
              <w:spacing w:line="320" w:lineRule="atLeast"/>
              <w:textAlignment w:val="auto"/>
              <w:rPr>
                <w:color w:val="000000"/>
                <w:sz w:val="28"/>
                <w:szCs w:val="28"/>
              </w:rPr>
            </w:pPr>
            <w:r>
              <w:rPr>
                <w:color w:val="000000"/>
                <w:sz w:val="28"/>
                <w:szCs w:val="28"/>
              </w:rPr>
              <w:t>严格执行不予行政处罚、免予行政处罚、从轻行政处罚</w:t>
            </w:r>
            <w:r>
              <w:rPr>
                <w:rFonts w:hint="eastAsia"/>
                <w:color w:val="000000"/>
                <w:sz w:val="28"/>
                <w:szCs w:val="28"/>
              </w:rPr>
              <w:t>“</w:t>
            </w:r>
            <w:r>
              <w:rPr>
                <w:color w:val="000000"/>
                <w:sz w:val="28"/>
                <w:szCs w:val="28"/>
              </w:rPr>
              <w:t>柔性执法三清单</w:t>
            </w:r>
            <w:r>
              <w:rPr>
                <w:rFonts w:hint="eastAsia"/>
                <w:color w:val="000000"/>
                <w:sz w:val="28"/>
                <w:szCs w:val="28"/>
              </w:rPr>
              <w:t>”</w:t>
            </w:r>
            <w:r>
              <w:rPr>
                <w:color w:val="000000"/>
                <w:sz w:val="28"/>
                <w:szCs w:val="28"/>
              </w:rPr>
              <w:t>，规范执法标准和流程。</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val="0"/>
              <w:spacing w:line="320" w:lineRule="atLeast"/>
              <w:jc w:val="left"/>
              <w:textAlignment w:val="auto"/>
              <w:rPr>
                <w:color w:val="000000"/>
                <w:sz w:val="28"/>
                <w:szCs w:val="28"/>
              </w:rPr>
            </w:pPr>
            <w:r>
              <w:rPr>
                <w:rFonts w:hint="eastAsia"/>
                <w:color w:val="000000"/>
                <w:sz w:val="28"/>
                <w:szCs w:val="28"/>
              </w:rPr>
              <w:t>区司法局、区级有关单位</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70</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pStyle w:val="23"/>
              <w:widowControl/>
              <w:adjustRightInd/>
              <w:snapToGrid w:val="0"/>
              <w:spacing w:line="320" w:lineRule="atLeast"/>
              <w:textAlignment w:val="auto"/>
              <w:rPr>
                <w:color w:val="000000"/>
                <w:sz w:val="28"/>
                <w:szCs w:val="28"/>
              </w:rPr>
            </w:pPr>
            <w:r>
              <w:rPr>
                <w:color w:val="000000"/>
                <w:sz w:val="28"/>
                <w:szCs w:val="28"/>
              </w:rPr>
              <w:t>建立法治观测点和法治观测员制度，发挥执法监督企业联系点和观测员作用，及时化解涉企执法问题。</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val="0"/>
              <w:spacing w:line="320" w:lineRule="atLeast"/>
              <w:jc w:val="left"/>
              <w:textAlignment w:val="auto"/>
              <w:rPr>
                <w:color w:val="000000"/>
                <w:sz w:val="28"/>
                <w:szCs w:val="28"/>
              </w:rPr>
            </w:pPr>
            <w:r>
              <w:rPr>
                <w:rFonts w:hint="eastAsia"/>
                <w:color w:val="000000"/>
                <w:sz w:val="28"/>
                <w:szCs w:val="28"/>
              </w:rPr>
              <w:t>区司法局、区级有关单位</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71</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pStyle w:val="23"/>
              <w:widowControl/>
              <w:adjustRightInd/>
              <w:snapToGrid w:val="0"/>
              <w:spacing w:line="320" w:lineRule="atLeast"/>
              <w:textAlignment w:val="auto"/>
              <w:rPr>
                <w:color w:val="000000"/>
                <w:sz w:val="28"/>
                <w:szCs w:val="28"/>
              </w:rPr>
            </w:pPr>
            <w:r>
              <w:rPr>
                <w:color w:val="000000"/>
                <w:sz w:val="28"/>
                <w:szCs w:val="28"/>
              </w:rPr>
              <w:t>开展涉企行政执法人民群众满意度第三方评估，完成提升行政执法质量三年行动计划终期评估，加强评估结果运用，切实提升行政执法质效。</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val="0"/>
              <w:spacing w:line="320" w:lineRule="atLeast"/>
              <w:jc w:val="left"/>
              <w:textAlignment w:val="auto"/>
              <w:rPr>
                <w:color w:val="000000"/>
                <w:sz w:val="28"/>
                <w:szCs w:val="28"/>
              </w:rPr>
            </w:pPr>
            <w:r>
              <w:rPr>
                <w:rFonts w:hint="eastAsia"/>
                <w:color w:val="000000"/>
                <w:sz w:val="28"/>
                <w:szCs w:val="28"/>
              </w:rPr>
              <w:t>区司法局、区级有关单位</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72</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pStyle w:val="23"/>
              <w:widowControl/>
              <w:adjustRightInd/>
              <w:snapToGrid w:val="0"/>
              <w:spacing w:line="320" w:lineRule="atLeast"/>
              <w:textAlignment w:val="auto"/>
              <w:rPr>
                <w:color w:val="000000"/>
                <w:sz w:val="28"/>
                <w:szCs w:val="28"/>
              </w:rPr>
            </w:pPr>
            <w:r>
              <w:rPr>
                <w:color w:val="000000"/>
                <w:sz w:val="28"/>
                <w:szCs w:val="28"/>
              </w:rPr>
              <w:t>严格执行行政执法裁量基准制度，统一裁量尺度，防止任性执法、随意执法。</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val="0"/>
              <w:spacing w:line="320" w:lineRule="atLeast"/>
              <w:jc w:val="left"/>
              <w:textAlignment w:val="auto"/>
              <w:rPr>
                <w:color w:val="000000"/>
                <w:sz w:val="28"/>
                <w:szCs w:val="28"/>
              </w:rPr>
            </w:pPr>
            <w:r>
              <w:rPr>
                <w:rFonts w:hint="eastAsia"/>
                <w:color w:val="000000"/>
                <w:sz w:val="28"/>
                <w:szCs w:val="28"/>
              </w:rPr>
              <w:t>区司法局、区级有关单位</w:t>
            </w:r>
          </w:p>
        </w:tc>
      </w:tr>
      <w:tr>
        <w:tblPrEx>
          <w:tblCellMar>
            <w:top w:w="0" w:type="dxa"/>
            <w:left w:w="108" w:type="dxa"/>
            <w:bottom w:w="0" w:type="dxa"/>
            <w:right w:w="108" w:type="dxa"/>
          </w:tblCellMar>
        </w:tblPrEx>
        <w:trPr>
          <w:trHeight w:val="100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（三）依法保护民营企业产权和企业家权益（牵头单位：区委政法委）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73</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3"/>
              <w:widowControl/>
              <w:adjustRightInd/>
              <w:snapToGrid w:val="0"/>
              <w:spacing w:line="320" w:lineRule="atLeast"/>
              <w:textAlignment w:val="auto"/>
              <w:rPr>
                <w:color w:val="000000"/>
                <w:sz w:val="28"/>
                <w:szCs w:val="28"/>
              </w:rPr>
            </w:pPr>
            <w:r>
              <w:rPr>
                <w:color w:val="000000"/>
                <w:sz w:val="28"/>
                <w:szCs w:val="28"/>
              </w:rPr>
              <w:t>开展规范涉企执法专项行动，整治趋利性执法以及乱罚款、乱检查、乱查封等问题，关注罚没收入异常增长、大量异地执法、大额顶格处罚等情况。</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3"/>
              <w:widowControl/>
              <w:adjustRightInd/>
              <w:snapToGrid w:val="0"/>
              <w:spacing w:line="320" w:lineRule="atLeast"/>
              <w:textAlignment w:val="auto"/>
              <w:rPr>
                <w:color w:val="000000"/>
                <w:sz w:val="28"/>
                <w:szCs w:val="28"/>
              </w:rPr>
            </w:pPr>
            <w:r>
              <w:rPr>
                <w:rFonts w:hint="eastAsia"/>
                <w:color w:val="000000"/>
                <w:sz w:val="28"/>
                <w:szCs w:val="28"/>
              </w:rPr>
              <w:t>区司法局、区级有关单位</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74</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sz w:val="28"/>
                <w:szCs w:val="28"/>
              </w:rPr>
            </w:pPr>
            <w:r>
              <w:rPr>
                <w:rStyle w:val="24"/>
                <w:rFonts w:ascii="Times New Roman" w:hAnsi="Times New Roman"/>
                <w:sz w:val="28"/>
                <w:szCs w:val="28"/>
              </w:rPr>
              <w:t>依法慎用执法司法强制措施，严禁超权限、超范围、超数额或超时限查封、扣押、冻结企业财产，严格控制限制人身自由、停工停产停业等措施，最大限度降低对企业正常生产经营活动的影响。</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区法院、区检察院</w:t>
            </w:r>
            <w:r>
              <w:rPr>
                <w:rFonts w:hint="eastAsia"/>
                <w:color w:val="000000"/>
                <w:sz w:val="28"/>
                <w:szCs w:val="28"/>
              </w:rPr>
              <w:t>、</w:t>
            </w:r>
            <w:r>
              <w:rPr>
                <w:color w:val="000000"/>
                <w:sz w:val="28"/>
                <w:szCs w:val="28"/>
              </w:rPr>
              <w:t>区公安分局、区司法局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75</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sz w:val="28"/>
                <w:szCs w:val="28"/>
              </w:rPr>
            </w:pPr>
            <w:r>
              <w:rPr>
                <w:rStyle w:val="24"/>
                <w:rFonts w:ascii="Times New Roman" w:hAnsi="Times New Roman"/>
                <w:sz w:val="28"/>
                <w:szCs w:val="28"/>
              </w:rPr>
              <w:t>开展防范和打击侵害企业合法权益经济犯罪专项工作，依法打击合同诈骗、职务侵占等犯罪行为。</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区委政法委、区法院、区检察院、区公安分局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76</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sz w:val="28"/>
                <w:szCs w:val="28"/>
              </w:rPr>
            </w:pPr>
            <w:r>
              <w:rPr>
                <w:rStyle w:val="24"/>
                <w:rFonts w:ascii="Times New Roman" w:hAnsi="Times New Roman"/>
                <w:sz w:val="28"/>
                <w:szCs w:val="28"/>
              </w:rPr>
              <w:t>开展规范涉企执法司法专项行动，严格公正依法办理涉企案件。</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区法院</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（四）加强知识产权保护（牵头单位：区市场监管局）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lang w:bidi="ar"/>
              </w:rPr>
            </w:pPr>
            <w:r>
              <w:rPr>
                <w:rFonts w:hint="eastAsia"/>
                <w:color w:val="000000"/>
                <w:sz w:val="28"/>
                <w:szCs w:val="28"/>
                <w:lang w:bidi="ar"/>
              </w:rPr>
              <w:t>77</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贯彻落实《重庆市知识产权保护和促进条例》，加强全区知识产权保护工作。</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lang w:bidi="ar"/>
              </w:rPr>
            </w:pPr>
            <w:r>
              <w:rPr>
                <w:rFonts w:hint="eastAsia"/>
                <w:color w:val="000000"/>
                <w:sz w:val="28"/>
                <w:szCs w:val="28"/>
                <w:lang w:bidi="ar"/>
              </w:rPr>
              <w:t>78</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推进区知识产权综合服务中心建设，推进巡回审判点、仲裁站、警务站、调解站建设，实行案件立案、审查、保全等网上网下全程优先。</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lang w:bidi="ar"/>
              </w:rPr>
            </w:pPr>
            <w:r>
              <w:rPr>
                <w:rFonts w:hint="eastAsia"/>
                <w:color w:val="000000"/>
                <w:sz w:val="28"/>
                <w:szCs w:val="28"/>
                <w:lang w:bidi="ar"/>
              </w:rPr>
              <w:t>79</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根据市知识产权局实时监测并反馈的热点地区和重点行业案件动向涉及我区企业的，为其提供有针对性的海外专利、商标预警分析服务</w:t>
            </w:r>
            <w:r>
              <w:rPr>
                <w:rFonts w:hint="eastAsia"/>
                <w:color w:val="000000"/>
                <w:sz w:val="28"/>
                <w:szCs w:val="28"/>
                <w:lang w:bidi="ar"/>
              </w:rPr>
              <w:t>。</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lang w:bidi="ar"/>
              </w:rPr>
            </w:pPr>
            <w:r>
              <w:rPr>
                <w:rFonts w:hint="eastAsia"/>
                <w:color w:val="000000"/>
                <w:sz w:val="28"/>
                <w:szCs w:val="28"/>
                <w:lang w:bidi="ar"/>
              </w:rPr>
              <w:t>80</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落实《</w:t>
            </w:r>
            <w:r>
              <w:rPr>
                <w:rFonts w:hint="eastAsia"/>
                <w:color w:val="000000"/>
                <w:sz w:val="28"/>
                <w:szCs w:val="28"/>
                <w:lang w:bidi="ar"/>
              </w:rPr>
              <w:t>“</w:t>
            </w:r>
            <w:r>
              <w:rPr>
                <w:color w:val="000000"/>
                <w:sz w:val="28"/>
                <w:szCs w:val="28"/>
                <w:lang w:bidi="ar"/>
              </w:rPr>
              <w:t>渝企出海</w:t>
            </w:r>
            <w:r>
              <w:rPr>
                <w:rFonts w:hint="eastAsia"/>
                <w:color w:val="000000"/>
                <w:sz w:val="28"/>
                <w:szCs w:val="28"/>
                <w:lang w:bidi="ar"/>
              </w:rPr>
              <w:t>”</w:t>
            </w:r>
            <w:r>
              <w:rPr>
                <w:color w:val="000000"/>
                <w:sz w:val="28"/>
                <w:szCs w:val="28"/>
                <w:lang w:bidi="ar"/>
              </w:rPr>
              <w:t>知识产权护航行动方案》，加强海外知识产权纠纷应对指导和风险防控宣传培训、政策咨询等服务。</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（五）提升法律服务水平（牵头单位：区司法局）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81</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持续推进</w:t>
            </w:r>
            <w:r>
              <w:rPr>
                <w:rFonts w:hint="eastAsia"/>
                <w:color w:val="000000"/>
                <w:sz w:val="28"/>
                <w:szCs w:val="28"/>
              </w:rPr>
              <w:t>“</w:t>
            </w:r>
            <w:r>
              <w:rPr>
                <w:color w:val="000000"/>
                <w:sz w:val="28"/>
                <w:szCs w:val="28"/>
              </w:rPr>
              <w:t>服务实体经济律企携手同行</w:t>
            </w:r>
            <w:r>
              <w:rPr>
                <w:rFonts w:hint="eastAsia"/>
                <w:color w:val="000000"/>
                <w:sz w:val="28"/>
                <w:szCs w:val="28"/>
              </w:rPr>
              <w:t>”“</w:t>
            </w:r>
            <w:r>
              <w:rPr>
                <w:color w:val="000000"/>
                <w:sz w:val="28"/>
                <w:szCs w:val="28"/>
              </w:rPr>
              <w:t>法治体检</w:t>
            </w:r>
            <w:r>
              <w:rPr>
                <w:rFonts w:hint="eastAsia"/>
                <w:color w:val="000000"/>
                <w:sz w:val="28"/>
                <w:szCs w:val="28"/>
              </w:rPr>
              <w:t>”</w:t>
            </w:r>
            <w:r>
              <w:rPr>
                <w:color w:val="000000"/>
                <w:sz w:val="28"/>
                <w:szCs w:val="28"/>
              </w:rPr>
              <w:t>等活动，为企业开展普法宣讲、提供法律咨询，为企业提出风险防控建议，积极助推企业高质量发展。</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区司法局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82</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推动西部陆海新通道国际法务区建设。</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区司法局</w:t>
            </w:r>
          </w:p>
        </w:tc>
      </w:tr>
      <w:tr>
        <w:tblPrEx>
          <w:tblCellMar>
            <w:top w:w="0" w:type="dxa"/>
            <w:left w:w="108" w:type="dxa"/>
            <w:bottom w:w="0" w:type="dxa"/>
            <w:right w:w="108" w:type="dxa"/>
          </w:tblCellMar>
        </w:tblPrEx>
        <w:trPr>
          <w:trHeight w:val="31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黑体_GBK" w:cs="方正黑体_GBK"/>
                <w:color w:val="000000"/>
                <w:sz w:val="28"/>
                <w:szCs w:val="28"/>
                <w:lang w:bidi="ar"/>
              </w:rPr>
            </w:pPr>
            <w:r>
              <w:rPr>
                <w:rFonts w:eastAsia="方正黑体_GBK" w:cs="方正黑体_GBK"/>
                <w:color w:val="000000"/>
                <w:sz w:val="28"/>
                <w:szCs w:val="28"/>
                <w:lang w:bidi="ar"/>
              </w:rPr>
              <w:t>四、提升市场环境专项行动</w:t>
            </w:r>
          </w:p>
        </w:tc>
      </w:tr>
      <w:tr>
        <w:tblPrEx>
          <w:tblCellMar>
            <w:top w:w="0" w:type="dxa"/>
            <w:left w:w="108" w:type="dxa"/>
            <w:bottom w:w="0" w:type="dxa"/>
            <w:right w:w="108" w:type="dxa"/>
          </w:tblCellMar>
        </w:tblPrEx>
        <w:trPr>
          <w:trHeight w:val="100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（一）全面实施市场准入负面清单管理（牵头单位：区发展改革委）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83</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pStyle w:val="22"/>
              <w:spacing w:before="95" w:line="320" w:lineRule="atLeast"/>
              <w:ind w:left="110" w:right="84" w:firstLine="3"/>
              <w:rPr>
                <w:rFonts w:ascii="Times New Roman" w:hAnsi="Times New Roman" w:eastAsia="方正仿宋_GBK" w:cs="Times New Roman"/>
                <w:sz w:val="28"/>
                <w:szCs w:val="28"/>
                <w:lang w:eastAsia="zh-CN"/>
              </w:rPr>
            </w:pPr>
            <w:r>
              <w:rPr>
                <w:rFonts w:ascii="Times New Roman" w:hAnsi="Times New Roman" w:eastAsia="方正仿宋_GBK" w:cs="Times New Roman"/>
                <w:spacing w:val="1"/>
                <w:sz w:val="28"/>
                <w:szCs w:val="28"/>
                <w:lang w:eastAsia="zh-CN"/>
              </w:rPr>
              <w:t>实施《市场准入负面清单（2025年版）》，按照国家统一</w:t>
            </w:r>
            <w:r>
              <w:rPr>
                <w:rFonts w:ascii="Times New Roman" w:hAnsi="Times New Roman" w:eastAsia="方正仿宋_GBK" w:cs="Times New Roman"/>
                <w:spacing w:val="5"/>
                <w:sz w:val="28"/>
                <w:szCs w:val="28"/>
                <w:lang w:eastAsia="zh-CN"/>
              </w:rPr>
              <w:t>部署开展市场准入壁垒清理整治行动。</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2"/>
              <w:spacing w:before="313" w:line="320" w:lineRule="atLeast"/>
              <w:ind w:left="118"/>
              <w:jc w:val="both"/>
              <w:rPr>
                <w:rFonts w:ascii="Times New Roman" w:hAnsi="Times New Roman" w:eastAsia="方正仿宋_GBK" w:cs="Times New Roman"/>
                <w:sz w:val="28"/>
                <w:szCs w:val="28"/>
              </w:rPr>
            </w:pPr>
            <w:r>
              <w:rPr>
                <w:rFonts w:ascii="Times New Roman" w:hAnsi="Times New Roman" w:eastAsia="方正仿宋_GBK" w:cs="Times New Roman"/>
                <w:spacing w:val="5"/>
                <w:sz w:val="28"/>
                <w:szCs w:val="28"/>
                <w:lang w:eastAsia="zh-CN"/>
              </w:rPr>
              <w:t>区</w:t>
            </w:r>
            <w:r>
              <w:rPr>
                <w:rFonts w:ascii="Times New Roman" w:hAnsi="Times New Roman" w:eastAsia="方正仿宋_GBK" w:cs="Times New Roman"/>
                <w:spacing w:val="5"/>
                <w:sz w:val="28"/>
                <w:szCs w:val="28"/>
              </w:rPr>
              <w:t>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84</w:t>
            </w:r>
          </w:p>
        </w:tc>
        <w:tc>
          <w:tcPr>
            <w:tcW w:w="5869" w:type="dxa"/>
            <w:tcBorders>
              <w:top w:val="nil"/>
              <w:left w:val="single" w:color="000000" w:sz="8" w:space="0"/>
              <w:bottom w:val="single" w:color="000000" w:sz="8" w:space="0"/>
              <w:right w:val="single" w:color="000000" w:sz="8" w:space="0"/>
            </w:tcBorders>
            <w:shd w:val="clear" w:color="auto" w:fill="auto"/>
          </w:tcPr>
          <w:p>
            <w:pPr>
              <w:pStyle w:val="22"/>
              <w:spacing w:before="134" w:line="320" w:lineRule="atLeast"/>
              <w:ind w:left="111"/>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5"/>
                <w:sz w:val="28"/>
                <w:szCs w:val="28"/>
                <w:lang w:eastAsia="zh-CN"/>
              </w:rPr>
              <w:t>持续</w:t>
            </w:r>
            <w:r>
              <w:rPr>
                <w:rFonts w:ascii="Times New Roman" w:hAnsi="Times New Roman" w:eastAsia="方正仿宋_GBK" w:cs="Times New Roman"/>
                <w:spacing w:val="5"/>
                <w:sz w:val="28"/>
                <w:szCs w:val="28"/>
                <w:lang w:eastAsia="zh-CN"/>
              </w:rPr>
              <w:t>开展市场准入效能评估，</w:t>
            </w:r>
            <w:r>
              <w:rPr>
                <w:rFonts w:hint="eastAsia" w:ascii="Times New Roman" w:hAnsi="Times New Roman" w:eastAsia="方正仿宋_GBK" w:cs="Times New Roman"/>
                <w:spacing w:val="5"/>
                <w:sz w:val="28"/>
                <w:szCs w:val="28"/>
                <w:lang w:eastAsia="zh-CN"/>
              </w:rPr>
              <w:t>强化</w:t>
            </w:r>
            <w:r>
              <w:rPr>
                <w:rFonts w:ascii="Times New Roman" w:hAnsi="Times New Roman" w:eastAsia="方正仿宋_GBK" w:cs="Times New Roman"/>
                <w:spacing w:val="5"/>
                <w:sz w:val="28"/>
                <w:szCs w:val="28"/>
                <w:lang w:eastAsia="zh-CN"/>
              </w:rPr>
              <w:t>评估结果应用。</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pStyle w:val="22"/>
              <w:spacing w:before="137" w:line="320" w:lineRule="atLeast"/>
              <w:ind w:left="119"/>
              <w:jc w:val="both"/>
              <w:rPr>
                <w:rFonts w:ascii="Times New Roman" w:hAnsi="Times New Roman" w:eastAsia="方正仿宋_GBK" w:cs="Times New Roman"/>
                <w:sz w:val="28"/>
                <w:szCs w:val="28"/>
              </w:rPr>
            </w:pPr>
            <w:r>
              <w:rPr>
                <w:rFonts w:ascii="Times New Roman" w:hAnsi="Times New Roman" w:eastAsia="方正仿宋_GBK" w:cs="Times New Roman"/>
                <w:spacing w:val="5"/>
                <w:sz w:val="28"/>
                <w:szCs w:val="28"/>
                <w:lang w:eastAsia="zh-CN"/>
              </w:rPr>
              <w:t>区</w:t>
            </w:r>
            <w:r>
              <w:rPr>
                <w:rFonts w:ascii="Times New Roman" w:hAnsi="Times New Roman" w:eastAsia="方正仿宋_GBK" w:cs="Times New Roman"/>
                <w:spacing w:val="5"/>
                <w:sz w:val="28"/>
                <w:szCs w:val="28"/>
              </w:rPr>
              <w:t>发展改革委</w:t>
            </w:r>
          </w:p>
        </w:tc>
      </w:tr>
      <w:tr>
        <w:tblPrEx>
          <w:tblCellMar>
            <w:top w:w="0" w:type="dxa"/>
            <w:left w:w="108" w:type="dxa"/>
            <w:bottom w:w="0" w:type="dxa"/>
            <w:right w:w="108" w:type="dxa"/>
          </w:tblCellMar>
        </w:tblPrEx>
        <w:trPr>
          <w:trHeight w:val="100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（二）破除隐性门槛和不合理限制（牵头单位：区市场监管局）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lang w:bidi="ar"/>
              </w:rPr>
            </w:pPr>
            <w:r>
              <w:rPr>
                <w:rFonts w:hint="eastAsia"/>
                <w:color w:val="000000"/>
                <w:sz w:val="28"/>
                <w:szCs w:val="28"/>
                <w:lang w:bidi="ar"/>
              </w:rPr>
              <w:t>85</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贯彻执行《重庆市公平竞争审查内部特定机构统一审查制度》，健全审查机制、规范审查流程，提高公平竞争审查工作质量。</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lang w:bidi="ar"/>
              </w:rPr>
            </w:pPr>
            <w:r>
              <w:rPr>
                <w:rFonts w:hint="eastAsia"/>
                <w:color w:val="000000"/>
                <w:sz w:val="28"/>
                <w:szCs w:val="28"/>
                <w:lang w:bidi="ar"/>
              </w:rPr>
              <w:t>86</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贯彻执行《公平竞争政策与产业政策协同工作指引》，推动产业政策向普惠化和功能性转变。</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lang w:bidi="ar"/>
              </w:rPr>
            </w:pPr>
            <w:r>
              <w:rPr>
                <w:rFonts w:hint="eastAsia"/>
                <w:color w:val="000000"/>
                <w:sz w:val="28"/>
                <w:szCs w:val="28"/>
                <w:lang w:bidi="ar"/>
              </w:rPr>
              <w:t>87</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贯彻执行《重庆市2025年公平竞争审查抽查工作方案》，对区内各部门公开发布的涉及经营者经济活动的政策措施进行抽查，及时纠正涉嫌违反公平竞争审查标准的政策措施。</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（三）规范公共资源交易监管（牵头单位：区发展改革委）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88</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pacing w:line="320" w:lineRule="atLeast"/>
              <w:rPr>
                <w:color w:val="000000"/>
                <w:sz w:val="28"/>
                <w:szCs w:val="28"/>
              </w:rPr>
            </w:pPr>
            <w:r>
              <w:rPr>
                <w:color w:val="000000"/>
                <w:sz w:val="28"/>
                <w:szCs w:val="28"/>
              </w:rPr>
              <w:t>落实新修订的《重庆市招标投标条例》，加强政策文件的宣传学习。</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89</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pacing w:line="320" w:lineRule="atLeast"/>
              <w:rPr>
                <w:color w:val="000000"/>
                <w:sz w:val="28"/>
                <w:szCs w:val="28"/>
              </w:rPr>
            </w:pPr>
            <w:r>
              <w:rPr>
                <w:color w:val="000000"/>
                <w:sz w:val="28"/>
                <w:szCs w:val="28"/>
              </w:rPr>
              <w:t>加强工程建设项目评标专家监督管理，加大评标专家违法违规行为的查处和惩戒力度。</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w:t>
            </w:r>
            <w:r>
              <w:rPr>
                <w:color w:val="000000"/>
                <w:sz w:val="28"/>
                <w:szCs w:val="28"/>
                <w:lang w:eastAsia="en-US"/>
              </w:rPr>
              <w:t>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90</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pacing w:line="320" w:lineRule="atLeast"/>
              <w:rPr>
                <w:color w:val="000000"/>
                <w:sz w:val="28"/>
                <w:szCs w:val="28"/>
              </w:rPr>
            </w:pPr>
            <w:r>
              <w:rPr>
                <w:color w:val="000000"/>
                <w:sz w:val="28"/>
                <w:szCs w:val="28"/>
              </w:rPr>
              <w:t>征集招标投标领域设置隐性门槛和不合理限制的线索，重点整治以注册地、所有制形式、组织形式等不合理条件限制、排斥潜在投标人的行为。</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w:t>
            </w:r>
            <w:r>
              <w:rPr>
                <w:color w:val="000000"/>
                <w:sz w:val="28"/>
                <w:szCs w:val="28"/>
                <w:lang w:eastAsia="en-US"/>
              </w:rPr>
              <w:t>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91</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pacing w:line="320" w:lineRule="atLeast"/>
              <w:rPr>
                <w:color w:val="000000"/>
                <w:sz w:val="28"/>
                <w:szCs w:val="28"/>
              </w:rPr>
            </w:pPr>
            <w:r>
              <w:rPr>
                <w:color w:val="000000"/>
                <w:sz w:val="28"/>
                <w:szCs w:val="28"/>
              </w:rPr>
              <w:t>建立招标投标领域培训指导机制，对部分招标人、行业主管部门和行政监督部门等进行培训，促进招标投标活动规范运行。</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w:t>
            </w:r>
            <w:r>
              <w:rPr>
                <w:color w:val="000000"/>
                <w:sz w:val="28"/>
                <w:szCs w:val="28"/>
                <w:lang w:eastAsia="en-US"/>
              </w:rPr>
              <w:t>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92</w:t>
            </w:r>
          </w:p>
        </w:tc>
        <w:tc>
          <w:tcPr>
            <w:tcW w:w="5869" w:type="dxa"/>
            <w:tcBorders>
              <w:top w:val="nil"/>
              <w:left w:val="single" w:color="000000" w:sz="8" w:space="0"/>
              <w:bottom w:val="single" w:color="000000" w:sz="8" w:space="0"/>
              <w:right w:val="single" w:color="000000" w:sz="8" w:space="0"/>
            </w:tcBorders>
            <w:shd w:val="clear" w:color="auto" w:fill="auto"/>
          </w:tcPr>
          <w:p>
            <w:pPr>
              <w:spacing w:line="320" w:lineRule="atLeast"/>
              <w:rPr>
                <w:color w:val="000000"/>
                <w:sz w:val="28"/>
                <w:szCs w:val="28"/>
              </w:rPr>
            </w:pPr>
            <w:r>
              <w:rPr>
                <w:color w:val="000000"/>
                <w:sz w:val="28"/>
                <w:szCs w:val="28"/>
              </w:rPr>
              <w:t>用好市级统一招标文件范本，引导招标人依法依规开展招标工作。</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w:t>
            </w:r>
            <w:r>
              <w:rPr>
                <w:color w:val="000000"/>
                <w:sz w:val="28"/>
                <w:szCs w:val="28"/>
                <w:lang w:eastAsia="en-US"/>
              </w:rPr>
              <w:t>发展改革委</w:t>
            </w:r>
          </w:p>
        </w:tc>
      </w:tr>
      <w:tr>
        <w:tblPrEx>
          <w:tblCellMar>
            <w:top w:w="0" w:type="dxa"/>
            <w:left w:w="108" w:type="dxa"/>
            <w:bottom w:w="0" w:type="dxa"/>
            <w:right w:w="108" w:type="dxa"/>
          </w:tblCellMar>
        </w:tblPrEx>
        <w:trPr>
          <w:trHeight w:val="100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（四）推动经营主体发展壮大（牵头单位：区市场监管局、区经济信息委）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93</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lang w:bidi="ar"/>
              </w:rPr>
            </w:pPr>
            <w:r>
              <w:rPr>
                <w:rFonts w:hint="eastAsia"/>
                <w:color w:val="000000"/>
                <w:sz w:val="28"/>
                <w:szCs w:val="28"/>
                <w:lang w:bidi="ar"/>
              </w:rPr>
              <w:t>组织区内重点企业召开人才政策宣讲会，宣讲2025年制造业人才相关政策。</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lang w:bidi="ar"/>
              </w:rPr>
            </w:pPr>
            <w:r>
              <w:rPr>
                <w:rFonts w:hint="eastAsia"/>
                <w:color w:val="000000"/>
                <w:sz w:val="28"/>
                <w:szCs w:val="28"/>
                <w:lang w:bidi="ar"/>
              </w:rPr>
              <w:t>区经济信息委</w:t>
            </w:r>
            <w:r>
              <w:rPr>
                <w:color w:val="000000"/>
                <w:sz w:val="28"/>
                <w:szCs w:val="28"/>
                <w:lang w:bidi="ar"/>
              </w:rPr>
              <w:t>、</w:t>
            </w:r>
            <w:r>
              <w:rPr>
                <w:rFonts w:hint="eastAsia"/>
                <w:color w:val="000000"/>
                <w:sz w:val="28"/>
                <w:szCs w:val="28"/>
                <w:lang w:bidi="ar"/>
              </w:rPr>
              <w:t>区委组织部、区人力社保局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94</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lang w:bidi="ar"/>
              </w:rPr>
            </w:pPr>
            <w:r>
              <w:rPr>
                <w:rFonts w:hint="eastAsia"/>
                <w:color w:val="000000"/>
                <w:sz w:val="28"/>
                <w:szCs w:val="28"/>
                <w:lang w:bidi="ar"/>
              </w:rPr>
              <w:t>指导工业企业开展融资工作。搭建政银企对接平台，组织参加政银企对接会，为企业协调授信。通过渝企金服平台查看企业申请贷款台账、应急转贷数据、商业价值信用贷数据。</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color w:val="000000"/>
                <w:sz w:val="28"/>
                <w:szCs w:val="28"/>
                <w:lang w:bidi="ar"/>
              </w:rPr>
            </w:pPr>
          </w:p>
          <w:p>
            <w:pPr>
              <w:widowControl/>
              <w:spacing w:line="320" w:lineRule="atLeast"/>
              <w:jc w:val="left"/>
              <w:textAlignment w:val="center"/>
              <w:rPr>
                <w:color w:val="000000"/>
                <w:sz w:val="28"/>
                <w:szCs w:val="28"/>
                <w:lang w:bidi="ar"/>
              </w:rPr>
            </w:pPr>
            <w:r>
              <w:rPr>
                <w:rFonts w:hint="eastAsia"/>
                <w:color w:val="000000"/>
                <w:sz w:val="28"/>
                <w:szCs w:val="28"/>
                <w:lang w:bidi="ar"/>
              </w:rPr>
              <w:t>区</w:t>
            </w:r>
            <w:r>
              <w:rPr>
                <w:color w:val="000000"/>
                <w:sz w:val="28"/>
                <w:szCs w:val="28"/>
                <w:lang w:bidi="ar"/>
              </w:rPr>
              <w:t>经济信息委、区政府办公室</w:t>
            </w:r>
          </w:p>
          <w:p>
            <w:pPr>
              <w:widowControl/>
              <w:spacing w:line="320" w:lineRule="atLeast"/>
              <w:jc w:val="left"/>
              <w:textAlignment w:val="center"/>
              <w:rPr>
                <w:color w:val="000000"/>
                <w:sz w:val="28"/>
                <w:szCs w:val="28"/>
                <w:lang w:bidi="ar"/>
              </w:rPr>
            </w:pP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95</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持续完善个体工商户分型分类精准培育机制，开展</w:t>
            </w:r>
            <w:r>
              <w:rPr>
                <w:rFonts w:hint="eastAsia"/>
                <w:color w:val="000000"/>
                <w:sz w:val="28"/>
                <w:szCs w:val="28"/>
                <w:lang w:bidi="ar"/>
              </w:rPr>
              <w:t>“</w:t>
            </w:r>
            <w:r>
              <w:rPr>
                <w:color w:val="000000"/>
                <w:sz w:val="28"/>
                <w:szCs w:val="28"/>
                <w:lang w:bidi="ar"/>
              </w:rPr>
              <w:t>名特优新</w:t>
            </w:r>
            <w:r>
              <w:rPr>
                <w:rFonts w:hint="eastAsia"/>
                <w:color w:val="000000"/>
                <w:sz w:val="28"/>
                <w:szCs w:val="28"/>
                <w:lang w:bidi="ar"/>
              </w:rPr>
              <w:t>”</w:t>
            </w:r>
            <w:r>
              <w:rPr>
                <w:color w:val="000000"/>
                <w:sz w:val="28"/>
                <w:szCs w:val="28"/>
                <w:lang w:bidi="ar"/>
              </w:rPr>
              <w:t>分类申报确定，推进个体工商户梯次培育多元发展。</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rPr>
                <w:color w:val="000000"/>
                <w:sz w:val="28"/>
                <w:szCs w:val="28"/>
                <w:lang w:bidi="ar"/>
              </w:rPr>
            </w:pPr>
            <w:r>
              <w:rPr>
                <w:color w:val="000000"/>
                <w:sz w:val="28"/>
                <w:szCs w:val="28"/>
                <w:lang w:bidi="ar"/>
              </w:rPr>
              <w:t>区市场监管局</w:t>
            </w:r>
          </w:p>
        </w:tc>
      </w:tr>
      <w:tr>
        <w:tblPrEx>
          <w:tblCellMar>
            <w:top w:w="0" w:type="dxa"/>
            <w:left w:w="108" w:type="dxa"/>
            <w:bottom w:w="0" w:type="dxa"/>
            <w:right w:w="108" w:type="dxa"/>
          </w:tblCellMar>
        </w:tblPrEx>
        <w:trPr>
          <w:trHeight w:val="31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黑体_GBK" w:cs="方正黑体_GBK"/>
                <w:color w:val="000000"/>
                <w:sz w:val="28"/>
                <w:szCs w:val="28"/>
                <w:lang w:bidi="ar"/>
              </w:rPr>
            </w:pPr>
            <w:r>
              <w:rPr>
                <w:rFonts w:eastAsia="方正黑体_GBK" w:cs="方正黑体_GBK"/>
                <w:color w:val="000000"/>
                <w:sz w:val="28"/>
                <w:szCs w:val="28"/>
                <w:lang w:bidi="ar"/>
              </w:rPr>
              <w:t>五、提升创新环境专项行动</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（一）加速集聚高端创新资源（牵头单位：区科技局）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96</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支持科技企业申报市级重大（重点）专项、组织指导企业申报企业科技攻关联合行动计划。</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区科技局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rPr>
            </w:pPr>
            <w:r>
              <w:rPr>
                <w:rFonts w:hint="eastAsia"/>
                <w:color w:val="000000"/>
                <w:sz w:val="28"/>
                <w:szCs w:val="28"/>
                <w:lang w:bidi="ar"/>
              </w:rPr>
              <w:t>97</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支持科技企业申报市级技术创新中心，提升企业创新能力。</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区科技局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rPr>
              <w:t>98</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lang w:bidi="ar"/>
              </w:rPr>
              <w:t>完善成果转化链条，集聚科技金融、知识产权服务等功能，促进科技成果转化落地。</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区科技局、区市场监管局</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（二）健全创新服务体系（牵头单位：区科技局）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rPr>
            </w:pPr>
            <w:r>
              <w:rPr>
                <w:rFonts w:hint="eastAsia"/>
                <w:color w:val="000000"/>
                <w:sz w:val="28"/>
                <w:szCs w:val="28"/>
                <w:lang w:bidi="ar"/>
              </w:rPr>
              <w:t>99</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lang w:bidi="ar"/>
              </w:rPr>
              <w:t>深入实施高新技术企业和科技型企业</w:t>
            </w:r>
            <w:r>
              <w:rPr>
                <w:rFonts w:hint="eastAsia"/>
                <w:color w:val="000000"/>
                <w:sz w:val="28"/>
                <w:szCs w:val="28"/>
                <w:lang w:bidi="ar"/>
              </w:rPr>
              <w:t>“</w:t>
            </w:r>
            <w:r>
              <w:rPr>
                <w:color w:val="000000"/>
                <w:sz w:val="28"/>
                <w:szCs w:val="28"/>
                <w:lang w:bidi="ar"/>
              </w:rPr>
              <w:t>双倍增</w:t>
            </w:r>
            <w:r>
              <w:rPr>
                <w:rFonts w:hint="eastAsia"/>
                <w:color w:val="000000"/>
                <w:sz w:val="28"/>
                <w:szCs w:val="28"/>
                <w:lang w:bidi="ar"/>
              </w:rPr>
              <w:t>”</w:t>
            </w:r>
            <w:r>
              <w:rPr>
                <w:color w:val="000000"/>
                <w:sz w:val="28"/>
                <w:szCs w:val="28"/>
                <w:lang w:bidi="ar"/>
              </w:rPr>
              <w:t>行动计划，制定对接镇街（园区）工作方案，协同镇街、科技服务机构走访动员入库科技型企业、申报高新技术企业，2025年新培育科技型企业200家，引育高新技术企业50家。</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区科技局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100</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聚焦生物医药等重点领域，在研究开发、技术转移转化、专业技术服务等方向，引入一批具有核心竞争力的科技服务业增量项目，打造科技服务产业集群。构建动态培育清单，联合街道（园区）对</w:t>
            </w:r>
            <w:r>
              <w:rPr>
                <w:rFonts w:hint="eastAsia"/>
                <w:color w:val="000000"/>
                <w:sz w:val="28"/>
                <w:szCs w:val="28"/>
              </w:rPr>
              <w:t>“</w:t>
            </w:r>
            <w:r>
              <w:rPr>
                <w:color w:val="000000"/>
                <w:sz w:val="28"/>
                <w:szCs w:val="28"/>
              </w:rPr>
              <w:t>已达标</w:t>
            </w:r>
            <w:r>
              <w:rPr>
                <w:rFonts w:hint="eastAsia"/>
                <w:color w:val="000000"/>
                <w:sz w:val="28"/>
                <w:szCs w:val="28"/>
              </w:rPr>
              <w:t>”</w:t>
            </w:r>
            <w:r>
              <w:rPr>
                <w:color w:val="000000"/>
                <w:sz w:val="28"/>
                <w:szCs w:val="28"/>
              </w:rPr>
              <w:t>企业，逐户做好发展研判，重点指导完善申报材料，确保及时申报入统；对</w:t>
            </w:r>
            <w:r>
              <w:rPr>
                <w:rFonts w:hint="eastAsia"/>
                <w:color w:val="000000"/>
                <w:sz w:val="28"/>
                <w:szCs w:val="28"/>
              </w:rPr>
              <w:t>“</w:t>
            </w:r>
            <w:r>
              <w:rPr>
                <w:color w:val="000000"/>
                <w:sz w:val="28"/>
                <w:szCs w:val="28"/>
              </w:rPr>
              <w:t>成长期</w:t>
            </w:r>
            <w:r>
              <w:rPr>
                <w:rFonts w:hint="eastAsia"/>
                <w:color w:val="000000"/>
                <w:sz w:val="28"/>
                <w:szCs w:val="28"/>
              </w:rPr>
              <w:t>”</w:t>
            </w:r>
            <w:r>
              <w:rPr>
                <w:color w:val="000000"/>
                <w:sz w:val="28"/>
                <w:szCs w:val="28"/>
              </w:rPr>
              <w:t>企业，建立常态化沟通对接机制，协同部门解决融资、技术、人才等需求，宣传减税降费、产业支持等惠企政策，推动尽快达标。</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区科技局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rPr>
              <w:t>1</w:t>
            </w:r>
            <w:r>
              <w:rPr>
                <w:rFonts w:hint="eastAsia"/>
                <w:color w:val="000000"/>
                <w:sz w:val="28"/>
                <w:szCs w:val="28"/>
              </w:rPr>
              <w:t>01</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升级建设环大学创新创业生态圈，提质打造重庆大学概念验证中心等校地合作平台，推动师生就地创新创业。</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区科技局</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（三）加大科技投入力度（牵头单位：区科技局）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lang w:bidi="ar"/>
              </w:rPr>
            </w:pPr>
            <w:r>
              <w:rPr>
                <w:color w:val="000000"/>
                <w:sz w:val="28"/>
                <w:szCs w:val="28"/>
                <w:lang w:bidi="ar"/>
              </w:rPr>
              <w:t>1</w:t>
            </w:r>
            <w:r>
              <w:rPr>
                <w:rFonts w:hint="eastAsia"/>
                <w:color w:val="000000"/>
                <w:sz w:val="28"/>
                <w:szCs w:val="28"/>
                <w:lang w:bidi="ar"/>
              </w:rPr>
              <w:t>02</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针对临床成果转化等领域，积极寻求市区相关部门支持，争取为临床转化所需的委托研发、工艺设计、概念验证、检测评估、动物实验等专业技术服务环节提供政策扶持。</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区科技局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rPr>
            </w:pPr>
            <w:r>
              <w:rPr>
                <w:color w:val="000000"/>
                <w:sz w:val="28"/>
                <w:szCs w:val="28"/>
                <w:lang w:bidi="ar"/>
              </w:rPr>
              <w:t>1</w:t>
            </w:r>
            <w:r>
              <w:rPr>
                <w:rFonts w:hint="eastAsia"/>
                <w:color w:val="000000"/>
                <w:sz w:val="28"/>
                <w:szCs w:val="28"/>
                <w:lang w:bidi="ar"/>
              </w:rPr>
              <w:t>03</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支持人才团队、初创企业积极申报市级种子基金，协调区级验证基金、专项产业基金等投资衔接机制，打造多层次金融服务体系。</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区科技局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rPr>
                <w:color w:val="000000"/>
                <w:sz w:val="28"/>
                <w:szCs w:val="28"/>
              </w:rPr>
            </w:pPr>
            <w:r>
              <w:rPr>
                <w:color w:val="000000"/>
                <w:sz w:val="28"/>
                <w:szCs w:val="28"/>
                <w:lang w:bidi="ar"/>
              </w:rPr>
              <w:t>1</w:t>
            </w:r>
            <w:r>
              <w:rPr>
                <w:rFonts w:hint="eastAsia"/>
                <w:color w:val="000000"/>
                <w:sz w:val="28"/>
                <w:szCs w:val="28"/>
                <w:lang w:bidi="ar"/>
              </w:rPr>
              <w:t>04</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谋划科技创新平台、成果孵化转化体系建设，积极申报地方科技发展专项资金，助力区域科技创新能力提升；及时兑付国家高新技术企业、企业创新联合体、重庆市科学奖励等区级奖励经费，引导企业开展技术创新。</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区科技局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rPr>
              <w:t>1</w:t>
            </w:r>
            <w:r>
              <w:rPr>
                <w:rFonts w:hint="eastAsia"/>
                <w:color w:val="000000"/>
                <w:sz w:val="28"/>
                <w:szCs w:val="28"/>
              </w:rPr>
              <w:t>05</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大力推广科技创新再贷款、创新积分制等科技金融政策，继续开展知识价值信用贷款试点工作，稳定保持对企业创新的金融支持。</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区科技局</w:t>
            </w:r>
          </w:p>
        </w:tc>
      </w:tr>
      <w:tr>
        <w:tblPrEx>
          <w:tblCellMar>
            <w:top w:w="0" w:type="dxa"/>
            <w:left w:w="108" w:type="dxa"/>
            <w:bottom w:w="0" w:type="dxa"/>
            <w:right w:w="108" w:type="dxa"/>
          </w:tblCellMar>
        </w:tblPrEx>
        <w:trPr>
          <w:trHeight w:val="100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（四）健全高素质人才梯次引育体系（牵头单位：区人力社保局）</w:t>
            </w:r>
          </w:p>
        </w:tc>
      </w:tr>
      <w:tr>
        <w:tblPrEx>
          <w:tblCellMar>
            <w:top w:w="0" w:type="dxa"/>
            <w:left w:w="108" w:type="dxa"/>
            <w:bottom w:w="0" w:type="dxa"/>
            <w:right w:w="108" w:type="dxa"/>
          </w:tblCellMar>
        </w:tblPrEx>
        <w:trPr>
          <w:trHeight w:val="1422"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lang w:bidi="ar"/>
              </w:rPr>
              <w:t>1</w:t>
            </w:r>
            <w:r>
              <w:rPr>
                <w:rFonts w:hint="eastAsia"/>
                <w:color w:val="000000"/>
                <w:sz w:val="28"/>
                <w:szCs w:val="28"/>
                <w:lang w:bidi="ar"/>
              </w:rPr>
              <w:t>06</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配合开展留学人员管理服务</w:t>
            </w:r>
            <w:r>
              <w:rPr>
                <w:rFonts w:hint="eastAsia"/>
                <w:color w:val="000000"/>
                <w:sz w:val="28"/>
                <w:szCs w:val="28"/>
              </w:rPr>
              <w:t>“</w:t>
            </w:r>
            <w:r>
              <w:rPr>
                <w:color w:val="000000"/>
                <w:sz w:val="28"/>
                <w:szCs w:val="28"/>
              </w:rPr>
              <w:t>一件事</w:t>
            </w:r>
            <w:r>
              <w:rPr>
                <w:rFonts w:hint="eastAsia"/>
                <w:color w:val="000000"/>
                <w:sz w:val="28"/>
                <w:szCs w:val="28"/>
              </w:rPr>
              <w:t>”</w:t>
            </w:r>
            <w:r>
              <w:rPr>
                <w:color w:val="000000"/>
                <w:sz w:val="28"/>
                <w:szCs w:val="28"/>
              </w:rPr>
              <w:t>改革试点，拓展综合应用场景，提升留学人员办事便捷性。</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lang w:bidi="ar"/>
              </w:rPr>
              <w:t>1</w:t>
            </w:r>
            <w:r>
              <w:rPr>
                <w:rFonts w:hint="eastAsia"/>
                <w:color w:val="000000"/>
                <w:sz w:val="28"/>
                <w:szCs w:val="28"/>
                <w:lang w:bidi="ar"/>
              </w:rPr>
              <w:t>07</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实施</w:t>
            </w:r>
            <w:r>
              <w:rPr>
                <w:rFonts w:hint="eastAsia"/>
                <w:color w:val="000000"/>
                <w:sz w:val="28"/>
                <w:szCs w:val="28"/>
              </w:rPr>
              <w:t>“</w:t>
            </w:r>
            <w:r>
              <w:rPr>
                <w:color w:val="000000"/>
                <w:sz w:val="28"/>
                <w:szCs w:val="28"/>
              </w:rPr>
              <w:t>留创计划</w:t>
            </w:r>
            <w:r>
              <w:rPr>
                <w:rFonts w:hint="eastAsia"/>
                <w:color w:val="000000"/>
                <w:sz w:val="28"/>
                <w:szCs w:val="28"/>
              </w:rPr>
              <w:t>”</w:t>
            </w:r>
            <w:r>
              <w:rPr>
                <w:color w:val="000000"/>
                <w:sz w:val="28"/>
                <w:szCs w:val="28"/>
              </w:rPr>
              <w:t>，吸引更多留学人员来我区创业就业。</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108</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推动实施职称申报评审</w:t>
            </w:r>
            <w:r>
              <w:rPr>
                <w:rFonts w:hint="eastAsia"/>
                <w:color w:val="000000"/>
                <w:sz w:val="28"/>
                <w:szCs w:val="28"/>
              </w:rPr>
              <w:t>“</w:t>
            </w:r>
            <w:r>
              <w:rPr>
                <w:color w:val="000000"/>
                <w:sz w:val="28"/>
                <w:szCs w:val="28"/>
              </w:rPr>
              <w:t>一件事</w:t>
            </w:r>
            <w:r>
              <w:rPr>
                <w:rFonts w:hint="eastAsia"/>
                <w:color w:val="000000"/>
                <w:sz w:val="28"/>
                <w:szCs w:val="28"/>
              </w:rPr>
              <w:t>”</w:t>
            </w:r>
            <w:r>
              <w:rPr>
                <w:color w:val="000000"/>
                <w:sz w:val="28"/>
                <w:szCs w:val="28"/>
              </w:rPr>
              <w:t>、全流程线上</w:t>
            </w:r>
            <w:r>
              <w:rPr>
                <w:rFonts w:hint="eastAsia"/>
                <w:color w:val="000000"/>
                <w:sz w:val="28"/>
                <w:szCs w:val="28"/>
              </w:rPr>
              <w:t>“</w:t>
            </w:r>
            <w:r>
              <w:rPr>
                <w:color w:val="000000"/>
                <w:sz w:val="28"/>
                <w:szCs w:val="28"/>
              </w:rPr>
              <w:t>一次办</w:t>
            </w:r>
            <w:r>
              <w:rPr>
                <w:rFonts w:hint="eastAsia"/>
                <w:color w:val="000000"/>
                <w:sz w:val="28"/>
                <w:szCs w:val="28"/>
              </w:rPr>
              <w:t>”</w:t>
            </w:r>
            <w:r>
              <w:rPr>
                <w:color w:val="000000"/>
                <w:sz w:val="28"/>
                <w:szCs w:val="28"/>
              </w:rPr>
              <w:t>、公众</w:t>
            </w:r>
            <w:r>
              <w:rPr>
                <w:rFonts w:hint="eastAsia"/>
                <w:color w:val="000000"/>
                <w:sz w:val="28"/>
                <w:szCs w:val="28"/>
              </w:rPr>
              <w:t>“</w:t>
            </w:r>
            <w:r>
              <w:rPr>
                <w:color w:val="000000"/>
                <w:sz w:val="28"/>
                <w:szCs w:val="28"/>
              </w:rPr>
              <w:t>零跑路</w:t>
            </w:r>
            <w:r>
              <w:rPr>
                <w:rFonts w:hint="eastAsia"/>
                <w:color w:val="000000"/>
                <w:sz w:val="28"/>
                <w:szCs w:val="28"/>
              </w:rPr>
              <w:t>”</w:t>
            </w:r>
            <w:r>
              <w:rPr>
                <w:color w:val="000000"/>
                <w:sz w:val="28"/>
                <w:szCs w:val="28"/>
              </w:rPr>
              <w:t>模式，为申报人员提供便捷服务。</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109</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配合市级推荐人才申报2025年第一批、第二批优秀青年专项人才认定，做好</w:t>
            </w:r>
            <w:r>
              <w:rPr>
                <w:rFonts w:hint="eastAsia"/>
                <w:color w:val="000000"/>
                <w:sz w:val="28"/>
                <w:szCs w:val="28"/>
              </w:rPr>
              <w:t>“</w:t>
            </w:r>
            <w:r>
              <w:rPr>
                <w:color w:val="000000"/>
                <w:sz w:val="28"/>
                <w:szCs w:val="28"/>
              </w:rPr>
              <w:t>新重庆引才计划</w:t>
            </w:r>
            <w:r>
              <w:rPr>
                <w:rFonts w:hint="eastAsia"/>
                <w:color w:val="000000"/>
                <w:sz w:val="28"/>
                <w:szCs w:val="28"/>
              </w:rPr>
              <w:t>”</w:t>
            </w:r>
            <w:r>
              <w:rPr>
                <w:color w:val="000000"/>
                <w:sz w:val="28"/>
                <w:szCs w:val="28"/>
              </w:rPr>
              <w:t>优秀青年专项政策解读。</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jc w:val="left"/>
              <w:rPr>
                <w:color w:val="000000"/>
                <w:sz w:val="28"/>
                <w:szCs w:val="28"/>
              </w:rPr>
            </w:pPr>
            <w:r>
              <w:rPr>
                <w:color w:val="000000"/>
                <w:sz w:val="28"/>
                <w:szCs w:val="28"/>
              </w:rPr>
              <w:t>区人力社保局</w:t>
            </w:r>
          </w:p>
        </w:tc>
      </w:tr>
      <w:tr>
        <w:tblPrEx>
          <w:tblCellMar>
            <w:top w:w="0" w:type="dxa"/>
            <w:left w:w="108" w:type="dxa"/>
            <w:bottom w:w="0" w:type="dxa"/>
            <w:right w:w="108" w:type="dxa"/>
          </w:tblCellMar>
        </w:tblPrEx>
        <w:trPr>
          <w:trHeight w:val="58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黑体_GBK" w:cs="方正黑体_GBK"/>
                <w:color w:val="000000"/>
                <w:sz w:val="28"/>
                <w:szCs w:val="28"/>
                <w:lang w:bidi="ar"/>
              </w:rPr>
            </w:pPr>
            <w:r>
              <w:rPr>
                <w:rFonts w:eastAsia="方正黑体_GBK" w:cs="方正黑体_GBK"/>
                <w:color w:val="000000"/>
                <w:sz w:val="28"/>
                <w:szCs w:val="28"/>
                <w:lang w:bidi="ar"/>
              </w:rPr>
              <w:t>六、提升要素保障环境专项行动</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（一）强化能源保障（牵头单位：区发展改革委）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110</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20" w:lineRule="atLeast"/>
              <w:rPr>
                <w:color w:val="000000"/>
                <w:spacing w:val="-2"/>
                <w:sz w:val="28"/>
                <w:szCs w:val="28"/>
              </w:rPr>
            </w:pPr>
            <w:r>
              <w:rPr>
                <w:color w:val="000000"/>
                <w:spacing w:val="-2"/>
                <w:sz w:val="28"/>
                <w:szCs w:val="28"/>
              </w:rPr>
              <w:t>因地制宜发展分布式光伏等新能源，力争新增新能源发电装机1万千瓦。</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区发展改革委</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（二）强化用地保障（牵头单位：区规划自然资源局）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rPr>
              <w:t>1</w:t>
            </w:r>
            <w:r>
              <w:rPr>
                <w:rFonts w:hint="eastAsia"/>
                <w:color w:val="000000"/>
                <w:sz w:val="28"/>
                <w:szCs w:val="28"/>
              </w:rPr>
              <w:t>11</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对重大产业项目用地应保尽保，实现重大产业项目用地保障率达到100%</w:t>
            </w:r>
            <w:r>
              <w:rPr>
                <w:rFonts w:hint="eastAsia"/>
                <w:color w:val="000000"/>
                <w:spacing w:val="-2"/>
                <w:sz w:val="28"/>
                <w:szCs w:val="28"/>
              </w:rPr>
              <w:t>。</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区规划自然资源局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rPr>
              <w:t>112</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配合做好重大项目空间协同论证事项</w:t>
            </w:r>
            <w:r>
              <w:rPr>
                <w:rFonts w:hint="eastAsia"/>
                <w:color w:val="000000"/>
                <w:spacing w:val="-2"/>
                <w:sz w:val="28"/>
                <w:szCs w:val="28"/>
              </w:rPr>
              <w:t>。</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区规划自然资源局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113</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沙区推进工业项目标准地出让改革，实现新增工业项目按标准地出让比例达100%。</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区规划自然资源局</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（三）压减物流成本（牵头单位：区商务委）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lang w:bidi="ar"/>
              </w:rPr>
              <w:t>1</w:t>
            </w:r>
            <w:r>
              <w:rPr>
                <w:rFonts w:hint="eastAsia"/>
                <w:color w:val="000000"/>
                <w:sz w:val="28"/>
                <w:szCs w:val="28"/>
                <w:lang w:bidi="ar"/>
              </w:rPr>
              <w:t>14</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推动</w:t>
            </w:r>
            <w:r>
              <w:rPr>
                <w:rFonts w:hint="eastAsia"/>
                <w:color w:val="000000"/>
                <w:spacing w:val="-2"/>
                <w:sz w:val="28"/>
                <w:szCs w:val="28"/>
              </w:rPr>
              <w:t>“</w:t>
            </w:r>
            <w:r>
              <w:rPr>
                <w:color w:val="000000"/>
                <w:spacing w:val="-2"/>
                <w:sz w:val="28"/>
                <w:szCs w:val="28"/>
              </w:rPr>
              <w:t>渝车出海</w:t>
            </w:r>
            <w:r>
              <w:rPr>
                <w:rFonts w:hint="eastAsia"/>
                <w:color w:val="000000"/>
                <w:spacing w:val="-2"/>
                <w:sz w:val="28"/>
                <w:szCs w:val="28"/>
              </w:rPr>
              <w:t>”</w:t>
            </w:r>
            <w:r>
              <w:rPr>
                <w:color w:val="000000"/>
                <w:spacing w:val="-2"/>
                <w:sz w:val="28"/>
                <w:szCs w:val="28"/>
              </w:rPr>
              <w:t>，整车进出口数量持续保持内陆口岸第一</w:t>
            </w:r>
            <w:r>
              <w:rPr>
                <w:rFonts w:hint="eastAsia"/>
                <w:color w:val="000000"/>
                <w:spacing w:val="-2"/>
                <w:sz w:val="28"/>
                <w:szCs w:val="28"/>
              </w:rPr>
              <w:t>。</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国际物流枢纽公司</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（四）加强劳动力供给（牵头单位：区人力社保局）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lang w:bidi="ar"/>
              </w:rPr>
              <w:t>1</w:t>
            </w:r>
            <w:r>
              <w:rPr>
                <w:rFonts w:hint="eastAsia"/>
                <w:color w:val="000000"/>
                <w:sz w:val="28"/>
                <w:szCs w:val="28"/>
                <w:lang w:bidi="ar"/>
              </w:rPr>
              <w:t>15</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开展百日千万招聘专项行动、青年就业服务攻坚行动等公共就业服务活动，促进高校毕业生等青年留渝来渝就业创业达1.8万人。</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1</w:t>
            </w:r>
            <w:r>
              <w:rPr>
                <w:rFonts w:hint="eastAsia"/>
                <w:color w:val="000000"/>
                <w:sz w:val="28"/>
                <w:szCs w:val="28"/>
                <w:lang w:bidi="ar"/>
              </w:rPr>
              <w:t>16</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开展就业援助月、春风行动等公共就业服务专项活动，发挥</w:t>
            </w:r>
            <w:r>
              <w:rPr>
                <w:rFonts w:hint="eastAsia"/>
                <w:color w:val="000000"/>
                <w:spacing w:val="-2"/>
                <w:sz w:val="28"/>
                <w:szCs w:val="28"/>
              </w:rPr>
              <w:t>“</w:t>
            </w:r>
            <w:r>
              <w:rPr>
                <w:color w:val="000000"/>
                <w:spacing w:val="-2"/>
                <w:sz w:val="28"/>
                <w:szCs w:val="28"/>
              </w:rPr>
              <w:t>渝悦就业</w:t>
            </w:r>
            <w:r>
              <w:rPr>
                <w:rFonts w:hint="eastAsia"/>
                <w:color w:val="000000"/>
                <w:spacing w:val="-2"/>
                <w:sz w:val="28"/>
                <w:szCs w:val="28"/>
              </w:rPr>
              <w:t>”</w:t>
            </w:r>
            <w:r>
              <w:rPr>
                <w:color w:val="000000"/>
                <w:spacing w:val="-2"/>
                <w:sz w:val="28"/>
                <w:szCs w:val="28"/>
              </w:rPr>
              <w:t>重点群体就业帮扶应用场景作用，全年促进就业困难人员就业2900人。</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1</w:t>
            </w:r>
            <w:r>
              <w:rPr>
                <w:rFonts w:hint="eastAsia"/>
                <w:color w:val="000000"/>
                <w:sz w:val="28"/>
                <w:szCs w:val="28"/>
                <w:lang w:bidi="ar"/>
              </w:rPr>
              <w:t>17</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强化</w:t>
            </w:r>
            <w:r>
              <w:rPr>
                <w:rFonts w:hint="eastAsia"/>
                <w:color w:val="000000"/>
                <w:spacing w:val="-2"/>
                <w:sz w:val="28"/>
                <w:szCs w:val="28"/>
              </w:rPr>
              <w:t>“</w:t>
            </w:r>
            <w:r>
              <w:rPr>
                <w:color w:val="000000"/>
                <w:spacing w:val="-2"/>
                <w:sz w:val="28"/>
                <w:szCs w:val="28"/>
              </w:rPr>
              <w:t>培训+产业</w:t>
            </w:r>
            <w:r>
              <w:rPr>
                <w:rFonts w:hint="eastAsia"/>
                <w:color w:val="000000"/>
                <w:spacing w:val="-2"/>
                <w:sz w:val="28"/>
                <w:szCs w:val="28"/>
              </w:rPr>
              <w:t>”“</w:t>
            </w:r>
            <w:r>
              <w:rPr>
                <w:color w:val="000000"/>
                <w:spacing w:val="-2"/>
                <w:sz w:val="28"/>
                <w:szCs w:val="28"/>
              </w:rPr>
              <w:t>培训+评价</w:t>
            </w:r>
            <w:r>
              <w:rPr>
                <w:rFonts w:hint="eastAsia"/>
                <w:color w:val="000000"/>
                <w:spacing w:val="-2"/>
                <w:sz w:val="28"/>
                <w:szCs w:val="28"/>
              </w:rPr>
              <w:t>”“</w:t>
            </w:r>
            <w:r>
              <w:rPr>
                <w:color w:val="000000"/>
                <w:spacing w:val="-2"/>
                <w:sz w:val="28"/>
                <w:szCs w:val="28"/>
              </w:rPr>
              <w:t>培训+就业</w:t>
            </w:r>
            <w:r>
              <w:rPr>
                <w:rFonts w:hint="eastAsia"/>
                <w:color w:val="000000"/>
                <w:spacing w:val="-2"/>
                <w:sz w:val="28"/>
                <w:szCs w:val="28"/>
              </w:rPr>
              <w:t>”</w:t>
            </w:r>
            <w:r>
              <w:rPr>
                <w:color w:val="000000"/>
                <w:spacing w:val="-2"/>
                <w:sz w:val="28"/>
                <w:szCs w:val="28"/>
              </w:rPr>
              <w:t>联动，开展企业职业技能培训需求收集工作，实施急需紧缺项目制职业技能培训，开展补贴性职业技能培训5500人次以上，重点群体培训占比、培训总体就业率均保持在60%以上。</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1</w:t>
            </w:r>
            <w:r>
              <w:rPr>
                <w:rFonts w:hint="eastAsia"/>
                <w:color w:val="000000"/>
                <w:sz w:val="28"/>
                <w:szCs w:val="28"/>
                <w:lang w:bidi="ar"/>
              </w:rPr>
              <w:t>18</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持续完善创业培训、创业服务、创业孵化、创业活动</w:t>
            </w:r>
            <w:r>
              <w:rPr>
                <w:rFonts w:hint="eastAsia"/>
                <w:color w:val="000000"/>
                <w:spacing w:val="-2"/>
                <w:sz w:val="28"/>
                <w:szCs w:val="28"/>
              </w:rPr>
              <w:t>“</w:t>
            </w:r>
            <w:r>
              <w:rPr>
                <w:color w:val="000000"/>
                <w:spacing w:val="-2"/>
                <w:sz w:val="28"/>
                <w:szCs w:val="28"/>
              </w:rPr>
              <w:t>四创联动</w:t>
            </w:r>
            <w:r>
              <w:rPr>
                <w:rFonts w:hint="eastAsia"/>
                <w:color w:val="000000"/>
                <w:spacing w:val="-2"/>
                <w:sz w:val="28"/>
                <w:szCs w:val="28"/>
              </w:rPr>
              <w:t>”</w:t>
            </w:r>
            <w:r>
              <w:rPr>
                <w:color w:val="000000"/>
                <w:spacing w:val="-2"/>
                <w:sz w:val="28"/>
                <w:szCs w:val="28"/>
              </w:rPr>
              <w:t>支持体系，提供创业指导50人次、创业培训500人次。</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119</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迭代升级</w:t>
            </w:r>
            <w:r>
              <w:rPr>
                <w:rFonts w:hint="eastAsia"/>
                <w:color w:val="000000"/>
                <w:spacing w:val="-2"/>
                <w:sz w:val="28"/>
                <w:szCs w:val="28"/>
              </w:rPr>
              <w:t>“</w:t>
            </w:r>
            <w:r>
              <w:rPr>
                <w:color w:val="000000"/>
                <w:spacing w:val="-2"/>
                <w:sz w:val="28"/>
                <w:szCs w:val="28"/>
              </w:rPr>
              <w:t>发单、接单、派单、评单</w:t>
            </w:r>
            <w:r>
              <w:rPr>
                <w:rFonts w:hint="eastAsia"/>
                <w:color w:val="000000"/>
                <w:spacing w:val="-2"/>
                <w:sz w:val="28"/>
                <w:szCs w:val="28"/>
              </w:rPr>
              <w:t>”</w:t>
            </w:r>
            <w:r>
              <w:rPr>
                <w:color w:val="000000"/>
                <w:spacing w:val="-2"/>
                <w:sz w:val="28"/>
                <w:szCs w:val="28"/>
              </w:rPr>
              <w:t>工作流程，动态掌握企业用工需求，实现重点企业紧急用工服务响应率达100%。</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区人力社保局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lang w:bidi="ar"/>
              </w:rPr>
              <w:t>1</w:t>
            </w:r>
            <w:r>
              <w:rPr>
                <w:rFonts w:hint="eastAsia"/>
                <w:color w:val="000000"/>
                <w:sz w:val="28"/>
                <w:szCs w:val="28"/>
                <w:lang w:bidi="ar"/>
              </w:rPr>
              <w:t>20</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实施</w:t>
            </w:r>
            <w:r>
              <w:rPr>
                <w:rFonts w:hint="eastAsia"/>
                <w:color w:val="000000"/>
                <w:spacing w:val="-2"/>
                <w:sz w:val="28"/>
                <w:szCs w:val="28"/>
              </w:rPr>
              <w:t>“</w:t>
            </w:r>
            <w:r>
              <w:rPr>
                <w:color w:val="000000"/>
                <w:spacing w:val="-2"/>
                <w:sz w:val="28"/>
                <w:szCs w:val="28"/>
              </w:rPr>
              <w:t>稳岗扩岗</w:t>
            </w:r>
            <w:r>
              <w:rPr>
                <w:rFonts w:hint="eastAsia"/>
                <w:color w:val="000000"/>
                <w:spacing w:val="-2"/>
                <w:sz w:val="28"/>
                <w:szCs w:val="28"/>
              </w:rPr>
              <w:t>”</w:t>
            </w:r>
            <w:r>
              <w:rPr>
                <w:color w:val="000000"/>
                <w:spacing w:val="-2"/>
                <w:sz w:val="28"/>
                <w:szCs w:val="28"/>
              </w:rPr>
              <w:t>就业容量拓展工程，推动城镇新增就业3万人以上。</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区人力社保局</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（五）完善融资服务体系（牵头单位：区政府办公室）</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121</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20" w:lineRule="atLeast"/>
              <w:rPr>
                <w:color w:val="000000"/>
                <w:spacing w:val="-2"/>
                <w:sz w:val="28"/>
                <w:szCs w:val="28"/>
              </w:rPr>
            </w:pPr>
            <w:r>
              <w:rPr>
                <w:color w:val="000000"/>
                <w:spacing w:val="-2"/>
                <w:sz w:val="28"/>
                <w:szCs w:val="28"/>
              </w:rPr>
              <w:t>鼓励银行机构数字化转型，优化信贷审批流程，缩短信贷审批时间。</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区政府办公室</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1</w:t>
            </w:r>
            <w:r>
              <w:rPr>
                <w:rFonts w:hint="eastAsia"/>
                <w:color w:val="000000"/>
                <w:sz w:val="28"/>
                <w:szCs w:val="28"/>
                <w:lang w:bidi="ar"/>
              </w:rPr>
              <w:t>22</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20" w:lineRule="atLeast"/>
              <w:rPr>
                <w:color w:val="000000"/>
                <w:spacing w:val="-2"/>
                <w:sz w:val="28"/>
                <w:szCs w:val="28"/>
              </w:rPr>
            </w:pPr>
            <w:r>
              <w:rPr>
                <w:color w:val="000000"/>
                <w:spacing w:val="-2"/>
                <w:sz w:val="28"/>
                <w:szCs w:val="28"/>
              </w:rPr>
              <w:t>开展银政企对接活动，推动项目融资对接，降低企业融资压力。</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区政府办公室</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1</w:t>
            </w:r>
            <w:r>
              <w:rPr>
                <w:rFonts w:hint="eastAsia"/>
                <w:color w:val="000000"/>
                <w:sz w:val="28"/>
                <w:szCs w:val="28"/>
                <w:lang w:bidi="ar"/>
              </w:rPr>
              <w:t>23</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20" w:lineRule="atLeast"/>
              <w:rPr>
                <w:color w:val="000000"/>
                <w:spacing w:val="-2"/>
                <w:sz w:val="28"/>
                <w:szCs w:val="28"/>
              </w:rPr>
            </w:pPr>
            <w:r>
              <w:rPr>
                <w:color w:val="000000"/>
                <w:spacing w:val="-2"/>
                <w:sz w:val="28"/>
                <w:szCs w:val="28"/>
              </w:rPr>
              <w:t>增加信用贷款产品供给，鼓励驻区银行机构宣传推广</w:t>
            </w:r>
            <w:r>
              <w:rPr>
                <w:rFonts w:hint="eastAsia"/>
                <w:color w:val="000000"/>
                <w:spacing w:val="-2"/>
                <w:sz w:val="28"/>
                <w:szCs w:val="28"/>
              </w:rPr>
              <w:t>“</w:t>
            </w:r>
            <w:r>
              <w:rPr>
                <w:color w:val="000000"/>
                <w:spacing w:val="-2"/>
                <w:sz w:val="28"/>
                <w:szCs w:val="28"/>
              </w:rPr>
              <w:t>自动续贷</w:t>
            </w:r>
            <w:r>
              <w:rPr>
                <w:rFonts w:hint="eastAsia"/>
                <w:color w:val="000000"/>
                <w:spacing w:val="-2"/>
                <w:sz w:val="28"/>
                <w:szCs w:val="28"/>
              </w:rPr>
              <w:t>”“</w:t>
            </w:r>
            <w:r>
              <w:rPr>
                <w:color w:val="000000"/>
                <w:spacing w:val="-2"/>
                <w:sz w:val="28"/>
                <w:szCs w:val="28"/>
              </w:rPr>
              <w:t>随借随还</w:t>
            </w:r>
            <w:r>
              <w:rPr>
                <w:rFonts w:hint="eastAsia"/>
                <w:color w:val="000000"/>
                <w:spacing w:val="-2"/>
                <w:sz w:val="28"/>
                <w:szCs w:val="28"/>
              </w:rPr>
              <w:t>”</w:t>
            </w:r>
            <w:r>
              <w:rPr>
                <w:color w:val="000000"/>
                <w:spacing w:val="-2"/>
                <w:sz w:val="28"/>
                <w:szCs w:val="28"/>
              </w:rPr>
              <w:t>信贷产品，力争实现企业类信用贷款增速高于一般贷款增速。</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区政府办公室</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1</w:t>
            </w:r>
            <w:r>
              <w:rPr>
                <w:rFonts w:hint="eastAsia"/>
                <w:color w:val="000000"/>
                <w:sz w:val="28"/>
                <w:szCs w:val="28"/>
                <w:lang w:bidi="ar"/>
              </w:rPr>
              <w:t>24</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20" w:lineRule="atLeast"/>
              <w:rPr>
                <w:color w:val="000000"/>
                <w:spacing w:val="-2"/>
                <w:sz w:val="28"/>
                <w:szCs w:val="28"/>
              </w:rPr>
            </w:pPr>
            <w:r>
              <w:rPr>
                <w:color w:val="000000"/>
                <w:spacing w:val="-2"/>
                <w:sz w:val="28"/>
                <w:szCs w:val="28"/>
              </w:rPr>
              <w:t>加强先进制造、科技创新、产业园区等重点领域金融支持，引导银行创新服务于科技创新、绿色转型的专属产品。</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区政府办公室</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1</w:t>
            </w:r>
            <w:r>
              <w:rPr>
                <w:rFonts w:hint="eastAsia"/>
                <w:color w:val="000000"/>
                <w:sz w:val="28"/>
                <w:szCs w:val="28"/>
                <w:lang w:bidi="ar"/>
              </w:rPr>
              <w:t>25</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20" w:lineRule="atLeast"/>
              <w:rPr>
                <w:color w:val="000000"/>
                <w:spacing w:val="-2"/>
                <w:sz w:val="28"/>
                <w:szCs w:val="28"/>
              </w:rPr>
            </w:pPr>
            <w:r>
              <w:rPr>
                <w:color w:val="000000"/>
                <w:spacing w:val="-2"/>
                <w:sz w:val="28"/>
                <w:szCs w:val="28"/>
              </w:rPr>
              <w:t>深化实施</w:t>
            </w:r>
            <w:r>
              <w:rPr>
                <w:rFonts w:hint="eastAsia"/>
                <w:color w:val="000000"/>
                <w:spacing w:val="-2"/>
                <w:sz w:val="28"/>
                <w:szCs w:val="28"/>
              </w:rPr>
              <w:t>“</w:t>
            </w:r>
            <w:r>
              <w:rPr>
                <w:color w:val="000000"/>
                <w:spacing w:val="-2"/>
                <w:sz w:val="28"/>
                <w:szCs w:val="28"/>
              </w:rPr>
              <w:t>智融惠畅</w:t>
            </w:r>
            <w:r>
              <w:rPr>
                <w:rFonts w:hint="eastAsia"/>
                <w:color w:val="000000"/>
                <w:spacing w:val="-2"/>
                <w:sz w:val="28"/>
                <w:szCs w:val="28"/>
              </w:rPr>
              <w:t>”</w:t>
            </w:r>
            <w:r>
              <w:rPr>
                <w:color w:val="000000"/>
                <w:spacing w:val="-2"/>
                <w:sz w:val="28"/>
                <w:szCs w:val="28"/>
              </w:rPr>
              <w:t>工程，金融业增加值达到110亿元。</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区政府办公室</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rPr>
              <w:t>1</w:t>
            </w:r>
            <w:r>
              <w:rPr>
                <w:rFonts w:hint="eastAsia"/>
                <w:color w:val="000000"/>
                <w:sz w:val="28"/>
                <w:szCs w:val="28"/>
              </w:rPr>
              <w:t>26</w:t>
            </w:r>
          </w:p>
        </w:tc>
        <w:tc>
          <w:tcPr>
            <w:tcW w:w="5869" w:type="dxa"/>
            <w:tcBorders>
              <w:top w:val="nil"/>
              <w:left w:val="single" w:color="000000" w:sz="8" w:space="0"/>
              <w:bottom w:val="single" w:color="000000" w:sz="8" w:space="0"/>
              <w:right w:val="single" w:color="000000" w:sz="8" w:space="0"/>
            </w:tcBorders>
            <w:shd w:val="clear" w:color="auto" w:fill="auto"/>
          </w:tcPr>
          <w:p>
            <w:pPr>
              <w:snapToGrid w:val="0"/>
              <w:spacing w:line="320" w:lineRule="atLeast"/>
              <w:rPr>
                <w:color w:val="000000"/>
                <w:spacing w:val="-2"/>
                <w:sz w:val="28"/>
                <w:szCs w:val="28"/>
              </w:rPr>
            </w:pPr>
            <w:r>
              <w:rPr>
                <w:color w:val="000000"/>
                <w:spacing w:val="-2"/>
                <w:sz w:val="28"/>
                <w:szCs w:val="28"/>
              </w:rPr>
              <w:t>鼓励银行机构数字化转型，优化信贷审批流程，缩短信贷审批时间。</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区政府办公室</w:t>
            </w:r>
          </w:p>
        </w:tc>
      </w:tr>
      <w:tr>
        <w:tblPrEx>
          <w:tblCellMar>
            <w:top w:w="0" w:type="dxa"/>
            <w:left w:w="108" w:type="dxa"/>
            <w:bottom w:w="0" w:type="dxa"/>
            <w:right w:w="108" w:type="dxa"/>
          </w:tblCellMar>
        </w:tblPrEx>
        <w:trPr>
          <w:trHeight w:val="58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黑体_GBK" w:cs="方正黑体_GBK"/>
                <w:color w:val="000000"/>
                <w:sz w:val="28"/>
                <w:szCs w:val="28"/>
                <w:lang w:bidi="ar"/>
              </w:rPr>
            </w:pPr>
            <w:r>
              <w:rPr>
                <w:rFonts w:eastAsia="方正黑体_GBK" w:cs="方正黑体_GBK"/>
                <w:color w:val="000000"/>
                <w:sz w:val="28"/>
                <w:szCs w:val="28"/>
                <w:lang w:bidi="ar"/>
              </w:rPr>
              <w:t>七、打造</w:t>
            </w:r>
            <w:r>
              <w:rPr>
                <w:rFonts w:hint="eastAsia" w:eastAsia="方正黑体_GBK" w:cs="方正黑体_GBK"/>
                <w:color w:val="000000"/>
                <w:sz w:val="28"/>
                <w:szCs w:val="28"/>
                <w:lang w:bidi="ar"/>
              </w:rPr>
              <w:t>“</w:t>
            </w:r>
            <w:r>
              <w:rPr>
                <w:rFonts w:eastAsia="方正黑体_GBK" w:cs="方正黑体_GBK"/>
                <w:color w:val="000000"/>
                <w:sz w:val="28"/>
                <w:szCs w:val="28"/>
                <w:lang w:bidi="ar"/>
              </w:rPr>
              <w:t>信用重庆</w:t>
            </w:r>
            <w:r>
              <w:rPr>
                <w:rFonts w:hint="eastAsia" w:eastAsia="方正黑体_GBK" w:cs="方正黑体_GBK"/>
                <w:color w:val="000000"/>
                <w:sz w:val="28"/>
                <w:szCs w:val="28"/>
                <w:lang w:bidi="ar"/>
              </w:rPr>
              <w:t>”</w:t>
            </w:r>
            <w:r>
              <w:rPr>
                <w:rFonts w:eastAsia="方正黑体_GBK" w:cs="方正黑体_GBK"/>
                <w:color w:val="000000"/>
                <w:sz w:val="28"/>
                <w:szCs w:val="28"/>
                <w:lang w:bidi="ar"/>
              </w:rPr>
              <w:t>升级版专项行动</w:t>
            </w:r>
          </w:p>
        </w:tc>
      </w:tr>
      <w:tr>
        <w:tblPrEx>
          <w:tblCellMar>
            <w:top w:w="0" w:type="dxa"/>
            <w:left w:w="108" w:type="dxa"/>
            <w:bottom w:w="0" w:type="dxa"/>
            <w:right w:w="108" w:type="dxa"/>
          </w:tblCellMar>
        </w:tblPrEx>
        <w:trPr>
          <w:trHeight w:val="591"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（一）加强政府守信践诺（牵头单位：区发展改革委）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lang w:bidi="ar"/>
              </w:rPr>
              <w:t>1</w:t>
            </w:r>
            <w:r>
              <w:rPr>
                <w:rFonts w:hint="eastAsia"/>
                <w:color w:val="000000"/>
                <w:sz w:val="28"/>
                <w:szCs w:val="28"/>
                <w:lang w:bidi="ar"/>
              </w:rPr>
              <w:t>27</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核实政府机构在政府采购、项目建设、招商引资等领域不履行约定义务的失信线索，督导政府机构纠正失信行为，解决</w:t>
            </w:r>
            <w:r>
              <w:rPr>
                <w:rFonts w:hint="eastAsia"/>
                <w:color w:val="000000"/>
                <w:spacing w:val="-2"/>
                <w:sz w:val="28"/>
                <w:szCs w:val="28"/>
              </w:rPr>
              <w:t>“</w:t>
            </w:r>
            <w:r>
              <w:rPr>
                <w:color w:val="000000"/>
                <w:spacing w:val="-2"/>
                <w:sz w:val="28"/>
                <w:szCs w:val="28"/>
              </w:rPr>
              <w:t>新官不理旧账</w:t>
            </w:r>
            <w:r>
              <w:rPr>
                <w:rFonts w:hint="eastAsia"/>
                <w:color w:val="000000"/>
                <w:spacing w:val="-2"/>
                <w:sz w:val="28"/>
                <w:szCs w:val="28"/>
              </w:rPr>
              <w:t>”</w:t>
            </w:r>
            <w:r>
              <w:rPr>
                <w:color w:val="000000"/>
                <w:spacing w:val="-2"/>
                <w:sz w:val="28"/>
                <w:szCs w:val="28"/>
              </w:rPr>
              <w:t>。</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区发展改革委</w:t>
            </w:r>
            <w:r>
              <w:rPr>
                <w:rFonts w:hint="eastAsia"/>
                <w:color w:val="000000"/>
                <w:spacing w:val="-2"/>
                <w:sz w:val="28"/>
                <w:szCs w:val="28"/>
              </w:rPr>
              <w:t>、</w:t>
            </w:r>
          </w:p>
          <w:p>
            <w:pPr>
              <w:snapToGrid w:val="0"/>
              <w:spacing w:line="320" w:lineRule="atLeast"/>
              <w:rPr>
                <w:color w:val="000000"/>
                <w:spacing w:val="-2"/>
                <w:sz w:val="28"/>
                <w:szCs w:val="28"/>
              </w:rPr>
            </w:pPr>
            <w:r>
              <w:rPr>
                <w:color w:val="000000"/>
                <w:spacing w:val="-2"/>
                <w:sz w:val="28"/>
                <w:szCs w:val="28"/>
              </w:rPr>
              <w:t>区级</w:t>
            </w:r>
            <w:r>
              <w:rPr>
                <w:rFonts w:hint="eastAsia"/>
                <w:color w:val="000000"/>
                <w:spacing w:val="-2"/>
                <w:sz w:val="28"/>
                <w:szCs w:val="28"/>
              </w:rPr>
              <w:t>有关单位</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128</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配合市级开展地方政府公共信用综合评价，加强评价结果运用，对失信情况严重的政府机构督促整改。</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napToGrid w:val="0"/>
              <w:spacing w:line="320" w:lineRule="atLeast"/>
              <w:rPr>
                <w:color w:val="000000"/>
                <w:spacing w:val="-2"/>
                <w:sz w:val="28"/>
                <w:szCs w:val="28"/>
              </w:rPr>
            </w:pPr>
            <w:r>
              <w:rPr>
                <w:color w:val="000000"/>
                <w:spacing w:val="-2"/>
                <w:sz w:val="28"/>
                <w:szCs w:val="28"/>
              </w:rPr>
              <w:t>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129</w:t>
            </w:r>
          </w:p>
        </w:tc>
        <w:tc>
          <w:tcPr>
            <w:tcW w:w="5869" w:type="dxa"/>
            <w:tcBorders>
              <w:top w:val="nil"/>
              <w:left w:val="single" w:color="000000" w:sz="8" w:space="0"/>
              <w:bottom w:val="single" w:color="000000" w:sz="8" w:space="0"/>
              <w:right w:val="single" w:color="000000" w:sz="8" w:space="0"/>
            </w:tcBorders>
            <w:shd w:val="clear" w:color="auto" w:fill="auto"/>
          </w:tcPr>
          <w:p>
            <w:pPr>
              <w:snapToGrid w:val="0"/>
              <w:spacing w:line="320" w:lineRule="atLeast"/>
              <w:rPr>
                <w:color w:val="000000"/>
                <w:spacing w:val="-2"/>
                <w:sz w:val="28"/>
                <w:szCs w:val="28"/>
              </w:rPr>
            </w:pPr>
            <w:r>
              <w:rPr>
                <w:color w:val="000000"/>
                <w:spacing w:val="-2"/>
                <w:sz w:val="28"/>
                <w:szCs w:val="28"/>
              </w:rPr>
              <w:t>配合市级探索建立合同履约监管机制，打造</w:t>
            </w:r>
            <w:r>
              <w:rPr>
                <w:rFonts w:hint="eastAsia"/>
                <w:color w:val="000000"/>
                <w:spacing w:val="-2"/>
                <w:sz w:val="28"/>
                <w:szCs w:val="28"/>
              </w:rPr>
              <w:t>“</w:t>
            </w:r>
            <w:r>
              <w:rPr>
                <w:color w:val="000000"/>
                <w:spacing w:val="-2"/>
                <w:sz w:val="28"/>
                <w:szCs w:val="28"/>
              </w:rPr>
              <w:t>信用+政府合同履约</w:t>
            </w:r>
            <w:r>
              <w:rPr>
                <w:rFonts w:hint="eastAsia"/>
                <w:color w:val="000000"/>
                <w:spacing w:val="-2"/>
                <w:sz w:val="28"/>
                <w:szCs w:val="28"/>
              </w:rPr>
              <w:t>”</w:t>
            </w:r>
            <w:r>
              <w:rPr>
                <w:color w:val="000000"/>
                <w:spacing w:val="-2"/>
                <w:sz w:val="28"/>
                <w:szCs w:val="28"/>
              </w:rPr>
              <w:t>应用场景。</w:t>
            </w:r>
          </w:p>
        </w:tc>
        <w:tc>
          <w:tcPr>
            <w:tcW w:w="2137" w:type="dxa"/>
            <w:tcBorders>
              <w:top w:val="nil"/>
              <w:left w:val="single" w:color="000000" w:sz="8" w:space="0"/>
              <w:bottom w:val="single" w:color="000000" w:sz="8" w:space="0"/>
              <w:right w:val="single" w:color="000000" w:sz="8" w:space="0"/>
            </w:tcBorders>
            <w:shd w:val="clear" w:color="auto" w:fill="auto"/>
          </w:tcPr>
          <w:p>
            <w:pPr>
              <w:snapToGrid w:val="0"/>
              <w:spacing w:line="320" w:lineRule="atLeast"/>
              <w:rPr>
                <w:color w:val="000000"/>
                <w:spacing w:val="-2"/>
                <w:sz w:val="28"/>
                <w:szCs w:val="28"/>
              </w:rPr>
            </w:pPr>
            <w:r>
              <w:rPr>
                <w:color w:val="000000"/>
                <w:spacing w:val="-2"/>
                <w:sz w:val="28"/>
                <w:szCs w:val="28"/>
              </w:rPr>
              <w:t>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130</w:t>
            </w:r>
          </w:p>
        </w:tc>
        <w:tc>
          <w:tcPr>
            <w:tcW w:w="5869" w:type="dxa"/>
            <w:tcBorders>
              <w:top w:val="nil"/>
              <w:left w:val="single" w:color="000000" w:sz="8" w:space="0"/>
              <w:bottom w:val="single" w:color="000000" w:sz="8" w:space="0"/>
              <w:right w:val="single" w:color="000000" w:sz="8" w:space="0"/>
            </w:tcBorders>
            <w:shd w:val="clear" w:color="auto" w:fill="auto"/>
          </w:tcPr>
          <w:p>
            <w:pPr>
              <w:snapToGrid w:val="0"/>
              <w:spacing w:line="320" w:lineRule="atLeast"/>
              <w:rPr>
                <w:color w:val="000000"/>
                <w:spacing w:val="-2"/>
                <w:sz w:val="28"/>
                <w:szCs w:val="28"/>
              </w:rPr>
            </w:pPr>
            <w:r>
              <w:rPr>
                <w:color w:val="000000"/>
                <w:spacing w:val="-2"/>
                <w:sz w:val="28"/>
                <w:szCs w:val="28"/>
              </w:rPr>
              <w:t>持续落实政务诉讼执行协调机制，推动涉政府机构失信被执行人动态清零。</w:t>
            </w:r>
          </w:p>
        </w:tc>
        <w:tc>
          <w:tcPr>
            <w:tcW w:w="2137" w:type="dxa"/>
            <w:tcBorders>
              <w:top w:val="nil"/>
              <w:left w:val="single" w:color="000000" w:sz="8" w:space="0"/>
              <w:bottom w:val="single" w:color="000000" w:sz="8" w:space="0"/>
              <w:right w:val="single" w:color="000000" w:sz="8" w:space="0"/>
            </w:tcBorders>
            <w:shd w:val="clear" w:color="auto" w:fill="auto"/>
          </w:tcPr>
          <w:p>
            <w:pPr>
              <w:snapToGrid w:val="0"/>
              <w:spacing w:line="320" w:lineRule="atLeast"/>
              <w:rPr>
                <w:color w:val="000000"/>
                <w:spacing w:val="-2"/>
                <w:sz w:val="28"/>
                <w:szCs w:val="28"/>
              </w:rPr>
            </w:pPr>
            <w:r>
              <w:rPr>
                <w:color w:val="000000"/>
                <w:spacing w:val="-2"/>
                <w:sz w:val="28"/>
                <w:szCs w:val="28"/>
              </w:rPr>
              <w:t>区发展改革委</w:t>
            </w:r>
            <w:r>
              <w:rPr>
                <w:rFonts w:hint="eastAsia"/>
                <w:color w:val="000000"/>
                <w:spacing w:val="-2"/>
                <w:sz w:val="28"/>
                <w:szCs w:val="28"/>
              </w:rPr>
              <w:t>、</w:t>
            </w:r>
            <w:r>
              <w:rPr>
                <w:color w:val="000000"/>
                <w:spacing w:val="-2"/>
                <w:sz w:val="28"/>
                <w:szCs w:val="28"/>
              </w:rPr>
              <w:t>区法院</w:t>
            </w:r>
          </w:p>
        </w:tc>
      </w:tr>
      <w:tr>
        <w:tblPrEx>
          <w:tblCellMar>
            <w:top w:w="0" w:type="dxa"/>
            <w:left w:w="108" w:type="dxa"/>
            <w:bottom w:w="0" w:type="dxa"/>
            <w:right w:w="108" w:type="dxa"/>
          </w:tblCellMar>
        </w:tblPrEx>
        <w:trPr>
          <w:trHeight w:val="608"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（二）优化市场信用环境（牵头单位：区发展改革委）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p>
          <w:p>
            <w:pPr>
              <w:widowControl/>
              <w:spacing w:line="320" w:lineRule="atLeast"/>
              <w:jc w:val="center"/>
              <w:textAlignment w:val="center"/>
              <w:rPr>
                <w:color w:val="000000"/>
                <w:sz w:val="28"/>
                <w:szCs w:val="28"/>
              </w:rPr>
            </w:pPr>
            <w:r>
              <w:rPr>
                <w:rFonts w:hint="eastAsia"/>
                <w:color w:val="000000"/>
                <w:sz w:val="28"/>
                <w:szCs w:val="28"/>
              </w:rPr>
              <w:t>131</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落实《重庆市六类主体公共信用综合评价指引》，配合市级部门开展企业、个体工商户、自然人、社会组织、事业单位、地方政府六类主体公共信用综合评价。</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区发展改革委</w:t>
            </w:r>
          </w:p>
          <w:p>
            <w:pPr>
              <w:spacing w:line="320" w:lineRule="atLeast"/>
              <w:rPr>
                <w:color w:val="000000"/>
                <w:sz w:val="28"/>
                <w:szCs w:val="28"/>
              </w:rPr>
            </w:pP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132</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推动信用沙坪坝提升行动走深走实，深化</w:t>
            </w:r>
            <w:r>
              <w:rPr>
                <w:rFonts w:hint="eastAsia"/>
                <w:color w:val="000000"/>
                <w:sz w:val="28"/>
                <w:szCs w:val="28"/>
              </w:rPr>
              <w:t>“</w:t>
            </w:r>
            <w:r>
              <w:rPr>
                <w:color w:val="000000"/>
                <w:sz w:val="28"/>
                <w:szCs w:val="28"/>
              </w:rPr>
              <w:t>信用+执法监管</w:t>
            </w:r>
            <w:r>
              <w:rPr>
                <w:rFonts w:hint="eastAsia"/>
                <w:color w:val="000000"/>
                <w:sz w:val="28"/>
                <w:szCs w:val="28"/>
              </w:rPr>
              <w:t>”</w:t>
            </w:r>
            <w:r>
              <w:rPr>
                <w:color w:val="000000"/>
                <w:sz w:val="28"/>
                <w:szCs w:val="28"/>
              </w:rPr>
              <w:t>应用场景。行业执法监管部门充分运用企业公共信用评价结果，实施信用分级分类监管。</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区司法局、区发展改革委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133</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持续推广信用承诺制办理，简化审批流程，减免证明材料，降低制度性交易成本。</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区发展改革委、区司法局</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134</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严格依法依规实施失信惩戒措施，防止失信惩戒范围随意扩大、泛化。</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135</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落实信用修复机制，推动信用修复</w:t>
            </w:r>
            <w:r>
              <w:rPr>
                <w:rFonts w:hint="eastAsia"/>
                <w:color w:val="000000"/>
                <w:sz w:val="28"/>
                <w:szCs w:val="28"/>
              </w:rPr>
              <w:t>“</w:t>
            </w:r>
            <w:r>
              <w:rPr>
                <w:color w:val="000000"/>
                <w:sz w:val="28"/>
                <w:szCs w:val="28"/>
              </w:rPr>
              <w:t>一件事一次办</w:t>
            </w:r>
            <w:r>
              <w:rPr>
                <w:rFonts w:hint="eastAsia"/>
                <w:color w:val="000000"/>
                <w:sz w:val="28"/>
                <w:szCs w:val="28"/>
              </w:rPr>
              <w:t>”</w:t>
            </w:r>
            <w:r>
              <w:rPr>
                <w:color w:val="000000"/>
                <w:sz w:val="28"/>
                <w:szCs w:val="28"/>
              </w:rPr>
              <w:t>，指导辖区失信企业开展信用修复，重塑良好信用。</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区发展改革委</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（三）推进社会信用建设（牵头单位：区发展改革委）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tcPr>
          <w:p>
            <w:pPr>
              <w:pStyle w:val="22"/>
              <w:spacing w:before="338" w:line="320" w:lineRule="atLeast"/>
              <w:ind w:left="110" w:right="74" w:firstLine="9"/>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136</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推进专用信用报告代替企业有无违法违规证明应用，解决企业开具有无违法违规证明繁、难、久问题。</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137</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宣传</w:t>
            </w:r>
            <w:r>
              <w:rPr>
                <w:rFonts w:hint="eastAsia"/>
                <w:color w:val="000000"/>
                <w:sz w:val="28"/>
                <w:szCs w:val="28"/>
              </w:rPr>
              <w:t>“</w:t>
            </w:r>
            <w:r>
              <w:rPr>
                <w:color w:val="000000"/>
                <w:sz w:val="28"/>
                <w:szCs w:val="28"/>
              </w:rPr>
              <w:t>全国融资信用服务平台（重庆站）</w:t>
            </w:r>
            <w:r>
              <w:rPr>
                <w:rFonts w:hint="eastAsia"/>
                <w:color w:val="000000"/>
                <w:sz w:val="28"/>
                <w:szCs w:val="28"/>
              </w:rPr>
              <w:t>”</w:t>
            </w:r>
            <w:r>
              <w:rPr>
                <w:color w:val="000000"/>
                <w:sz w:val="28"/>
                <w:szCs w:val="28"/>
              </w:rPr>
              <w:t>推广产业链信用融资，帮助无抵押、无担保的小微企业以信用资产换取融资便利</w:t>
            </w:r>
            <w:r>
              <w:rPr>
                <w:rFonts w:hint="eastAsia"/>
                <w:color w:val="000000"/>
                <w:sz w:val="28"/>
                <w:szCs w:val="28"/>
              </w:rPr>
              <w:t>。</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区发展改革委</w:t>
            </w:r>
          </w:p>
        </w:tc>
      </w:tr>
      <w:tr>
        <w:tblPrEx>
          <w:tblCellMar>
            <w:top w:w="0" w:type="dxa"/>
            <w:left w:w="108" w:type="dxa"/>
            <w:bottom w:w="0" w:type="dxa"/>
            <w:right w:w="108" w:type="dxa"/>
          </w:tblCellMar>
        </w:tblPrEx>
        <w:trPr>
          <w:trHeight w:val="58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黑体_GBK" w:cs="方正黑体_GBK"/>
                <w:color w:val="000000"/>
                <w:sz w:val="28"/>
                <w:szCs w:val="28"/>
                <w:lang w:bidi="ar"/>
              </w:rPr>
            </w:pPr>
            <w:r>
              <w:rPr>
                <w:rFonts w:eastAsia="方正黑体_GBK" w:cs="方正黑体_GBK"/>
                <w:color w:val="000000"/>
                <w:sz w:val="28"/>
                <w:szCs w:val="28"/>
                <w:lang w:bidi="ar"/>
              </w:rPr>
              <w:t>八、助企暖企护航成长专项行动</w:t>
            </w:r>
          </w:p>
        </w:tc>
      </w:tr>
      <w:tr>
        <w:tblPrEx>
          <w:tblCellMar>
            <w:top w:w="0" w:type="dxa"/>
            <w:left w:w="108" w:type="dxa"/>
            <w:bottom w:w="0" w:type="dxa"/>
            <w:right w:w="108" w:type="dxa"/>
          </w:tblCellMar>
        </w:tblPrEx>
        <w:trPr>
          <w:trHeight w:val="662"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（一）建立健全政企沟通服务机制（牵头单位：区委统战部、区工商联）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138</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召开民营企业座谈会，面对面沟通了解民营企业问题诉求，并常态化反馈部门落实。</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区发展改革委、区委统战部、区工商联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139</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完善</w:t>
            </w:r>
            <w:r>
              <w:rPr>
                <w:rFonts w:hint="eastAsia"/>
                <w:color w:val="000000"/>
                <w:sz w:val="28"/>
                <w:szCs w:val="28"/>
              </w:rPr>
              <w:t>“</w:t>
            </w:r>
            <w:r>
              <w:rPr>
                <w:color w:val="000000"/>
                <w:sz w:val="28"/>
                <w:szCs w:val="28"/>
              </w:rPr>
              <w:t>我们在益企</w:t>
            </w:r>
            <w:r>
              <w:rPr>
                <w:rFonts w:hint="eastAsia"/>
                <w:color w:val="000000"/>
                <w:sz w:val="28"/>
                <w:szCs w:val="28"/>
              </w:rPr>
              <w:t>”</w:t>
            </w:r>
            <w:r>
              <w:rPr>
                <w:color w:val="000000"/>
                <w:sz w:val="28"/>
                <w:szCs w:val="28"/>
              </w:rPr>
              <w:t>联系服务机制，畅通联系渠道，通过定期走访、开展座谈、深入商会调研、制作问题收集线上小程序等有效方式加强对民营企业政策解读、诉求解决、意见反馈，组织民营企业参加政府部门会议活动。</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区发改委、区委统战部、区工商联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140</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用好</w:t>
            </w:r>
            <w:r>
              <w:rPr>
                <w:rFonts w:hint="eastAsia"/>
                <w:color w:val="000000"/>
                <w:sz w:val="28"/>
                <w:szCs w:val="28"/>
              </w:rPr>
              <w:t>“</w:t>
            </w:r>
            <w:r>
              <w:rPr>
                <w:color w:val="000000"/>
                <w:sz w:val="28"/>
                <w:szCs w:val="28"/>
              </w:rPr>
              <w:t>渝商e服务</w:t>
            </w:r>
            <w:r>
              <w:rPr>
                <w:rFonts w:hint="eastAsia"/>
                <w:color w:val="000000"/>
                <w:sz w:val="28"/>
                <w:szCs w:val="28"/>
              </w:rPr>
              <w:t>”</w:t>
            </w:r>
            <w:r>
              <w:rPr>
                <w:color w:val="000000"/>
                <w:sz w:val="28"/>
                <w:szCs w:val="28"/>
              </w:rPr>
              <w:t>平台，推动民营企业诉求诉求直通、商协会管理服务等事项线上集成办理。</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区委统战部、区工商联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141</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建立区领导联系青年企业家机制，通过精准对接、多元服务、长效赋能，推动青年企业家成长与民营经济发展同频共振。</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区委统战部、区工商联</w:t>
            </w:r>
          </w:p>
        </w:tc>
      </w:tr>
      <w:tr>
        <w:tblPrEx>
          <w:tblCellMar>
            <w:top w:w="0" w:type="dxa"/>
            <w:left w:w="108" w:type="dxa"/>
            <w:bottom w:w="0" w:type="dxa"/>
            <w:right w:w="108" w:type="dxa"/>
          </w:tblCellMar>
        </w:tblPrEx>
        <w:trPr>
          <w:trHeight w:val="67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（二）常态化做好涉企服务（牵头单位：区经济信息委）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142</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健全完善</w:t>
            </w:r>
            <w:r>
              <w:rPr>
                <w:rFonts w:hint="eastAsia"/>
                <w:color w:val="000000"/>
                <w:sz w:val="28"/>
                <w:szCs w:val="28"/>
              </w:rPr>
              <w:t>“</w:t>
            </w:r>
            <w:r>
              <w:rPr>
                <w:color w:val="000000"/>
                <w:sz w:val="28"/>
                <w:szCs w:val="28"/>
              </w:rPr>
              <w:t>服务企业专员制度+企业码上服务</w:t>
            </w:r>
            <w:r>
              <w:rPr>
                <w:rFonts w:hint="eastAsia"/>
                <w:color w:val="000000"/>
                <w:sz w:val="28"/>
                <w:szCs w:val="28"/>
              </w:rPr>
              <w:t>”</w:t>
            </w:r>
            <w:r>
              <w:rPr>
                <w:color w:val="000000"/>
                <w:sz w:val="28"/>
                <w:szCs w:val="28"/>
              </w:rPr>
              <w:t>服务体系，更好实现企业  问题诉求</w:t>
            </w:r>
            <w:r>
              <w:rPr>
                <w:rFonts w:hint="eastAsia"/>
                <w:color w:val="000000"/>
                <w:sz w:val="28"/>
                <w:szCs w:val="28"/>
              </w:rPr>
              <w:t>“</w:t>
            </w:r>
            <w:r>
              <w:rPr>
                <w:color w:val="000000"/>
                <w:sz w:val="28"/>
                <w:szCs w:val="28"/>
              </w:rPr>
              <w:t>一键直达、一网通办、一体落实</w:t>
            </w:r>
            <w:r>
              <w:rPr>
                <w:rFonts w:hint="eastAsia"/>
                <w:color w:val="000000"/>
                <w:sz w:val="28"/>
                <w:szCs w:val="28"/>
              </w:rPr>
              <w:t>”</w:t>
            </w:r>
            <w:r>
              <w:rPr>
                <w:color w:val="000000"/>
                <w:sz w:val="28"/>
                <w:szCs w:val="28"/>
              </w:rPr>
              <w:t>。</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区</w:t>
            </w:r>
            <w:r>
              <w:rPr>
                <w:color w:val="000000"/>
                <w:sz w:val="28"/>
                <w:szCs w:val="28"/>
              </w:rPr>
              <w:t>经济信息委、</w:t>
            </w:r>
            <w:r>
              <w:rPr>
                <w:rFonts w:hint="eastAsia"/>
                <w:color w:val="000000"/>
                <w:sz w:val="28"/>
                <w:szCs w:val="28"/>
              </w:rPr>
              <w:t>区级有关单位</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143</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贯通及使用“码上直办”“码上施策”“码上融资”“码上直聘”“码上科服”5类服务场景及“渝企码”应用，优化服务企业效能。</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区</w:t>
            </w:r>
            <w:r>
              <w:rPr>
                <w:color w:val="000000"/>
                <w:sz w:val="28"/>
                <w:szCs w:val="28"/>
              </w:rPr>
              <w:t>经济信息委、</w:t>
            </w:r>
            <w:r>
              <w:rPr>
                <w:rFonts w:hint="eastAsia"/>
                <w:color w:val="000000"/>
                <w:sz w:val="28"/>
                <w:szCs w:val="28"/>
              </w:rPr>
              <w:t>区级有关单位</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144</w:t>
            </w:r>
          </w:p>
        </w:tc>
        <w:tc>
          <w:tcPr>
            <w:tcW w:w="5869" w:type="dxa"/>
            <w:tcBorders>
              <w:top w:val="nil"/>
              <w:left w:val="single" w:color="000000" w:sz="8" w:space="0"/>
              <w:bottom w:val="single" w:color="000000" w:sz="8" w:space="0"/>
              <w:right w:val="single" w:color="000000" w:sz="8" w:space="0"/>
            </w:tcBorders>
            <w:shd w:val="clear" w:color="auto" w:fill="auto"/>
          </w:tcPr>
          <w:p>
            <w:pPr>
              <w:spacing w:line="320" w:lineRule="atLeast"/>
              <w:rPr>
                <w:color w:val="000000"/>
                <w:sz w:val="28"/>
                <w:szCs w:val="28"/>
              </w:rPr>
            </w:pPr>
            <w:r>
              <w:rPr>
                <w:color w:val="000000"/>
                <w:sz w:val="28"/>
                <w:szCs w:val="28"/>
              </w:rPr>
              <w:t>机制化运行民营经济发展综合服务平台，常态化收集民营企业反馈的问题诉求，构建</w:t>
            </w:r>
            <w:r>
              <w:rPr>
                <w:rFonts w:hint="eastAsia"/>
                <w:color w:val="000000"/>
                <w:sz w:val="28"/>
                <w:szCs w:val="28"/>
              </w:rPr>
              <w:t>“</w:t>
            </w:r>
            <w:r>
              <w:rPr>
                <w:color w:val="000000"/>
                <w:sz w:val="28"/>
                <w:szCs w:val="28"/>
              </w:rPr>
              <w:t>问题收集—办理—反馈—跟踪问效</w:t>
            </w:r>
            <w:r>
              <w:rPr>
                <w:rFonts w:hint="eastAsia"/>
                <w:color w:val="000000"/>
                <w:sz w:val="28"/>
                <w:szCs w:val="28"/>
              </w:rPr>
              <w:t>”</w:t>
            </w:r>
            <w:r>
              <w:rPr>
                <w:color w:val="000000"/>
                <w:sz w:val="28"/>
                <w:szCs w:val="28"/>
              </w:rPr>
              <w:t>的闭环管理通道，提升服务企业质效。</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区发展改革委</w:t>
            </w:r>
          </w:p>
        </w:tc>
      </w:tr>
      <w:tr>
        <w:tblPrEx>
          <w:tblCellMar>
            <w:top w:w="0" w:type="dxa"/>
            <w:left w:w="108" w:type="dxa"/>
            <w:bottom w:w="0" w:type="dxa"/>
            <w:right w:w="108" w:type="dxa"/>
          </w:tblCellMar>
        </w:tblPrEx>
        <w:trPr>
          <w:trHeight w:val="738"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（三）防范化解拖欠中小企业账款问题（牵头单位：区经济信息委）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145</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持续开展欠款清理专项整治，全面清理机关、事业单位和国有企业拖欠民营企业账款。</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区经济信息委</w:t>
            </w:r>
            <w:r>
              <w:rPr>
                <w:color w:val="000000"/>
                <w:sz w:val="28"/>
                <w:szCs w:val="28"/>
              </w:rPr>
              <w:t>、</w:t>
            </w:r>
            <w:r>
              <w:rPr>
                <w:rFonts w:hint="eastAsia"/>
                <w:color w:val="000000"/>
                <w:sz w:val="28"/>
                <w:szCs w:val="28"/>
              </w:rPr>
              <w:t>区财政局、区国资委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lang w:bidi="ar"/>
              </w:rPr>
              <w:t>1</w:t>
            </w:r>
            <w:r>
              <w:rPr>
                <w:rFonts w:hint="eastAsia"/>
                <w:color w:val="000000"/>
                <w:sz w:val="28"/>
                <w:szCs w:val="28"/>
                <w:lang w:bidi="ar"/>
              </w:rPr>
              <w:t>46</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严格落实《保障中小企业款项支付条例》，健全长效机制，集中化解存量拖欠，严防新增拖欠。</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区经济信息委</w:t>
            </w:r>
            <w:r>
              <w:rPr>
                <w:color w:val="000000"/>
                <w:sz w:val="28"/>
                <w:szCs w:val="28"/>
              </w:rPr>
              <w:t>、</w:t>
            </w:r>
            <w:r>
              <w:rPr>
                <w:rFonts w:hint="eastAsia"/>
                <w:color w:val="000000"/>
                <w:sz w:val="28"/>
                <w:szCs w:val="28"/>
              </w:rPr>
              <w:t>区财政局、区国资委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color w:val="000000"/>
                <w:sz w:val="28"/>
                <w:szCs w:val="28"/>
                <w:lang w:bidi="ar"/>
              </w:rPr>
              <w:t>1</w:t>
            </w:r>
            <w:r>
              <w:rPr>
                <w:rFonts w:hint="eastAsia"/>
                <w:color w:val="000000"/>
                <w:sz w:val="28"/>
                <w:szCs w:val="28"/>
                <w:lang w:bidi="ar"/>
              </w:rPr>
              <w:t>47</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完善区级拖欠中小企业账款投诉处理流程，压实相关责任单位办理。</w:t>
            </w:r>
          </w:p>
        </w:tc>
        <w:tc>
          <w:tcPr>
            <w:tcW w:w="21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rFonts w:hint="eastAsia"/>
                <w:color w:val="000000"/>
                <w:sz w:val="28"/>
                <w:szCs w:val="28"/>
              </w:rPr>
              <w:t>区经济信息委</w:t>
            </w:r>
            <w:r>
              <w:rPr>
                <w:color w:val="000000"/>
                <w:sz w:val="28"/>
                <w:szCs w:val="28"/>
              </w:rPr>
              <w:t>、</w:t>
            </w:r>
            <w:r>
              <w:rPr>
                <w:rFonts w:hint="eastAsia"/>
                <w:color w:val="000000"/>
                <w:sz w:val="28"/>
                <w:szCs w:val="28"/>
              </w:rPr>
              <w:t>区财政局、区国资委</w:t>
            </w:r>
          </w:p>
        </w:tc>
      </w:tr>
      <w:tr>
        <w:tblPrEx>
          <w:tblCellMar>
            <w:top w:w="0" w:type="dxa"/>
            <w:left w:w="108" w:type="dxa"/>
            <w:bottom w:w="0" w:type="dxa"/>
            <w:right w:w="108" w:type="dxa"/>
          </w:tblCellMar>
        </w:tblPrEx>
        <w:trPr>
          <w:trHeight w:val="585"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黑体_GBK" w:cs="方正黑体_GBK"/>
                <w:color w:val="000000"/>
                <w:sz w:val="28"/>
                <w:szCs w:val="28"/>
                <w:lang w:bidi="ar"/>
              </w:rPr>
            </w:pPr>
            <w:r>
              <w:rPr>
                <w:rFonts w:eastAsia="方正黑体_GBK" w:cs="方正黑体_GBK"/>
                <w:color w:val="000000"/>
                <w:sz w:val="28"/>
                <w:szCs w:val="28"/>
                <w:lang w:bidi="ar"/>
              </w:rPr>
              <w:t>九、正面典型推广和反面典型通报行动</w:t>
            </w:r>
          </w:p>
        </w:tc>
      </w:tr>
      <w:tr>
        <w:tblPrEx>
          <w:tblCellMar>
            <w:top w:w="0" w:type="dxa"/>
            <w:left w:w="108" w:type="dxa"/>
            <w:bottom w:w="0" w:type="dxa"/>
            <w:right w:w="108" w:type="dxa"/>
          </w:tblCellMar>
        </w:tblPrEx>
        <w:trPr>
          <w:trHeight w:val="642"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（一）大力宣传正面典型（牵头单位：区发展改革委）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148</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pacing w:line="320" w:lineRule="atLeast"/>
              <w:rPr>
                <w:color w:val="000000"/>
                <w:sz w:val="28"/>
                <w:szCs w:val="28"/>
              </w:rPr>
            </w:pPr>
            <w:r>
              <w:rPr>
                <w:color w:val="000000"/>
                <w:sz w:val="28"/>
                <w:szCs w:val="28"/>
              </w:rPr>
              <w:t>常态化跟踪优化营商环境政策执行情况和实施效果，加快培育实践案例，及时总结改革成效、经验做法和典型案例，编制优化营商环境政策集和案例集，形成一批可复制、可推广的改革经验。</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区发展改革委</w:t>
            </w:r>
          </w:p>
        </w:tc>
      </w:tr>
      <w:tr>
        <w:tblPrEx>
          <w:tblCellMar>
            <w:top w:w="0" w:type="dxa"/>
            <w:left w:w="108" w:type="dxa"/>
            <w:bottom w:w="0" w:type="dxa"/>
            <w:right w:w="108" w:type="dxa"/>
          </w:tblCellMar>
        </w:tblPrEx>
        <w:trPr>
          <w:trHeight w:val="608"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lang w:bidi="ar"/>
              </w:rPr>
            </w:pPr>
            <w:r>
              <w:rPr>
                <w:rFonts w:eastAsia="方正楷体_GBK" w:cs="方正楷体_GBK"/>
                <w:color w:val="000000"/>
                <w:sz w:val="28"/>
                <w:szCs w:val="28"/>
                <w:lang w:bidi="ar"/>
              </w:rPr>
              <w:t>（二）开展反面典型归集通报（牵头单位：区发展改革委）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color w:val="000000"/>
                <w:sz w:val="28"/>
                <w:szCs w:val="28"/>
                <w:lang w:bidi="ar"/>
              </w:rPr>
              <w:t>1</w:t>
            </w:r>
            <w:r>
              <w:rPr>
                <w:rFonts w:hint="eastAsia"/>
                <w:color w:val="000000"/>
                <w:sz w:val="28"/>
                <w:szCs w:val="28"/>
                <w:lang w:bidi="ar"/>
              </w:rPr>
              <w:t>49</w:t>
            </w:r>
          </w:p>
        </w:tc>
        <w:tc>
          <w:tcPr>
            <w:tcW w:w="5869" w:type="dxa"/>
            <w:tcBorders>
              <w:top w:val="single" w:color="000000" w:sz="8" w:space="0"/>
              <w:left w:val="single" w:color="000000" w:sz="8" w:space="0"/>
              <w:bottom w:val="single" w:color="000000" w:sz="8" w:space="0"/>
              <w:right w:val="single" w:color="000000" w:sz="8" w:space="0"/>
            </w:tcBorders>
            <w:shd w:val="clear" w:color="auto" w:fill="auto"/>
          </w:tcPr>
          <w:p>
            <w:pPr>
              <w:spacing w:line="320" w:lineRule="atLeast"/>
              <w:rPr>
                <w:color w:val="000000"/>
                <w:sz w:val="28"/>
                <w:szCs w:val="28"/>
              </w:rPr>
            </w:pPr>
            <w:r>
              <w:rPr>
                <w:color w:val="000000"/>
                <w:sz w:val="28"/>
                <w:szCs w:val="28"/>
              </w:rPr>
              <w:t>通过自查、第三方评估等方式，归集扰乱市场公平竞争、政务服务不到位、涉企执法监管不规范、惠企政策落实不到位、政企沟通不顺畅等损害营商环境问题线索。</w:t>
            </w:r>
          </w:p>
        </w:tc>
        <w:tc>
          <w:tcPr>
            <w:tcW w:w="2137" w:type="dxa"/>
            <w:tcBorders>
              <w:top w:val="nil"/>
              <w:left w:val="single" w:color="000000" w:sz="8" w:space="0"/>
              <w:bottom w:val="single" w:color="000000" w:sz="8" w:space="0"/>
              <w:right w:val="single" w:color="000000" w:sz="8" w:space="0"/>
            </w:tcBorders>
            <w:shd w:val="clear" w:color="auto" w:fill="auto"/>
          </w:tcPr>
          <w:p>
            <w:pPr>
              <w:spacing w:line="320" w:lineRule="atLeast"/>
              <w:rPr>
                <w:color w:val="000000"/>
                <w:sz w:val="28"/>
                <w:szCs w:val="28"/>
              </w:rPr>
            </w:pPr>
          </w:p>
          <w:p>
            <w:pPr>
              <w:spacing w:line="320" w:lineRule="atLeast"/>
              <w:rPr>
                <w:color w:val="000000"/>
                <w:sz w:val="28"/>
                <w:szCs w:val="28"/>
              </w:rPr>
            </w:pPr>
          </w:p>
          <w:p>
            <w:pPr>
              <w:spacing w:line="320" w:lineRule="atLeast"/>
              <w:rPr>
                <w:color w:val="000000"/>
                <w:sz w:val="28"/>
                <w:szCs w:val="28"/>
              </w:rPr>
            </w:pPr>
            <w:r>
              <w:rPr>
                <w:color w:val="000000"/>
                <w:sz w:val="28"/>
                <w:szCs w:val="28"/>
              </w:rPr>
              <w:t>区发展改革委</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150</w:t>
            </w:r>
          </w:p>
        </w:tc>
        <w:tc>
          <w:tcPr>
            <w:tcW w:w="5869" w:type="dxa"/>
            <w:tcBorders>
              <w:top w:val="nil"/>
              <w:left w:val="single" w:color="000000" w:sz="8" w:space="0"/>
              <w:bottom w:val="single" w:color="000000" w:sz="8" w:space="0"/>
              <w:right w:val="single" w:color="000000" w:sz="8" w:space="0"/>
            </w:tcBorders>
            <w:shd w:val="clear" w:color="auto" w:fill="auto"/>
          </w:tcPr>
          <w:p>
            <w:pPr>
              <w:spacing w:line="320" w:lineRule="atLeast"/>
              <w:rPr>
                <w:color w:val="000000"/>
                <w:sz w:val="28"/>
                <w:szCs w:val="28"/>
              </w:rPr>
            </w:pPr>
            <w:r>
              <w:rPr>
                <w:color w:val="000000"/>
                <w:sz w:val="28"/>
                <w:szCs w:val="28"/>
              </w:rPr>
              <w:t>完善损害营商环境问题典型案例通报制度，以点带面持续提升营商环境满意度。</w:t>
            </w:r>
          </w:p>
        </w:tc>
        <w:tc>
          <w:tcPr>
            <w:tcW w:w="2137" w:type="dxa"/>
            <w:tcBorders>
              <w:top w:val="nil"/>
              <w:left w:val="single" w:color="000000" w:sz="8" w:space="0"/>
              <w:bottom w:val="single" w:color="000000" w:sz="8" w:space="0"/>
              <w:right w:val="single" w:color="000000" w:sz="8" w:space="0"/>
            </w:tcBorders>
            <w:shd w:val="clear" w:color="auto" w:fill="auto"/>
          </w:tcPr>
          <w:p>
            <w:pPr>
              <w:spacing w:line="320" w:lineRule="atLeast"/>
              <w:rPr>
                <w:color w:val="000000"/>
                <w:sz w:val="28"/>
                <w:szCs w:val="28"/>
              </w:rPr>
            </w:pPr>
            <w:r>
              <w:rPr>
                <w:color w:val="000000"/>
                <w:sz w:val="28"/>
                <w:szCs w:val="28"/>
              </w:rPr>
              <w:t>区发展改革委</w:t>
            </w:r>
          </w:p>
        </w:tc>
      </w:tr>
      <w:tr>
        <w:tblPrEx>
          <w:tblCellMar>
            <w:top w:w="0" w:type="dxa"/>
            <w:left w:w="108" w:type="dxa"/>
            <w:bottom w:w="0" w:type="dxa"/>
            <w:right w:w="108" w:type="dxa"/>
          </w:tblCellMar>
        </w:tblPrEx>
        <w:trPr>
          <w:trHeight w:val="888" w:hRule="atLeast"/>
        </w:trPr>
        <w:tc>
          <w:tcPr>
            <w:tcW w:w="9003" w:type="dxa"/>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left"/>
              <w:textAlignment w:val="center"/>
              <w:rPr>
                <w:rFonts w:eastAsia="方正楷体_GBK" w:cs="方正楷体_GBK"/>
                <w:color w:val="000000"/>
                <w:sz w:val="28"/>
                <w:szCs w:val="28"/>
              </w:rPr>
            </w:pPr>
            <w:r>
              <w:rPr>
                <w:rFonts w:hint="eastAsia" w:eastAsia="方正楷体_GBK" w:cs="方正楷体_GBK"/>
                <w:color w:val="000000"/>
                <w:sz w:val="28"/>
                <w:szCs w:val="28"/>
                <w:lang w:bidi="ar"/>
              </w:rPr>
              <w:t>（三）常态化开展损害营商环境的腐败和作风问题整治（牵头单位：区纪委监委机关）</w:t>
            </w:r>
          </w:p>
        </w:tc>
      </w:tr>
      <w:tr>
        <w:tblPrEx>
          <w:tblCellMar>
            <w:top w:w="0" w:type="dxa"/>
            <w:left w:w="108" w:type="dxa"/>
            <w:bottom w:w="0" w:type="dxa"/>
            <w:right w:w="108" w:type="dxa"/>
          </w:tblCellMar>
        </w:tblPrEx>
        <w:trPr>
          <w:trHeight w:val="420"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lang w:bidi="ar"/>
              </w:rPr>
              <w:t>151</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持续开展营商环境智慧监督，用好</w:t>
            </w:r>
            <w:r>
              <w:rPr>
                <w:rFonts w:hint="eastAsia"/>
                <w:color w:val="000000"/>
                <w:sz w:val="28"/>
                <w:szCs w:val="28"/>
              </w:rPr>
              <w:t>“</w:t>
            </w:r>
            <w:r>
              <w:rPr>
                <w:color w:val="000000"/>
                <w:sz w:val="28"/>
                <w:szCs w:val="28"/>
              </w:rPr>
              <w:t>公权力大数据监督</w:t>
            </w:r>
            <w:r>
              <w:rPr>
                <w:rFonts w:hint="eastAsia"/>
                <w:color w:val="000000"/>
                <w:sz w:val="28"/>
                <w:szCs w:val="28"/>
              </w:rPr>
              <w:t>”</w:t>
            </w:r>
            <w:r>
              <w:rPr>
                <w:color w:val="000000"/>
                <w:sz w:val="28"/>
                <w:szCs w:val="28"/>
              </w:rPr>
              <w:t>平台和</w:t>
            </w:r>
            <w:r>
              <w:rPr>
                <w:rFonts w:hint="eastAsia"/>
                <w:color w:val="000000"/>
                <w:sz w:val="28"/>
                <w:szCs w:val="28"/>
              </w:rPr>
              <w:t>“</w:t>
            </w:r>
            <w:r>
              <w:rPr>
                <w:color w:val="000000"/>
                <w:sz w:val="28"/>
                <w:szCs w:val="28"/>
              </w:rPr>
              <w:t>风正巴渝</w:t>
            </w:r>
            <w:r>
              <w:rPr>
                <w:rFonts w:hint="eastAsia"/>
                <w:color w:val="000000"/>
                <w:sz w:val="28"/>
                <w:szCs w:val="28"/>
              </w:rPr>
              <w:t>”</w:t>
            </w:r>
            <w:r>
              <w:rPr>
                <w:color w:val="000000"/>
                <w:sz w:val="28"/>
                <w:szCs w:val="28"/>
              </w:rPr>
              <w:t>应用，通过执法监督、工程建设招投标监督、政府采购监督等模块，丰富营商环境智慧监督内容。</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区纪委监委机关</w:t>
            </w:r>
          </w:p>
        </w:tc>
      </w:tr>
      <w:tr>
        <w:tblPrEx>
          <w:tblCellMar>
            <w:top w:w="0" w:type="dxa"/>
            <w:left w:w="108" w:type="dxa"/>
            <w:bottom w:w="0" w:type="dxa"/>
            <w:right w:w="108" w:type="dxa"/>
          </w:tblCellMar>
        </w:tblPrEx>
        <w:trPr>
          <w:trHeight w:val="420"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152</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保持惩治高压态势，坚持风腐同查同治，持续整治违规收费、</w:t>
            </w:r>
            <w:r>
              <w:rPr>
                <w:rFonts w:hint="eastAsia"/>
                <w:color w:val="000000"/>
                <w:sz w:val="28"/>
                <w:szCs w:val="28"/>
              </w:rPr>
              <w:t>“</w:t>
            </w:r>
            <w:r>
              <w:rPr>
                <w:color w:val="000000"/>
                <w:sz w:val="28"/>
                <w:szCs w:val="28"/>
              </w:rPr>
              <w:t>吃拿卡要</w:t>
            </w:r>
            <w:r>
              <w:rPr>
                <w:rFonts w:hint="eastAsia"/>
                <w:color w:val="000000"/>
                <w:sz w:val="28"/>
                <w:szCs w:val="28"/>
              </w:rPr>
              <w:t>”</w:t>
            </w:r>
            <w:r>
              <w:rPr>
                <w:color w:val="000000"/>
                <w:sz w:val="28"/>
                <w:szCs w:val="28"/>
              </w:rPr>
              <w:t>、冷硬横推等破坏营商环境问题，严肃查处权力寻租、暗箱操作、利益输送等行为，推动亲清政商关系持续优化。</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区纪委监委机关</w:t>
            </w:r>
          </w:p>
        </w:tc>
      </w:tr>
      <w:tr>
        <w:tblPrEx>
          <w:tblCellMar>
            <w:top w:w="0" w:type="dxa"/>
            <w:left w:w="108" w:type="dxa"/>
            <w:bottom w:w="0" w:type="dxa"/>
            <w:right w:w="108" w:type="dxa"/>
          </w:tblCellMar>
        </w:tblPrEx>
        <w:trPr>
          <w:trHeight w:val="420"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lang w:bidi="ar"/>
              </w:rPr>
            </w:pPr>
            <w:r>
              <w:rPr>
                <w:rFonts w:hint="eastAsia"/>
                <w:color w:val="000000"/>
                <w:sz w:val="28"/>
                <w:szCs w:val="28"/>
                <w:lang w:bidi="ar"/>
              </w:rPr>
              <w:t>153</w:t>
            </w:r>
          </w:p>
        </w:tc>
        <w:tc>
          <w:tcPr>
            <w:tcW w:w="586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用好多跨协同机制，配合市级推进营商环境智慧监督与三级治理中心贯通，形成预警闭环处置机制，用好优化营商环境责任体系，推动责任单位及时整改，增强经营主体获得感。</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区纪委监委机关</w:t>
            </w:r>
          </w:p>
        </w:tc>
      </w:tr>
      <w:tr>
        <w:tblPrEx>
          <w:tblCellMar>
            <w:top w:w="0" w:type="dxa"/>
            <w:left w:w="108" w:type="dxa"/>
            <w:bottom w:w="0" w:type="dxa"/>
            <w:right w:w="108" w:type="dxa"/>
          </w:tblCellMar>
        </w:tblPrEx>
        <w:trPr>
          <w:trHeight w:val="345" w:hRule="atLeast"/>
        </w:trPr>
        <w:tc>
          <w:tcPr>
            <w:tcW w:w="997" w:type="dxa"/>
            <w:tcBorders>
              <w:top w:val="nil"/>
              <w:left w:val="single" w:color="000000" w:sz="8" w:space="0"/>
              <w:bottom w:val="single" w:color="000000" w:sz="8" w:space="0"/>
              <w:right w:val="single" w:color="000000" w:sz="8" w:space="0"/>
            </w:tcBorders>
            <w:shd w:val="clear" w:color="auto" w:fill="auto"/>
            <w:vAlign w:val="center"/>
          </w:tcPr>
          <w:p>
            <w:pPr>
              <w:widowControl/>
              <w:spacing w:line="320" w:lineRule="atLeast"/>
              <w:jc w:val="center"/>
              <w:textAlignment w:val="center"/>
              <w:rPr>
                <w:color w:val="000000"/>
                <w:sz w:val="28"/>
                <w:szCs w:val="28"/>
              </w:rPr>
            </w:pPr>
            <w:r>
              <w:rPr>
                <w:rFonts w:hint="eastAsia"/>
                <w:color w:val="000000"/>
                <w:sz w:val="28"/>
                <w:szCs w:val="28"/>
              </w:rPr>
              <w:t>154</w:t>
            </w:r>
          </w:p>
        </w:tc>
        <w:tc>
          <w:tcPr>
            <w:tcW w:w="5869"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加大警示教育力度，适时通报损害营商环境的典型案例，深化</w:t>
            </w:r>
            <w:r>
              <w:rPr>
                <w:rFonts w:hint="eastAsia"/>
                <w:color w:val="000000"/>
                <w:sz w:val="28"/>
                <w:szCs w:val="28"/>
              </w:rPr>
              <w:t>“</w:t>
            </w:r>
            <w:r>
              <w:rPr>
                <w:color w:val="000000"/>
                <w:sz w:val="28"/>
                <w:szCs w:val="28"/>
              </w:rPr>
              <w:t>以案四说</w:t>
            </w:r>
            <w:r>
              <w:rPr>
                <w:rFonts w:hint="eastAsia"/>
                <w:color w:val="000000"/>
                <w:sz w:val="28"/>
                <w:szCs w:val="28"/>
              </w:rPr>
              <w:t>”</w:t>
            </w:r>
            <w:r>
              <w:rPr>
                <w:color w:val="000000"/>
                <w:sz w:val="28"/>
                <w:szCs w:val="28"/>
              </w:rPr>
              <w:t>警示教育，用身边事教育身边人，督促党员干部筑牢底线红线意识。</w:t>
            </w:r>
          </w:p>
        </w:tc>
        <w:tc>
          <w:tcPr>
            <w:tcW w:w="2137" w:type="dxa"/>
            <w:tcBorders>
              <w:top w:val="nil"/>
              <w:left w:val="single" w:color="000000" w:sz="8" w:space="0"/>
              <w:bottom w:val="single" w:color="000000" w:sz="8" w:space="0"/>
              <w:right w:val="single" w:color="000000" w:sz="8" w:space="0"/>
            </w:tcBorders>
            <w:shd w:val="clear" w:color="auto" w:fill="auto"/>
            <w:vAlign w:val="center"/>
          </w:tcPr>
          <w:p>
            <w:pPr>
              <w:spacing w:line="320" w:lineRule="atLeast"/>
              <w:rPr>
                <w:color w:val="000000"/>
                <w:sz w:val="28"/>
                <w:szCs w:val="28"/>
              </w:rPr>
            </w:pPr>
            <w:r>
              <w:rPr>
                <w:color w:val="000000"/>
                <w:sz w:val="28"/>
                <w:szCs w:val="28"/>
              </w:rPr>
              <w:t>区纪委监委机关</w:t>
            </w:r>
          </w:p>
        </w:tc>
      </w:tr>
    </w:tbl>
    <w:p>
      <w:pPr>
        <w:pStyle w:val="13"/>
        <w:spacing w:after="0"/>
        <w:ind w:firstLine="0" w:firstLineChars="0"/>
        <w:rPr>
          <w:sz w:val="28"/>
          <w:szCs w:val="28"/>
        </w:rPr>
      </w:pPr>
    </w:p>
    <w:sectPr>
      <w:footerReference r:id="rId5" w:type="default"/>
      <w:pgSz w:w="11906" w:h="16838"/>
      <w:pgMar w:top="2098" w:right="1474" w:bottom="1985" w:left="1588" w:header="851" w:footer="1418" w:gutter="0"/>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FZSSK--GBK1-0">
    <w:altName w:val="仿宋"/>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方正仿宋_GBK" w:hAnsi="方正仿宋_GBK" w:cs="方正仿宋_GBK"/>
                              <w:sz w:val="28"/>
                              <w:szCs w:val="28"/>
                            </w:rPr>
                          </w:pPr>
                          <w:r>
                            <w:rPr>
                              <w:rFonts w:hint="eastAsia" w:ascii="方正仿宋_GBK" w:hAnsi="方正仿宋_GBK" w:cs="方正仿宋_GBK"/>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rFonts w:hint="eastAsia" w:ascii="方正仿宋_GBK" w:hAnsi="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pStyle w:val="8"/>
                      <w:rPr>
                        <w:rFonts w:ascii="方正仿宋_GBK" w:hAnsi="方正仿宋_GBK" w:cs="方正仿宋_GBK"/>
                        <w:sz w:val="28"/>
                        <w:szCs w:val="28"/>
                      </w:rPr>
                    </w:pPr>
                    <w:r>
                      <w:rPr>
                        <w:rFonts w:hint="eastAsia" w:ascii="方正仿宋_GBK" w:hAnsi="方正仿宋_GBK" w:cs="方正仿宋_GBK"/>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rFonts w:hint="eastAsia" w:ascii="方正仿宋_GBK" w:hAnsi="方正仿宋_GBK" w:cs="方正仿宋_GBK"/>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drawingGridHorizontalSpacing w:val="158"/>
  <w:drawingGridVerticalSpacing w:val="579"/>
  <w:noPunctuationKerning w:val="true"/>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FB"/>
    <w:rsid w:val="00006F9A"/>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055E8"/>
    <w:rsid w:val="003539E1"/>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443CD"/>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4041"/>
    <w:rsid w:val="008B74C0"/>
    <w:rsid w:val="008F5AB0"/>
    <w:rsid w:val="008F6151"/>
    <w:rsid w:val="009048D5"/>
    <w:rsid w:val="00904AFE"/>
    <w:rsid w:val="0092122C"/>
    <w:rsid w:val="009220DF"/>
    <w:rsid w:val="00965CCB"/>
    <w:rsid w:val="00972E17"/>
    <w:rsid w:val="00974193"/>
    <w:rsid w:val="009A5EB0"/>
    <w:rsid w:val="00A40C10"/>
    <w:rsid w:val="00A443C1"/>
    <w:rsid w:val="00A955CD"/>
    <w:rsid w:val="00AA3D4F"/>
    <w:rsid w:val="00B04694"/>
    <w:rsid w:val="00B1777D"/>
    <w:rsid w:val="00B51CD6"/>
    <w:rsid w:val="00B73014"/>
    <w:rsid w:val="00B833D8"/>
    <w:rsid w:val="00BC70D5"/>
    <w:rsid w:val="00BF0A53"/>
    <w:rsid w:val="00C464A8"/>
    <w:rsid w:val="00C6762A"/>
    <w:rsid w:val="00CD4D55"/>
    <w:rsid w:val="00D01740"/>
    <w:rsid w:val="00D7295A"/>
    <w:rsid w:val="00D878F1"/>
    <w:rsid w:val="00D902A8"/>
    <w:rsid w:val="00D912B9"/>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2B25E5E"/>
    <w:rsid w:val="03505C66"/>
    <w:rsid w:val="03B42306"/>
    <w:rsid w:val="03D14550"/>
    <w:rsid w:val="03DB4E5F"/>
    <w:rsid w:val="04151788"/>
    <w:rsid w:val="05025F47"/>
    <w:rsid w:val="053E5C46"/>
    <w:rsid w:val="06277B8D"/>
    <w:rsid w:val="065F7783"/>
    <w:rsid w:val="07167BB0"/>
    <w:rsid w:val="074D0C92"/>
    <w:rsid w:val="07DE0AAA"/>
    <w:rsid w:val="0890464C"/>
    <w:rsid w:val="08A737BE"/>
    <w:rsid w:val="0AAA1711"/>
    <w:rsid w:val="0B250704"/>
    <w:rsid w:val="0B416A2F"/>
    <w:rsid w:val="0CEE1EC4"/>
    <w:rsid w:val="0CF02DEE"/>
    <w:rsid w:val="0D0B6766"/>
    <w:rsid w:val="0DB3678A"/>
    <w:rsid w:val="0DF45E56"/>
    <w:rsid w:val="0F0B47BD"/>
    <w:rsid w:val="0F8141E3"/>
    <w:rsid w:val="0F852E02"/>
    <w:rsid w:val="10727854"/>
    <w:rsid w:val="12080E07"/>
    <w:rsid w:val="12BF72C0"/>
    <w:rsid w:val="12C81AA5"/>
    <w:rsid w:val="12ED0661"/>
    <w:rsid w:val="13D53019"/>
    <w:rsid w:val="1484081D"/>
    <w:rsid w:val="14B35F82"/>
    <w:rsid w:val="15092CB2"/>
    <w:rsid w:val="150F3E36"/>
    <w:rsid w:val="1578613D"/>
    <w:rsid w:val="15A94FC8"/>
    <w:rsid w:val="15BE553B"/>
    <w:rsid w:val="168C6BED"/>
    <w:rsid w:val="18296D59"/>
    <w:rsid w:val="18345F44"/>
    <w:rsid w:val="193D01E0"/>
    <w:rsid w:val="196C0604"/>
    <w:rsid w:val="1A762C5A"/>
    <w:rsid w:val="1B6D2F0B"/>
    <w:rsid w:val="1C9C4B7F"/>
    <w:rsid w:val="1D2027D0"/>
    <w:rsid w:val="1D4E12BA"/>
    <w:rsid w:val="1D4E538A"/>
    <w:rsid w:val="1DBB5DC1"/>
    <w:rsid w:val="1E314200"/>
    <w:rsid w:val="1F4C00ED"/>
    <w:rsid w:val="1FD76A90"/>
    <w:rsid w:val="20C94E53"/>
    <w:rsid w:val="211F1DE5"/>
    <w:rsid w:val="222B6AC1"/>
    <w:rsid w:val="225E43F0"/>
    <w:rsid w:val="226117B6"/>
    <w:rsid w:val="22D6268A"/>
    <w:rsid w:val="23445D57"/>
    <w:rsid w:val="23570372"/>
    <w:rsid w:val="23F073B8"/>
    <w:rsid w:val="24206810"/>
    <w:rsid w:val="25333653"/>
    <w:rsid w:val="256B156C"/>
    <w:rsid w:val="25B27047"/>
    <w:rsid w:val="26D83835"/>
    <w:rsid w:val="274E680D"/>
    <w:rsid w:val="27F07B94"/>
    <w:rsid w:val="27F5397D"/>
    <w:rsid w:val="28602809"/>
    <w:rsid w:val="2AC44E41"/>
    <w:rsid w:val="2AFF29AF"/>
    <w:rsid w:val="2B2F5810"/>
    <w:rsid w:val="2B380887"/>
    <w:rsid w:val="2B6540BB"/>
    <w:rsid w:val="2B6F62D5"/>
    <w:rsid w:val="2B8704A8"/>
    <w:rsid w:val="2C164A61"/>
    <w:rsid w:val="2C3818FC"/>
    <w:rsid w:val="2DB81C0E"/>
    <w:rsid w:val="2DFA635E"/>
    <w:rsid w:val="2E2A26D1"/>
    <w:rsid w:val="2E6116FF"/>
    <w:rsid w:val="30670472"/>
    <w:rsid w:val="30C82935"/>
    <w:rsid w:val="30F9528B"/>
    <w:rsid w:val="31720F1C"/>
    <w:rsid w:val="32604EB6"/>
    <w:rsid w:val="32A17F2A"/>
    <w:rsid w:val="33B104B1"/>
    <w:rsid w:val="351B3A00"/>
    <w:rsid w:val="359D56FF"/>
    <w:rsid w:val="35EF5E14"/>
    <w:rsid w:val="36B332F7"/>
    <w:rsid w:val="37083883"/>
    <w:rsid w:val="37851925"/>
    <w:rsid w:val="37961BBF"/>
    <w:rsid w:val="37B637CC"/>
    <w:rsid w:val="37EB016A"/>
    <w:rsid w:val="38146403"/>
    <w:rsid w:val="38845FC5"/>
    <w:rsid w:val="38B97D28"/>
    <w:rsid w:val="39573D9E"/>
    <w:rsid w:val="3A1F5203"/>
    <w:rsid w:val="3A927640"/>
    <w:rsid w:val="3AE17129"/>
    <w:rsid w:val="3C3F6883"/>
    <w:rsid w:val="3CE43658"/>
    <w:rsid w:val="3D0205FB"/>
    <w:rsid w:val="3D033938"/>
    <w:rsid w:val="3D584BA2"/>
    <w:rsid w:val="3F3F7801"/>
    <w:rsid w:val="402E288B"/>
    <w:rsid w:val="403E7690"/>
    <w:rsid w:val="40487E84"/>
    <w:rsid w:val="40757A4F"/>
    <w:rsid w:val="407B73DA"/>
    <w:rsid w:val="417E794A"/>
    <w:rsid w:val="41F9564C"/>
    <w:rsid w:val="4220550C"/>
    <w:rsid w:val="42935814"/>
    <w:rsid w:val="447D2DED"/>
    <w:rsid w:val="45AA25D0"/>
    <w:rsid w:val="45E47B16"/>
    <w:rsid w:val="46574B02"/>
    <w:rsid w:val="47257A24"/>
    <w:rsid w:val="47651902"/>
    <w:rsid w:val="476F0C32"/>
    <w:rsid w:val="477B47A9"/>
    <w:rsid w:val="47B1451E"/>
    <w:rsid w:val="487A2378"/>
    <w:rsid w:val="48944504"/>
    <w:rsid w:val="497E10F1"/>
    <w:rsid w:val="4A1D1724"/>
    <w:rsid w:val="4A30398A"/>
    <w:rsid w:val="4A9174E4"/>
    <w:rsid w:val="4A9F4CF0"/>
    <w:rsid w:val="4AB235B5"/>
    <w:rsid w:val="4AC07792"/>
    <w:rsid w:val="4B11490D"/>
    <w:rsid w:val="4BA67A27"/>
    <w:rsid w:val="4CB5247D"/>
    <w:rsid w:val="4CE7092E"/>
    <w:rsid w:val="4D640287"/>
    <w:rsid w:val="4E252DB9"/>
    <w:rsid w:val="4EB54731"/>
    <w:rsid w:val="50195818"/>
    <w:rsid w:val="50275F04"/>
    <w:rsid w:val="5073301F"/>
    <w:rsid w:val="5193019F"/>
    <w:rsid w:val="51AC16B6"/>
    <w:rsid w:val="5253273C"/>
    <w:rsid w:val="525D662E"/>
    <w:rsid w:val="53B574A2"/>
    <w:rsid w:val="53D0531B"/>
    <w:rsid w:val="545424E6"/>
    <w:rsid w:val="54AB7872"/>
    <w:rsid w:val="54B54BD3"/>
    <w:rsid w:val="54E2638F"/>
    <w:rsid w:val="54E47F11"/>
    <w:rsid w:val="55835057"/>
    <w:rsid w:val="55D41E21"/>
    <w:rsid w:val="560C77D2"/>
    <w:rsid w:val="56184E1B"/>
    <w:rsid w:val="569D3F54"/>
    <w:rsid w:val="57DB6B64"/>
    <w:rsid w:val="585670F3"/>
    <w:rsid w:val="58FC13CD"/>
    <w:rsid w:val="594F45CB"/>
    <w:rsid w:val="5A6621BA"/>
    <w:rsid w:val="5B8A0B3C"/>
    <w:rsid w:val="5BC50A62"/>
    <w:rsid w:val="5CAA68DA"/>
    <w:rsid w:val="5CF021C7"/>
    <w:rsid w:val="5D0E453B"/>
    <w:rsid w:val="60050F24"/>
    <w:rsid w:val="60A12CD6"/>
    <w:rsid w:val="60E30D93"/>
    <w:rsid w:val="60F2511B"/>
    <w:rsid w:val="61263F4D"/>
    <w:rsid w:val="61561366"/>
    <w:rsid w:val="625D6BDD"/>
    <w:rsid w:val="631D301E"/>
    <w:rsid w:val="632048BD"/>
    <w:rsid w:val="63742834"/>
    <w:rsid w:val="6383212C"/>
    <w:rsid w:val="63C129F5"/>
    <w:rsid w:val="64446E91"/>
    <w:rsid w:val="64483194"/>
    <w:rsid w:val="649D39A3"/>
    <w:rsid w:val="657200AE"/>
    <w:rsid w:val="65E0558A"/>
    <w:rsid w:val="66272B12"/>
    <w:rsid w:val="6781115C"/>
    <w:rsid w:val="681C0A67"/>
    <w:rsid w:val="68872F66"/>
    <w:rsid w:val="689B62FF"/>
    <w:rsid w:val="68E8683A"/>
    <w:rsid w:val="694279A9"/>
    <w:rsid w:val="694D661D"/>
    <w:rsid w:val="696E3491"/>
    <w:rsid w:val="6A754810"/>
    <w:rsid w:val="6AA67E1C"/>
    <w:rsid w:val="6AFF5937"/>
    <w:rsid w:val="6BBA335A"/>
    <w:rsid w:val="6C3D2854"/>
    <w:rsid w:val="6CD81C1E"/>
    <w:rsid w:val="6D7E1CEF"/>
    <w:rsid w:val="6E163EDE"/>
    <w:rsid w:val="6F96218E"/>
    <w:rsid w:val="6FD35191"/>
    <w:rsid w:val="7161324F"/>
    <w:rsid w:val="71A63A80"/>
    <w:rsid w:val="71BC57F8"/>
    <w:rsid w:val="72282691"/>
    <w:rsid w:val="726C3FD1"/>
    <w:rsid w:val="73815F40"/>
    <w:rsid w:val="745201E6"/>
    <w:rsid w:val="746A6E28"/>
    <w:rsid w:val="74742979"/>
    <w:rsid w:val="766B0856"/>
    <w:rsid w:val="769433F8"/>
    <w:rsid w:val="769C48A8"/>
    <w:rsid w:val="76B77724"/>
    <w:rsid w:val="76B80955"/>
    <w:rsid w:val="76E26771"/>
    <w:rsid w:val="77FFAA82"/>
    <w:rsid w:val="781A4D19"/>
    <w:rsid w:val="78866B18"/>
    <w:rsid w:val="793B2A84"/>
    <w:rsid w:val="797F4170"/>
    <w:rsid w:val="7A1712DC"/>
    <w:rsid w:val="7A7973A8"/>
    <w:rsid w:val="7B09796A"/>
    <w:rsid w:val="7B0C0998"/>
    <w:rsid w:val="7B234C91"/>
    <w:rsid w:val="7BAA0A78"/>
    <w:rsid w:val="7C5031A0"/>
    <w:rsid w:val="7C750ACB"/>
    <w:rsid w:val="7D170BF1"/>
    <w:rsid w:val="7E707F48"/>
    <w:rsid w:val="7EA37D6D"/>
    <w:rsid w:val="7EFE1DAF"/>
    <w:rsid w:val="7F233392"/>
    <w:rsid w:val="7F544A77"/>
    <w:rsid w:val="7F665432"/>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Calibri" w:hAnsi="Calibri"/>
      <w:kern w:val="2"/>
    </w:rPr>
  </w:style>
  <w:style w:type="paragraph" w:styleId="3">
    <w:name w:val="Body Text"/>
    <w:basedOn w:val="1"/>
    <w:next w:val="4"/>
    <w:qFormat/>
    <w:uiPriority w:val="0"/>
    <w:pPr>
      <w:spacing w:after="120"/>
    </w:pPr>
    <w:rPr>
      <w:rFonts w:eastAsia="宋体"/>
    </w:rPr>
  </w:style>
  <w:style w:type="paragraph" w:styleId="4">
    <w:name w:val="Body Text 2"/>
    <w:basedOn w:val="1"/>
    <w:unhideWhenUsed/>
    <w:qFormat/>
    <w:uiPriority w:val="99"/>
    <w:pPr>
      <w:spacing w:before="60" w:after="60"/>
    </w:pPr>
    <w:rPr>
      <w:rFonts w:ascii="Arial" w:hAnsi="Arial" w:eastAsia="仿宋_GB2312"/>
      <w:spacing w:val="-5"/>
      <w:lang w:val="zh-CN" w:eastAsia="en-US"/>
    </w:rPr>
  </w:style>
  <w:style w:type="paragraph" w:styleId="5">
    <w:name w:val="Plain Text"/>
    <w:basedOn w:val="1"/>
    <w:next w:val="2"/>
    <w:qFormat/>
    <w:uiPriority w:val="0"/>
    <w:rPr>
      <w:rFonts w:ascii="宋体" w:hAnsi="Courier New"/>
    </w:rPr>
  </w:style>
  <w:style w:type="paragraph" w:styleId="6">
    <w:name w:val="Date"/>
    <w:basedOn w:val="1"/>
    <w:next w:val="1"/>
    <w:link w:val="25"/>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next w:val="9"/>
    <w:link w:val="18"/>
    <w:qFormat/>
    <w:uiPriority w:val="99"/>
    <w:pPr>
      <w:tabs>
        <w:tab w:val="center" w:pos="4153"/>
        <w:tab w:val="right" w:pos="8306"/>
      </w:tabs>
      <w:snapToGrid w:val="0"/>
      <w:spacing w:line="240" w:lineRule="atLeast"/>
      <w:jc w:val="left"/>
    </w:pPr>
    <w:rPr>
      <w:sz w:val="18"/>
      <w:szCs w:val="18"/>
    </w:rPr>
  </w:style>
  <w:style w:type="paragraph" w:customStyle="1" w:styleId="9">
    <w:name w:val="索引 51"/>
    <w:basedOn w:val="1"/>
    <w:next w:val="1"/>
    <w:qFormat/>
    <w:uiPriority w:val="0"/>
    <w:pPr>
      <w:ind w:left="1680"/>
    </w:pPr>
  </w:style>
  <w:style w:type="paragraph" w:styleId="10">
    <w:name w:val="header"/>
    <w:basedOn w:val="1"/>
    <w:link w:val="1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sz w:val="24"/>
      <w:szCs w:val="24"/>
    </w:rPr>
  </w:style>
  <w:style w:type="paragraph" w:styleId="12">
    <w:name w:val="Title"/>
    <w:basedOn w:val="1"/>
    <w:next w:val="1"/>
    <w:qFormat/>
    <w:uiPriority w:val="0"/>
    <w:pPr>
      <w:suppressAutoHyphens/>
      <w:spacing w:before="240" w:after="60"/>
      <w:jc w:val="center"/>
      <w:outlineLvl w:val="0"/>
    </w:pPr>
    <w:rPr>
      <w:rFonts w:ascii="Cambria" w:hAnsi="Cambria" w:eastAsia="宋体"/>
      <w:b/>
      <w:bCs/>
      <w:kern w:val="2"/>
    </w:rPr>
  </w:style>
  <w:style w:type="paragraph" w:styleId="13">
    <w:name w:val="Body Text First Indent"/>
    <w:basedOn w:val="3"/>
    <w:unhideWhenUsed/>
    <w:qFormat/>
    <w:uiPriority w:val="99"/>
    <w:pPr>
      <w:ind w:firstLine="420" w:firstLineChars="100"/>
    </w:pPr>
    <w:rPr>
      <w:rFonts w:eastAsia="仿宋_GB2312"/>
    </w:r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页脚 Char"/>
    <w:link w:val="8"/>
    <w:qFormat/>
    <w:uiPriority w:val="99"/>
    <w:rPr>
      <w:rFonts w:eastAsia="方正仿宋_GBK"/>
      <w:sz w:val="18"/>
      <w:szCs w:val="18"/>
    </w:rPr>
  </w:style>
  <w:style w:type="character" w:customStyle="1" w:styleId="19">
    <w:name w:val="页眉 Char"/>
    <w:link w:val="10"/>
    <w:qFormat/>
    <w:uiPriority w:val="0"/>
    <w:rPr>
      <w:rFonts w:eastAsia="方正仿宋_GBK"/>
      <w:sz w:val="18"/>
      <w:szCs w:val="18"/>
    </w:rPr>
  </w:style>
  <w:style w:type="paragraph" w:styleId="20">
    <w:name w:val="List Paragraph"/>
    <w:basedOn w:val="1"/>
    <w:qFormat/>
    <w:uiPriority w:val="0"/>
    <w:pPr>
      <w:ind w:firstLine="420" w:firstLineChars="200"/>
    </w:pPr>
    <w:rPr>
      <w:rFonts w:ascii="Calibri" w:hAnsi="Calibri" w:eastAsia="宋体"/>
      <w:sz w:val="21"/>
      <w:szCs w:val="22"/>
    </w:rPr>
  </w:style>
  <w:style w:type="paragraph" w:customStyle="1" w:styleId="21">
    <w:name w:val="纯文本1"/>
    <w:basedOn w:val="1"/>
    <w:qFormat/>
    <w:uiPriority w:val="0"/>
    <w:pPr>
      <w:spacing w:line="594" w:lineRule="exact"/>
      <w:ind w:firstLine="640" w:firstLineChars="200"/>
    </w:pPr>
  </w:style>
  <w:style w:type="paragraph" w:customStyle="1" w:styleId="22">
    <w:name w:val="Table Text"/>
    <w:semiHidden/>
    <w:qFormat/>
    <w:uiPriority w:val="0"/>
    <w:pPr>
      <w:kinsoku w:val="0"/>
      <w:autoSpaceDE w:val="0"/>
      <w:autoSpaceDN w:val="0"/>
      <w:adjustRightInd w:val="0"/>
      <w:snapToGrid w:val="0"/>
      <w:textAlignment w:val="baseline"/>
    </w:pPr>
    <w:rPr>
      <w:rFonts w:ascii="微软雅黑" w:hAnsi="微软雅黑" w:eastAsia="微软雅黑" w:cs="微软雅黑"/>
      <w:snapToGrid w:val="0"/>
      <w:color w:val="000000"/>
      <w:sz w:val="23"/>
      <w:szCs w:val="23"/>
      <w:lang w:val="en-US" w:eastAsia="en-US" w:bidi="ar-SA"/>
    </w:rPr>
  </w:style>
  <w:style w:type="paragraph" w:customStyle="1" w:styleId="23">
    <w:name w:val="普通(网站)1"/>
    <w:basedOn w:val="1"/>
    <w:qFormat/>
    <w:uiPriority w:val="0"/>
    <w:pPr>
      <w:jc w:val="left"/>
    </w:pPr>
    <w:rPr>
      <w:sz w:val="24"/>
    </w:rPr>
  </w:style>
  <w:style w:type="character" w:customStyle="1" w:styleId="24">
    <w:name w:val="fontstyle01"/>
    <w:basedOn w:val="16"/>
    <w:qFormat/>
    <w:uiPriority w:val="0"/>
    <w:rPr>
      <w:rFonts w:hint="default" w:ascii="FZSSK--GBK1-0" w:hAnsi="FZSSK--GBK1-0"/>
      <w:color w:val="000000"/>
      <w:sz w:val="24"/>
      <w:szCs w:val="24"/>
    </w:rPr>
  </w:style>
  <w:style w:type="character" w:customStyle="1" w:styleId="25">
    <w:name w:val="日期 Char"/>
    <w:basedOn w:val="16"/>
    <w:link w:val="6"/>
    <w:qFormat/>
    <w:uiPriority w:val="0"/>
    <w:rPr>
      <w:rFonts w:eastAsia="方正仿宋_GBK"/>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23</Pages>
  <Words>1843</Words>
  <Characters>10508</Characters>
  <Lines>87</Lines>
  <Paragraphs>24</Paragraphs>
  <TotalTime>9</TotalTime>
  <ScaleCrop>false</ScaleCrop>
  <LinksUpToDate>false</LinksUpToDate>
  <CharactersWithSpaces>12327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2025-08-05T10:44:00Z</dcterms:created>
  <dc:creator>jw</dc:creator>
  <cp:lastModifiedBy>user</cp:lastModifiedBy>
  <cp:lastPrinted>2025-07-17T18:07:00Z</cp:lastPrinted>
  <dcterms:modified xsi:type="dcterms:W3CDTF">2025-08-05T14:23:49Z</dcterms:modified>
  <dc:title>重庆市计委关于巫山县小小三峡手扒岩至平河</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A09297B64A1C404895E2F632AEE5DDAB_13</vt:lpwstr>
  </property>
  <property fmtid="{D5CDD505-2E9C-101B-9397-08002B2CF9AE}" pid="3" name="KSOProductBuildVer">
    <vt:lpwstr>2052-11.8.2.9958</vt:lpwstr>
  </property>
  <property fmtid="{D5CDD505-2E9C-101B-9397-08002B2CF9AE}" pid="4" name="KSOTemplateDocerSaveRecord">
    <vt:lpwstr>eyJoZGlkIjoiMjA5NTFkZjE2ZjJkZTE0MjBjNTM2ZDg1ZjU0OTQ2ZDkiLCJ1c2VySWQiOiIxMjgyNDc5MTg4In0=</vt:lpwstr>
  </property>
</Properties>
</file>