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pict>
          <v:shape id="_x0000_s1027" o:spid="_x0000_s1027" o:spt="136" type="#_x0000_t136" style="position:absolute;left:0pt;margin-top:98.7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沙坪坝区人民政府督查办文件" style="font-family:方正小标宋_GBK;font-size:36pt;font-weight:bold;v-text-align:center;"/>
          </v:shape>
        </w:pic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沙府督发﹝20</w:t>
      </w:r>
      <w:r>
        <w:rPr>
          <w:rFonts w:hint="eastAsia" w:ascii="Times New Roman" w:hAnsi="Times New Roman" w:eastAsia="方正仿宋_GBK"/>
          <w:bCs/>
          <w:sz w:val="32"/>
          <w:szCs w:val="32"/>
        </w:rPr>
        <w:t>22</w:t>
      </w:r>
      <w:r>
        <w:rPr>
          <w:rFonts w:ascii="Times New Roman" w:hAnsi="Times New Roman" w:eastAsia="方正仿宋_GBK"/>
          <w:bCs/>
          <w:sz w:val="32"/>
          <w:szCs w:val="32"/>
        </w:rPr>
        <w:t>﹞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</w:t>
      </w:r>
      <w:r>
        <w:rPr>
          <w:rFonts w:ascii="Times New Roman" w:hAnsi="Times New Roman" w:eastAsia="方正仿宋_GBK"/>
          <w:bCs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margin">
                  <wp:posOffset>2991485</wp:posOffset>
                </wp:positionV>
                <wp:extent cx="5615940" cy="0"/>
                <wp:effectExtent l="0" t="0" r="228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75pt;margin-top:235.5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OSJJ52AAAAAwB&#10;AAAPAAAAAAAAAAEAIAAAADgAAABkcnMvZG93bnJldi54bWxQSwECFAAUAAAACACHTuJA7lcTWswB&#10;AABgAwAADgAAAAAAAAABACAAAAA9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重庆市沙坪坝区人民政府督查办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关于印发</w:t>
      </w:r>
      <w:r>
        <w:rPr>
          <w:rFonts w:ascii="Times New Roman" w:hAnsi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年市政府工作报告目标任务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沙坪坝区分解方案的通知</w:t>
      </w:r>
    </w:p>
    <w:p>
      <w:pPr>
        <w:widowControl/>
        <w:spacing w:line="56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各有关单位：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为落实好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2年市政府工作报告确定的各项目标任务，按照区政府工作安排，区政府督查办梳理了与我区密切相关的156项重点工作，制定了《2022年市政府工作报告目标任务沙坪坝区分解方案》。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请各单位认真研究，细化举措，压实责任，并结合区委、区政府工作部署和本单位工作安排，统筹抓好落实。区政府督查办将加强督促检查，确保各项目标任务落到实处。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</w:t>
      </w:r>
    </w:p>
    <w:p>
      <w:pPr>
        <w:widowControl/>
        <w:spacing w:line="56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ind w:firstLine="3680" w:firstLineChars="115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重庆市沙坪坝区人民政府督查办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2年2月10日</w:t>
      </w:r>
    </w:p>
    <w:p>
      <w:pPr>
        <w:spacing w:line="50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（此件公开发布）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（联系人：陈  葛，联系电话：65368999）</w:t>
      </w:r>
    </w:p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2</w:t>
      </w:r>
      <w:r>
        <w:rPr>
          <w:rFonts w:ascii="Times New Roman" w:hAnsi="Times New Roman" w:eastAsia="方正小标宋_GBK"/>
          <w:sz w:val="44"/>
          <w:szCs w:val="44"/>
        </w:rPr>
        <w:t>年市政府工作报告目标任务</w:t>
      </w:r>
      <w:r>
        <w:rPr>
          <w:rFonts w:hint="eastAsia" w:ascii="Times New Roman" w:hAnsi="Times New Roman" w:eastAsia="方正小标宋_GBK"/>
          <w:sz w:val="44"/>
          <w:szCs w:val="44"/>
        </w:rPr>
        <w:t>沙坪坝区</w:t>
      </w:r>
      <w:r>
        <w:rPr>
          <w:rFonts w:ascii="Times New Roman" w:hAnsi="Times New Roman" w:eastAsia="方正小标宋_GBK"/>
          <w:sz w:val="44"/>
          <w:szCs w:val="44"/>
        </w:rPr>
        <w:t>分解</w:t>
      </w:r>
      <w:r>
        <w:rPr>
          <w:rFonts w:hint="eastAsia" w:ascii="Times New Roman" w:hAnsi="Times New Roman" w:eastAsia="方正小标宋_GBK"/>
          <w:sz w:val="44"/>
          <w:szCs w:val="44"/>
        </w:rPr>
        <w:t>方案</w:t>
      </w:r>
    </w:p>
    <w:tbl>
      <w:tblPr>
        <w:tblStyle w:val="11"/>
        <w:tblpPr w:leftFromText="180" w:rightFromText="180" w:vertAnchor="page" w:horzAnchor="margin" w:tblpXSpec="center" w:tblpY="1692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7796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55"/>
              </w:tabs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类别</w:t>
            </w:r>
          </w:p>
        </w:tc>
        <w:tc>
          <w:tcPr>
            <w:tcW w:w="7796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市级任务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区内牵头部门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区内配合部门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全力以赴稳增长，保持经济运行在合理区间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抓好基础设施投资放量，深入实施抓项目稳投资专项行动，聚焦“两新一重”、城市更新、民生补短板等领域布局一批重大项目，开工一批成熟项目，加快在建工程进度，形成更多工作实物量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抓好工业投资提质增效，用好产业链招商等方式，引进一批牵引性强、可持续发展的项目，提高招商签约项目开工率和资金到位额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（招商中心）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引导企业加大设备更新和技改投入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培育品质消费，推进解放碑—朝天门、观音桥、三峡广场等商圈建设，提档升级中央商务区，优化商圈业态布局，发展智慧商圈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10"/>
                <w:sz w:val="24"/>
                <w:szCs w:val="24"/>
              </w:rPr>
              <w:t>三峡广场商圈管委会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鼓励区县开展新能源汽车促销、绿色智能家电下乡和以旧换新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培育新型消费，挖掘重庆特色文化、特色美食和特色旅游资源，推动消费产业联动融合，提质发展电子商务，促进线上线下融合、商旅文体跨界发展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优化消费环境，完善现代商贸流通体系，健全社区商业配套设施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严厉打击制售假冒伪劣商品违法行为，完善消费者权益保护机制，释放居民消费潜力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市场主体是经济的力量载体，要完善企业意见收集、办理、反馈良性机制，营造重商、亲商、安商良好氛围，千方百计把各类市场主体保护好、发展好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区国资委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区工商联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推动大中小企业协同发展，做强做大“链主”企业，大力培育领军企业，实施“专精特新”中小企业高质量发展专项行动计划，培育发展优质中小企业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加大助企纾困力度，落实国家新的组合式减税降费政策，继续执行现行纾困政策，实施中小微企业助力工程，对受疫情影响较重的服务业等困难行业实施精准帮扶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区税务局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统筹成渝地区双城经济圈建设和“一区两群”协调发展，持续释放区域经济发展布局优化效应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加强全方位协同、全领域合作，唱好“双城记”、共建经济圈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启动实施第三批“川渝通办”事项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区政务服务办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城都市区，突出强核提能级、扩容提品质，构建国土空间规划“一张图”、基础设施“一张网”、公共服务“一张表”、城市管理“一平台”，统筹布局科技创新、先进制造、现代服务等重大功能设施，促进中心城区和主城新区交通同网、产业同链、服务同标、发展同步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更大力度推动科技创新，加快建设具有全国影响力的科技创新中心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高水平建设西部（重庆）科学城，紧扣“五个科学”“五个科技”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科学城建设领导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小组成员单位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强化企业创新主体地位，启动科技型中小企业创新发展行动计划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支持企业创建国家技术创新中心、制造业创新中心、产业创新中心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深化产学研合作，加快构建龙头企业牵头、高校院所支撑、各类创新主体相互协同的创新联合体，协同开展关键核心技术攻关，提升科技创新体系整体效能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完善政策、集聚人才、优化服务，健全政产学研用协同创新机制，促进科技、产业、金融、人才良性循环，加快创新成果产业化、商业化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强化科技人才集聚，完善科技人才培养、使用、评价、服务、支持、激励等体制机制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区委组织部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加快构建现代产业体系，增强产业链韧性和竞争力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围绕国家重要先进制造业中心建设，突出支柱产业提质增效、战略性新兴产业发展壮大、产业链供应链现代化水平提升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推动数字技术同经济社会发展深度融合，高水平建设“智造重镇”“智慧名城”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深化智能制造实施，加快生产设备、关键环节智能化改造，新培育10个智能工厂、100个数字化车间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区工投公司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实施企业上市“育苗”专项行动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（区金融办）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加快建设内陆国际物流枢纽，打造国际物流城升级版，整合市属重点港口物流资源，引育综合物流服务集成商，壮大国际物流、供应链物流、专业化物流等新业态，建设一批分拨运营基地，完善物流配送体系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区物流办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加快建设国际知名文化旅游目的地，推动巴蜀文化旅游走廊建设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打造文化产业示范基地，积极创建5A级景区、国家级旅游度假区和国家文旅消费示范城市，提升大都市、大三峡、大武陵旅游品牌影响力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磁器口古镇管委会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（5A级景区创建指挥部）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推进其他服务业高质量发展，加快国家工业设计示范城市、国家服务外包示范城市建设，培育发展健康服务业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发展会计、法律、审计等专业中介服务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区司法局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推动改革落地见效，激发市场活力和发展内生动力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推进预算管理一体化改革，加强财政资源统筹，优化财政支出结构，保障重大战略任务和民生支出，兜牢基层“三保”底线，提升财政政策效能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加强政府债务风险排查，防范化解政府债务风险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加强金融法治建设，开展虚拟货币、私募基金、第三方财富管理等风险排查，落实防范和处置非法集资条例，压实金融风险处置各方责任，持续防范化解金融风险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（区金融办）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区委网信办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深化国企混合所有制改革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区国资委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深化经营性国有资产集中统一监管，运用智能化手段提升国资监管效能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区国资委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完善常态化政企沟通联系机制，落实领导干部联系商会、非公经济接待日、走访服务民营市场主体等制度，畅通民营企业反映诉求渠道，依法保护民营企业合法权益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区委统战部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区工商联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支持龙头企业自主创新、发展壮大，引导大型民营企业带动配套小企业共同发展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区工商联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区委统战部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弘扬企业家精神，建设高素质企业家队伍，构建亲清政商关系，对企业“无事不扰、难时出手、有呼必应”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区工商联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区司法局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深入实施《重庆市优化营商环境条例》，深化“放管服”改革，落实营商环境创新试点100项首批改革事项，持续营造国际一流营商环境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区政务服务办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区司法局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加快市场化改革，探索“一业一证（照）”改革创新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区政务服务办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推进法治化建设，推广法治化营商环境司法评估指数体系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区法院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区司法局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加强社会信用体系建设，治理恶意拖欠账款和逃废债行为，加大知识产权保护力度，严格执行知识产权侵权赔偿制度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加快引育国际学校、国际医院、国际社区，让城市展现国际范、彰显重庆味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扩大高水平开放，更好融入国内国际双循环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完善出海出境大通道体系，强化内陆国际物流枢纽支撑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推动西部陆海新通道增线扩能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加密重庆至钦州港等铁海联运班列，稳定开行重庆至越南、老挝国际铁路班列，拓展跨境公路直通班车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推进中欧班列扩容提质，加快建设集结中心示范工程，推动海外仓发展，拓展线路网络，构建定点、定线、定时、定价、定车次的稳定运转体系，深挖高品质回程货源，提升班列货值规模和影响力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强化物流和运营组织中心功能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区物流办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深化智慧长江物流工程，加密沪渝直达快线、渝甬班列，发展长江干支联运，推广江海直达集装箱船型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强化渝满俄班列沿线货源组织集结，优化运输货品结构，探索开行更多货物品种公共班列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完善港口型、陆港型、空港型国家物流枢纽功能，创建生产服务型、商贸服务型国家物流枢纽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加大先进制造、现代服务等领域外资引进力度，促进外资企业增资扩产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区物流办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加快建设中西部国际交往中心，深化国际人文、科技等领域交流合作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区政府外办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拓展国际友城务实合作，持续提升国际交往能力和水平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区政府外办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全面推进乡村振兴，加快农业农村现代化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强化就业帮扶、消费帮扶和易地搬迁后续扶持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抓紧抓实粮食和重要农产品供给，严格落实“米袋子”“菜篮子”责任制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（区粮食局）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区粮食安全行政首长责任制考核工作组成员单位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落实耕地保护建设硬措施，严格耕地保护责任，加强耕地用途管制，坚决遏制耕地“非农化”、防止“非粮化”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稳定粮食播种面积和产量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大力发展农产品精深加工、农村电商和乡村旅游，促进农村一二三产业融合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优化乡村规划，深入推进“三师一家”下乡，有序推进乡镇国土空间规划编制，完善实用性村庄规划，强化村庄风貌引导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加强农村基础设施建设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动态消除农村低收入群体等重点对象危房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持续实施农村人居环境整治提升五年行动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扎实开展“村庄清洁行动”和“五清理一活动”专项行动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推进农村改厕、生活垃圾和污水治理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提升农村公共服务水平，新增教育、卫生、文化、体育等社会事业经费向农村倾斜，推进城乡基本公共服务标准统一、制度并轨，以农村公共服务有效供给提升农民获得感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创新“三社”融合发展机制，壮大新型集体经济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区供销社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加快培育新型农业经营主体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加强农村基层组织建设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区委组织部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健全农业社会化服务体系、农村物流配送体系、农村信用体系和农业农村工作体系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持续推进城市提升，提高城市功能品质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出台全市国土空间总体规划，完成区县国土空间总体规划和分区规划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加快推进成渝中线、渝万、渝昆、成达万、渝湘高铁重庆至黔江段、重庆东站等在建项目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推动城市供水管网向镇村覆盖，创建国家节水型城市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区统计局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优化城市空间，做靓“两江四岸”主轴，高品质建设城市功能名片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加快重庆美术公园等项目建设，完成磁器口滨江片区、花溪河湿地公园等项目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磁器口古镇管委会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完善城市功能，持续推进城市更新试点示范项目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新开工改造1277个城镇老旧小区，实施1.5万户棚户区改造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实施城市内涝治理五年行动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区应急局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区国资委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修复城市生态，推进“四山”保护提升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推动坡坎崖滩治理向区县延伸，做靓山城步道、山城花境等特色品牌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区国资委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打造社区体育文化公园、口袋公园等休闲空间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改善城市路网，启动中心城区路网更新和停车治理专题年行动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推动老城区堵点、重要交通节点、街巷交通路网一体规划、一体更新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加强古建筑、老宅子、老街区保护，为城市留住根脉、留存记忆，让城市更有人文范、书香味、烟火气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树立全周期管理意识、同城化管理理念，推动“大城三管”“马路办公”等实践成果转化为制度标准，提升区县城市管理水平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推动生活垃圾分类覆盖全市所有镇街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生活垃圾分类工作领导小组成员单位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优化物业管理服务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加快城市综合管理服务平台建设，推进城市建成区数字化管理全覆盖，构建“一云承载、一图呈现、一网统管、一端服务”的城市智管新格局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（区大数据局）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区应急局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区公安分行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加快建设山清水秀美丽之地，筑牢长江上游重要生态屏障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统筹山水林田湖草系统治理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建设“两岸青山·千里林带”50万亩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科学推进石漠化、消落区、水土流失综合治理和矿山生态修复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严格落实长江“十年禁渔”政策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打好碧水保卫战，加强重点流域水环境综合治理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实施城市排水管网精细化排查，补齐城镇污水处理设施短板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巩固城市黑臭水体治理成效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打好蓝天保卫战，聚焦臭氧污染和细颗粒物协同控制，强化工业废气、交通污染、扬尘和露天焚烧等领域管控，加强区域联防联治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打好净土保卫战，开展双城经济圈“无废城市”共建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强化建设用地、农用地等土壤污染防治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有序推进农村黑臭水体整治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健全问题发现机制，常态长效推进生态环境问题整改，提高生态环境监管执法效能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严格“两高”项目准入要求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全面推进绿色制造、绿色建造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大力培育循环经济、生态产业和节能环保产业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落实全面节约战略，开展绿色生活创建行动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区生态环境局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区交通局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区机关事务局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区妇联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推广装配式建筑和新型材料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105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推进以改善民生为重点的社会建设，以更有效举措促进共同富裕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坚持“外防输入、内防反弹”总策略和“动态清零”总方针，坚持常态化精准防控和局部应急处置相结合，落实“四早”要求，压实“四方”责任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疫情防控领导小组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严格落实人、物、环境同防和空港口岸分流措施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区物流办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国际物流枢纽公司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疫情防控领导小组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强化重点人员健康管理和重点场所疫情防控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三峡广场商圈管委会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西站管委会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磁器口古镇管委会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疫情防控领导小组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继续推进疫苗接种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落实就业优先政策，解决高校毕业生、农民工、退役军人等重点群体就业问题，健全灵活就业劳动用工和社会保障政策。增加低收入群体收入，扩大中等收入群体比重，鼓励勤劳创新致富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坚持房子是用来住的、不是用来炒的定位，全面落实稳地价、稳房价、稳预期长效管理调控机制，发展长租房市场，推进保障性住房建设，解决好新市民、青年人等群体住房困难问题，促进房地产业良性循环和健康发展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积极应对人口老龄化，建立基本养老服务清单制度，开展家庭养老床位照护服务试点，实现城乡社区居家养老服务全覆盖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健全退役军人政策制度和工作运行机制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区退役军人事务局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区委退役军人事务工作领导小组成员单位。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完善社会救助机制，发展妇女、儿童、残疾人、慈善等福利事业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区妇联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区残联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建立健全未成年人保护体系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区未成年人保护工作领导小组成员单位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以教育评价改革为牵引，纵深推进教育改革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规范和支持普惠性幼儿园发展，力争学前教育普惠率巩固在90%以上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巩固和扩大义务教育“双减”成果，加快推进国家义务教育优质均衡发展区县建设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办好特殊教育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实施区县医院综合能力提升行动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适时启动适龄女性免费接种宫颈癌疫苗工作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促进中医药传承创新发展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区委编办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区发展改革委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区人力社保局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区农业农村委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培育和践行社会主义核心价值观，深化新时代文明实践中心建设，推动文明创建提质扩面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区委宣传部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支持文艺创作和展演，实施文艺作品质量提升工程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区委宣传部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繁荣哲学社会科学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区委宣传部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区社科联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推动文化产业发展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倡导全民阅读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区委宣传部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区文化旅游委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127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坚持和发展新时代“枫桥经验”，强化基层治理能力建设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区委政法委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区委组织部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区委宣传部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区科技局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区民政局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区司法局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区信访办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完善信访制度，优化矛盾纠纷化解一站式服务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区信访办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区委政法委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区法院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区检察院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区司法局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依法管理宗教事务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区委统战部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开展城市治理风险清单管理试点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区城管局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完成安全生产和消防安全专项整治三年行动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区应急局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区安委会成员单位区高层建筑消防安全专项整治领导小组成员单位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持续开展“两重大一突出”集中整治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区应急局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区安委会成员单位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全面开展燃气安全排查整治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区经济信息委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区教委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区住房城乡建委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区商务委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区卫生健康委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区应急局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区规划自然资源局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推进自然灾害风险普查和防治能力提升“八项工程”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区应急局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区安委会成员单位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加强食品药品安全监管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区市场监管局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区食药安委成员单位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健全社会治安防控体系，强化公民个人信息保护，防范打击电信网络诈骗、跨境赌博等新型犯罪，推动扫黑除恶长效常治，运用大数据提升社会治理能力，建设更高水平的平安重庆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区委政法委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区公安分局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平安沙坪坝建设领导小组社会治安组成员单位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区扫黑除恶专项斗争领导小组成员单位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137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把政治建设摆在首位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深学笃用习近平新时代中国特色社会主义思想，深刻认识“两个确立”的决定性意义，增强“四个意识”、坚定“四个自信”、做到“两个维护”，不断提高政治判断力、政治领悟力、政治执行力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ind w:firstLine="480" w:firstLineChars="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持续深入肃清孙政才恶劣影响和薄熙来、王立军流毒，</w:t>
            </w:r>
          </w:p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坚决肃清邓恢林流毒影响，营造风清气正的政治生态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推进中央巡视、审计反馈问题整改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严格落实意识形态工作责任制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巩固拓展党史学习教育成果，弘扬伟大建党精神，增加历史自信、增进团结统一、增强斗争精神，更好把握和运用党的百年奋斗历史经验，更加坚定自觉地践行初心使命，以实际行动兑现市委“三个确保”政治承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把法治建设推向纵深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全面落实法治政府建设实施纲要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143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推动法治政府建设督察反馈问题整改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区司法局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自觉接受人大监督、政协监督、监察监督、司法监督，主动接受社会监督和舆论监督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严格执行人大及其常委会决议决定，支持人民政协履行职责，认真办理人大代表建议和政协提案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深化政务公开，强化政务诚信建设，努力使法治政府各方面制度更加健全、更加完善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147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把效能建设抓紧抓实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注重学习提能，及时跟进科技变革新趋势、产业发展新动态、国际经贸新规则，学习历史知识、厚植文化底蕴、强化生态观念，不断提高专业能力和解决实际问题能力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148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加强调查研究，倾听群众呼声，回应现实需要，作决策尊重客观实际，干工作综合考虑各方面因素，防止简单化、单打一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149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激励担当作为，在招商引资前线、项目建设一线、攻坚克难火线锻炼干部、识别干部，鼓励创造性干工作，完善容错纠错机制，让敢干者有舞台、实干者有平台，让担当者无忧、奋斗者无憾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强化效率意识，牢固树立“今天再晚也是早、明天再早也是晚”的时间观念，发扬马上就办和钉钉子精神，对作出的决策、部署的工作、定下的事情，都要明确具体时间节点，立说立行、紧盯不放、一抓到底，以高效率赢得高效益、以快节奏换来大发展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151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做好跟踪问效，抓而不紧等于不抓，抓而不实等于白抓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152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“致广大而尽精微”是成事之道，要做到谋划时统揽大局、操作中细致精当，完善目标分解、台账管理、督查考核、总结评估等工作闭环，把工作整巴适、不吹壳子，确保干一件成一件、落实一件销号一件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153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把廉政建设贯穿始终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严格落实中央八项规定精神和市委实施意见，深化整治形式主义、官僚主义，持续为基层松绑减负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区纪委监委机关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区政府办公室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154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严肃财经纪律，落实过紧日子要求，把每一分钱都用在“刀刃”上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区财政局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155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聚焦重点领域、重要部门、关键岗位，聚焦群众身边腐败和损害群众利益问题，持之以恒正风肃纪反腐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156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深化拓展“以案四说”“以案四改”，健全一体推进不敢腐不能腐不想腐有效机制，全市政府系统工作人员要克己奉公、以俭修身，明大德、守公德、严私德，讲担当、讲情怀、讲奉献，永葆为民务实清廉的政治本色，做到不负历史、不负时代、不负人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区纪委监委机关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区级各部门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各镇街</w:t>
            </w:r>
          </w:p>
        </w:tc>
      </w:tr>
    </w:tbl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sectPr>
      <w:pgSz w:w="16840" w:h="11907" w:orient="landscape"/>
      <w:pgMar w:top="907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818636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54061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 w:eastAsia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  <w:lang w:eastAsia="zh-CN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D4"/>
    <w:rsid w:val="00000741"/>
    <w:rsid w:val="00023B47"/>
    <w:rsid w:val="00023BF9"/>
    <w:rsid w:val="000538A9"/>
    <w:rsid w:val="00053940"/>
    <w:rsid w:val="00053A87"/>
    <w:rsid w:val="0006295A"/>
    <w:rsid w:val="00081010"/>
    <w:rsid w:val="00090FDA"/>
    <w:rsid w:val="000A49DB"/>
    <w:rsid w:val="000B4A5B"/>
    <w:rsid w:val="000B75BC"/>
    <w:rsid w:val="000C4E7C"/>
    <w:rsid w:val="000C7234"/>
    <w:rsid w:val="000D46C0"/>
    <w:rsid w:val="000D5FB2"/>
    <w:rsid w:val="00100E18"/>
    <w:rsid w:val="00102666"/>
    <w:rsid w:val="00111C37"/>
    <w:rsid w:val="00114387"/>
    <w:rsid w:val="00131319"/>
    <w:rsid w:val="00134A55"/>
    <w:rsid w:val="001364C0"/>
    <w:rsid w:val="001371E1"/>
    <w:rsid w:val="00160D4A"/>
    <w:rsid w:val="00165EAD"/>
    <w:rsid w:val="00190098"/>
    <w:rsid w:val="001B409F"/>
    <w:rsid w:val="001B40C8"/>
    <w:rsid w:val="001B513E"/>
    <w:rsid w:val="001B6C35"/>
    <w:rsid w:val="001B7810"/>
    <w:rsid w:val="001B7B32"/>
    <w:rsid w:val="001C179B"/>
    <w:rsid w:val="001D14D9"/>
    <w:rsid w:val="001F1B42"/>
    <w:rsid w:val="001F5EB7"/>
    <w:rsid w:val="001F7F8B"/>
    <w:rsid w:val="002014D7"/>
    <w:rsid w:val="0020337A"/>
    <w:rsid w:val="0020657D"/>
    <w:rsid w:val="00216AD2"/>
    <w:rsid w:val="00236DE2"/>
    <w:rsid w:val="0029156B"/>
    <w:rsid w:val="002960B7"/>
    <w:rsid w:val="002A51EA"/>
    <w:rsid w:val="002C5245"/>
    <w:rsid w:val="002C6963"/>
    <w:rsid w:val="002C78C4"/>
    <w:rsid w:val="002D0E29"/>
    <w:rsid w:val="002D2E76"/>
    <w:rsid w:val="002D77E0"/>
    <w:rsid w:val="002E2BDD"/>
    <w:rsid w:val="002F170F"/>
    <w:rsid w:val="0030062C"/>
    <w:rsid w:val="00305488"/>
    <w:rsid w:val="003108E1"/>
    <w:rsid w:val="0031462A"/>
    <w:rsid w:val="00315E85"/>
    <w:rsid w:val="00353417"/>
    <w:rsid w:val="00366484"/>
    <w:rsid w:val="00374B66"/>
    <w:rsid w:val="00392485"/>
    <w:rsid w:val="00394D31"/>
    <w:rsid w:val="003A1604"/>
    <w:rsid w:val="003D63C1"/>
    <w:rsid w:val="003D6D8F"/>
    <w:rsid w:val="003E4B1B"/>
    <w:rsid w:val="003F303B"/>
    <w:rsid w:val="003F6E16"/>
    <w:rsid w:val="00416219"/>
    <w:rsid w:val="00424C25"/>
    <w:rsid w:val="0043519F"/>
    <w:rsid w:val="00442150"/>
    <w:rsid w:val="00442DD4"/>
    <w:rsid w:val="004503D3"/>
    <w:rsid w:val="0045170B"/>
    <w:rsid w:val="00452489"/>
    <w:rsid w:val="00466DE7"/>
    <w:rsid w:val="0047309A"/>
    <w:rsid w:val="004949F0"/>
    <w:rsid w:val="004A6A1D"/>
    <w:rsid w:val="004C0064"/>
    <w:rsid w:val="004D130C"/>
    <w:rsid w:val="004E4CF2"/>
    <w:rsid w:val="00511CF9"/>
    <w:rsid w:val="00513F4C"/>
    <w:rsid w:val="00514BE6"/>
    <w:rsid w:val="005175D9"/>
    <w:rsid w:val="00524EA1"/>
    <w:rsid w:val="005250A0"/>
    <w:rsid w:val="00543F6A"/>
    <w:rsid w:val="00551961"/>
    <w:rsid w:val="00556E64"/>
    <w:rsid w:val="00562C8C"/>
    <w:rsid w:val="00565553"/>
    <w:rsid w:val="0059551B"/>
    <w:rsid w:val="005A7CA8"/>
    <w:rsid w:val="005C008D"/>
    <w:rsid w:val="005C0F16"/>
    <w:rsid w:val="005C358C"/>
    <w:rsid w:val="005D4E15"/>
    <w:rsid w:val="005E3054"/>
    <w:rsid w:val="005E41CB"/>
    <w:rsid w:val="005E4FE9"/>
    <w:rsid w:val="005F7305"/>
    <w:rsid w:val="00615599"/>
    <w:rsid w:val="00615676"/>
    <w:rsid w:val="00624AB5"/>
    <w:rsid w:val="00657986"/>
    <w:rsid w:val="006608CA"/>
    <w:rsid w:val="00665B3B"/>
    <w:rsid w:val="00681978"/>
    <w:rsid w:val="00686CCA"/>
    <w:rsid w:val="006A0E5C"/>
    <w:rsid w:val="006B6678"/>
    <w:rsid w:val="006E6466"/>
    <w:rsid w:val="006F1A1B"/>
    <w:rsid w:val="006F1B91"/>
    <w:rsid w:val="006F44F2"/>
    <w:rsid w:val="006F5AA7"/>
    <w:rsid w:val="00703ABE"/>
    <w:rsid w:val="007063D7"/>
    <w:rsid w:val="00707435"/>
    <w:rsid w:val="00716DE8"/>
    <w:rsid w:val="00722CAF"/>
    <w:rsid w:val="00726425"/>
    <w:rsid w:val="00735CF5"/>
    <w:rsid w:val="0076475D"/>
    <w:rsid w:val="007737A6"/>
    <w:rsid w:val="00776E96"/>
    <w:rsid w:val="0079004D"/>
    <w:rsid w:val="00791090"/>
    <w:rsid w:val="007947FC"/>
    <w:rsid w:val="007A6E1D"/>
    <w:rsid w:val="007E4F40"/>
    <w:rsid w:val="007E51E0"/>
    <w:rsid w:val="007F08E2"/>
    <w:rsid w:val="007F172B"/>
    <w:rsid w:val="007F2D02"/>
    <w:rsid w:val="008073CE"/>
    <w:rsid w:val="00822888"/>
    <w:rsid w:val="00830E83"/>
    <w:rsid w:val="00832FBC"/>
    <w:rsid w:val="0083366A"/>
    <w:rsid w:val="00834ACD"/>
    <w:rsid w:val="00844944"/>
    <w:rsid w:val="008658AB"/>
    <w:rsid w:val="00871246"/>
    <w:rsid w:val="00882171"/>
    <w:rsid w:val="00891300"/>
    <w:rsid w:val="00892059"/>
    <w:rsid w:val="008A6FAB"/>
    <w:rsid w:val="008C6839"/>
    <w:rsid w:val="008D6988"/>
    <w:rsid w:val="00900873"/>
    <w:rsid w:val="009147BF"/>
    <w:rsid w:val="00923067"/>
    <w:rsid w:val="00930158"/>
    <w:rsid w:val="0093541F"/>
    <w:rsid w:val="00940748"/>
    <w:rsid w:val="009507F2"/>
    <w:rsid w:val="00952A6D"/>
    <w:rsid w:val="009635AF"/>
    <w:rsid w:val="009756AA"/>
    <w:rsid w:val="00980605"/>
    <w:rsid w:val="00997D5F"/>
    <w:rsid w:val="009A0570"/>
    <w:rsid w:val="009A07B5"/>
    <w:rsid w:val="009A157B"/>
    <w:rsid w:val="009A5FD1"/>
    <w:rsid w:val="009A7CC4"/>
    <w:rsid w:val="009B418A"/>
    <w:rsid w:val="009D22A6"/>
    <w:rsid w:val="009D5D1F"/>
    <w:rsid w:val="009D6CE9"/>
    <w:rsid w:val="009F0B0E"/>
    <w:rsid w:val="00A02943"/>
    <w:rsid w:val="00A57143"/>
    <w:rsid w:val="00A64195"/>
    <w:rsid w:val="00A76170"/>
    <w:rsid w:val="00A76420"/>
    <w:rsid w:val="00A77CB9"/>
    <w:rsid w:val="00A85536"/>
    <w:rsid w:val="00AA21D9"/>
    <w:rsid w:val="00AA5AB7"/>
    <w:rsid w:val="00AC71BA"/>
    <w:rsid w:val="00B11465"/>
    <w:rsid w:val="00B121CF"/>
    <w:rsid w:val="00B17514"/>
    <w:rsid w:val="00B22CAA"/>
    <w:rsid w:val="00B44ABF"/>
    <w:rsid w:val="00B54811"/>
    <w:rsid w:val="00B617FD"/>
    <w:rsid w:val="00B7192A"/>
    <w:rsid w:val="00B808C5"/>
    <w:rsid w:val="00B921D8"/>
    <w:rsid w:val="00B945DD"/>
    <w:rsid w:val="00BB5F04"/>
    <w:rsid w:val="00BB6876"/>
    <w:rsid w:val="00BC4068"/>
    <w:rsid w:val="00BC5729"/>
    <w:rsid w:val="00BD3BEA"/>
    <w:rsid w:val="00BE706A"/>
    <w:rsid w:val="00BE7FAA"/>
    <w:rsid w:val="00BF2DDE"/>
    <w:rsid w:val="00BF5389"/>
    <w:rsid w:val="00C00ACF"/>
    <w:rsid w:val="00C06191"/>
    <w:rsid w:val="00C16E55"/>
    <w:rsid w:val="00C20FA5"/>
    <w:rsid w:val="00C25190"/>
    <w:rsid w:val="00C50D93"/>
    <w:rsid w:val="00C57873"/>
    <w:rsid w:val="00C57888"/>
    <w:rsid w:val="00C67D7F"/>
    <w:rsid w:val="00C76914"/>
    <w:rsid w:val="00C830E4"/>
    <w:rsid w:val="00C972C1"/>
    <w:rsid w:val="00CB1C35"/>
    <w:rsid w:val="00CB4FAE"/>
    <w:rsid w:val="00CC2659"/>
    <w:rsid w:val="00CC2A00"/>
    <w:rsid w:val="00CC4B59"/>
    <w:rsid w:val="00CE52A0"/>
    <w:rsid w:val="00D06F6B"/>
    <w:rsid w:val="00D114C3"/>
    <w:rsid w:val="00D329F4"/>
    <w:rsid w:val="00D35E9E"/>
    <w:rsid w:val="00D40FC9"/>
    <w:rsid w:val="00D65DF8"/>
    <w:rsid w:val="00D80D4D"/>
    <w:rsid w:val="00D84BDC"/>
    <w:rsid w:val="00D9459F"/>
    <w:rsid w:val="00DA2E07"/>
    <w:rsid w:val="00DC05C4"/>
    <w:rsid w:val="00DC1F8D"/>
    <w:rsid w:val="00DE0FE2"/>
    <w:rsid w:val="00DF7E6B"/>
    <w:rsid w:val="00E11483"/>
    <w:rsid w:val="00E1171C"/>
    <w:rsid w:val="00E1626D"/>
    <w:rsid w:val="00E33488"/>
    <w:rsid w:val="00E34647"/>
    <w:rsid w:val="00E34763"/>
    <w:rsid w:val="00E43532"/>
    <w:rsid w:val="00E449AD"/>
    <w:rsid w:val="00E53663"/>
    <w:rsid w:val="00E6580C"/>
    <w:rsid w:val="00E65F87"/>
    <w:rsid w:val="00E72FBC"/>
    <w:rsid w:val="00E82E1E"/>
    <w:rsid w:val="00E955E8"/>
    <w:rsid w:val="00EA323E"/>
    <w:rsid w:val="00EB4534"/>
    <w:rsid w:val="00ED3FF6"/>
    <w:rsid w:val="00EF3614"/>
    <w:rsid w:val="00F05C19"/>
    <w:rsid w:val="00F1160F"/>
    <w:rsid w:val="00F265FA"/>
    <w:rsid w:val="00F361B7"/>
    <w:rsid w:val="00F452E5"/>
    <w:rsid w:val="00F455EB"/>
    <w:rsid w:val="00F52756"/>
    <w:rsid w:val="00F61174"/>
    <w:rsid w:val="00F6668B"/>
    <w:rsid w:val="00F7450C"/>
    <w:rsid w:val="00F81836"/>
    <w:rsid w:val="00F90A25"/>
    <w:rsid w:val="00FB2096"/>
    <w:rsid w:val="00FB7601"/>
    <w:rsid w:val="00FC390A"/>
    <w:rsid w:val="00FD0605"/>
    <w:rsid w:val="00FE40BE"/>
    <w:rsid w:val="00FE5101"/>
    <w:rsid w:val="00FE69FF"/>
    <w:rsid w:val="3FFFC466"/>
    <w:rsid w:val="777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1"/>
    <w:pPr>
      <w:ind w:left="363"/>
      <w:jc w:val="both"/>
    </w:pPr>
    <w:rPr>
      <w:sz w:val="32"/>
      <w:szCs w:val="32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  <w:rPr>
      <w:rFonts w:eastAsia="方正仿宋_GBK"/>
      <w:sz w:val="32"/>
    </w:rPr>
  </w:style>
  <w:style w:type="paragraph" w:styleId="6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脚 Char"/>
    <w:basedOn w:val="12"/>
    <w:link w:val="7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8">
    <w:name w:val="批注框文本 Char"/>
    <w:basedOn w:val="12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标题 2 Char"/>
    <w:basedOn w:val="12"/>
    <w:link w:val="4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日期 Char"/>
    <w:basedOn w:val="12"/>
    <w:link w:val="5"/>
    <w:qFormat/>
    <w:uiPriority w:val="0"/>
    <w:rPr>
      <w:rFonts w:ascii="Calibri" w:hAnsi="Calibri" w:eastAsia="方正仿宋_GBK" w:cs="Times New Roman"/>
      <w:sz w:val="32"/>
    </w:rPr>
  </w:style>
  <w:style w:type="paragraph" w:customStyle="1" w:styleId="22">
    <w:name w:val="日期1"/>
    <w:basedOn w:val="1"/>
    <w:next w:val="1"/>
    <w:qFormat/>
    <w:uiPriority w:val="0"/>
    <w:pPr>
      <w:ind w:left="100" w:leftChars="2500"/>
    </w:pPr>
  </w:style>
  <w:style w:type="paragraph" w:customStyle="1" w:styleId="23">
    <w:name w:val="批注框文本 Char Char"/>
    <w:basedOn w:val="1"/>
    <w:link w:val="25"/>
    <w:qFormat/>
    <w:uiPriority w:val="0"/>
    <w:rPr>
      <w:sz w:val="18"/>
      <w:szCs w:val="18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  <w:style w:type="character" w:customStyle="1" w:styleId="25">
    <w:name w:val="批注框文本 Char Char Char"/>
    <w:link w:val="2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Char1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7">
    <w:name w:val="日期 Char1"/>
    <w:qFormat/>
    <w:uiPriority w:val="99"/>
    <w:rPr>
      <w:rFonts w:ascii="Calibri" w:hAnsi="Calibri"/>
      <w:kern w:val="2"/>
      <w:sz w:val="21"/>
      <w:szCs w:val="22"/>
    </w:rPr>
  </w:style>
  <w:style w:type="table" w:customStyle="1" w:styleId="28">
    <w:name w:val="网格型1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1690</Words>
  <Characters>9638</Characters>
  <Lines>80</Lines>
  <Paragraphs>22</Paragraphs>
  <TotalTime>0</TotalTime>
  <ScaleCrop>false</ScaleCrop>
  <LinksUpToDate>false</LinksUpToDate>
  <CharactersWithSpaces>11306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2022-03-01T09:09:00Z</dcterms:created>
  <dc:creator>user</dc:creator>
  <cp:lastModifiedBy>root</cp:lastModifiedBy>
  <cp:lastPrinted>2022-02-18T11:14:00Z</cp:lastPrinted>
  <dcterms:modified xsi:type="dcterms:W3CDTF">2022-09-14T16:59:16Z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