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0" w:lineRule="exact"/>
        <w:jc w:val="center"/>
        <w:rPr>
          <w:rFonts w:hint="default"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rPr>
        <w:t>重庆市</w:t>
      </w:r>
      <w:r>
        <w:rPr>
          <w:rFonts w:hint="default" w:ascii="Times New Roman" w:hAnsi="Times New Roman" w:eastAsia="方正小标宋_GBK" w:cs="Times New Roman"/>
          <w:bCs/>
          <w:color w:val="auto"/>
          <w:kern w:val="0"/>
          <w:sz w:val="36"/>
          <w:szCs w:val="36"/>
          <w:lang w:eastAsia="zh-CN"/>
        </w:rPr>
        <w:t>沙坪坝区</w:t>
      </w:r>
      <w:r>
        <w:rPr>
          <w:rFonts w:hint="default" w:ascii="Times New Roman" w:hAnsi="Times New Roman" w:eastAsia="方正小标宋_GBK" w:cs="Times New Roman"/>
          <w:bCs/>
          <w:color w:val="auto"/>
          <w:kern w:val="0"/>
          <w:sz w:val="36"/>
          <w:szCs w:val="36"/>
        </w:rPr>
        <w:t>第四次全国经济普查公报（第二号）</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——单位基本情况</w:t>
      </w:r>
    </w:p>
    <w:p>
      <w:pPr>
        <w:widowControl/>
        <w:spacing w:line="600" w:lineRule="exact"/>
        <w:jc w:val="center"/>
        <w:rPr>
          <w:rFonts w:hint="default" w:ascii="Times New Roman" w:hAnsi="Times New Roman" w:eastAsia="方正楷体_GBK" w:cs="Times New Roman"/>
          <w:bCs/>
          <w:color w:val="auto"/>
          <w:kern w:val="0"/>
          <w:sz w:val="32"/>
          <w:szCs w:val="36"/>
        </w:rPr>
      </w:pP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w:t>
      </w:r>
      <w:r>
        <w:rPr>
          <w:rFonts w:hint="default" w:ascii="Times New Roman" w:hAnsi="Times New Roman" w:eastAsia="方正楷体_GBK" w:cs="Times New Roman"/>
          <w:bCs/>
          <w:color w:val="auto"/>
          <w:kern w:val="0"/>
          <w:sz w:val="32"/>
          <w:szCs w:val="36"/>
          <w:lang w:eastAsia="zh-CN"/>
        </w:rPr>
        <w:t>市沙坪坝区</w:t>
      </w:r>
      <w:r>
        <w:rPr>
          <w:rFonts w:hint="default" w:ascii="Times New Roman" w:hAnsi="Times New Roman" w:eastAsia="方正楷体_GBK" w:cs="Times New Roman"/>
          <w:bCs/>
          <w:color w:val="auto"/>
          <w:kern w:val="0"/>
          <w:sz w:val="32"/>
          <w:szCs w:val="36"/>
        </w:rPr>
        <w:t>统计局</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eastAsia="zh-CN"/>
        </w:rPr>
        <w:t>沙坪坝区</w:t>
      </w:r>
      <w:r>
        <w:rPr>
          <w:rFonts w:hint="default" w:ascii="Times New Roman" w:hAnsi="Times New Roman" w:eastAsia="方正楷体_GBK" w:cs="Times New Roman"/>
          <w:bCs/>
          <w:color w:val="auto"/>
          <w:kern w:val="0"/>
          <w:sz w:val="32"/>
          <w:szCs w:val="36"/>
        </w:rPr>
        <w:t>人民政府第四次全国经济普查领导小组办公室</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2020年</w:t>
      </w:r>
      <w:r>
        <w:rPr>
          <w:rFonts w:hint="eastAsia" w:ascii="Times New Roman" w:hAnsi="Times New Roman" w:eastAsia="方正楷体_GBK" w:cs="Times New Roman"/>
          <w:bCs/>
          <w:color w:val="auto"/>
          <w:kern w:val="0"/>
          <w:sz w:val="32"/>
          <w:szCs w:val="36"/>
          <w:lang w:val="en-US" w:eastAsia="zh-CN"/>
        </w:rPr>
        <w:t>4</w:t>
      </w:r>
      <w:r>
        <w:rPr>
          <w:rFonts w:hint="default"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10</w:t>
      </w:r>
      <w:r>
        <w:rPr>
          <w:rFonts w:hint="default" w:ascii="Times New Roman" w:hAnsi="Times New Roman" w:eastAsia="方正楷体_GBK" w:cs="Times New Roman"/>
          <w:bCs/>
          <w:color w:val="auto"/>
          <w:kern w:val="0"/>
          <w:sz w:val="32"/>
          <w:szCs w:val="36"/>
        </w:rPr>
        <w:t>日</w:t>
      </w:r>
    </w:p>
    <w:p>
      <w:pPr>
        <w:widowControl/>
        <w:spacing w:line="600" w:lineRule="exact"/>
        <w:jc w:val="center"/>
        <w:rPr>
          <w:rFonts w:hint="default" w:ascii="Times New Roman" w:hAnsi="Times New Roman" w:eastAsia="楷体_GB2312" w:cs="Times New Roman"/>
          <w:bCs/>
          <w:color w:val="auto"/>
          <w:kern w:val="0"/>
          <w:sz w:val="32"/>
          <w:szCs w:val="36"/>
        </w:rPr>
      </w:pPr>
      <w:r>
        <w:rPr>
          <w:rFonts w:hint="default" w:ascii="Times New Roman" w:hAnsi="Times New Roman" w:eastAsia="楷体_GB2312" w:cs="Times New Roman"/>
          <w:bCs/>
          <w:color w:val="auto"/>
          <w:kern w:val="0"/>
          <w:sz w:val="32"/>
          <w:szCs w:val="36"/>
        </w:rPr>
        <w:t> </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根据第四次全国经济普查结果，现将我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单位的基本情况、从业人员、资产负债状况和营业收入公布如下：</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一、单位基本情况</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pacing w:val="-8"/>
          <w:sz w:val="32"/>
          <w:szCs w:val="32"/>
        </w:rPr>
        <w:t>018年末，全</w:t>
      </w:r>
      <w:r>
        <w:rPr>
          <w:rFonts w:hint="default" w:ascii="Times New Roman" w:hAnsi="Times New Roman" w:eastAsia="方正仿宋_GBK" w:cs="Times New Roman"/>
          <w:color w:val="auto"/>
          <w:spacing w:val="-8"/>
          <w:sz w:val="32"/>
          <w:szCs w:val="32"/>
          <w:lang w:eastAsia="zh-CN"/>
        </w:rPr>
        <w:t>区</w:t>
      </w:r>
      <w:r>
        <w:rPr>
          <w:rFonts w:hint="default" w:ascii="Times New Roman" w:hAnsi="Times New Roman" w:eastAsia="方正仿宋_GBK" w:cs="Times New Roman"/>
          <w:color w:val="auto"/>
          <w:spacing w:val="-8"/>
          <w:sz w:val="32"/>
          <w:szCs w:val="32"/>
        </w:rPr>
        <w:t>共有从事第二产业和第三产业活动的法人单位</w:t>
      </w:r>
      <w:r>
        <w:rPr>
          <w:rFonts w:hint="default" w:ascii="Times New Roman" w:hAnsi="Times New Roman" w:eastAsia="方正仿宋_GBK" w:cs="Times New Roman"/>
          <w:color w:val="auto"/>
          <w:spacing w:val="-8"/>
          <w:sz w:val="32"/>
          <w:szCs w:val="32"/>
          <w:lang w:val="en-US" w:eastAsia="zh-CN"/>
        </w:rPr>
        <w:t>26622</w:t>
      </w:r>
      <w:r>
        <w:rPr>
          <w:rFonts w:hint="default" w:ascii="Times New Roman" w:hAnsi="Times New Roman" w:eastAsia="方正仿宋_GBK" w:cs="Times New Roman"/>
          <w:color w:val="auto"/>
          <w:spacing w:val="-8"/>
          <w:sz w:val="32"/>
          <w:szCs w:val="32"/>
        </w:rPr>
        <w:t>个，比2013年末（2013年是第三次全国经济普查年份，下同）增加</w:t>
      </w:r>
      <w:r>
        <w:rPr>
          <w:rFonts w:hint="default" w:ascii="Times New Roman" w:hAnsi="Times New Roman" w:eastAsia="方正仿宋_GBK" w:cs="Times New Roman"/>
          <w:color w:val="auto"/>
          <w:spacing w:val="-8"/>
          <w:sz w:val="32"/>
          <w:szCs w:val="32"/>
          <w:lang w:val="en-US" w:eastAsia="zh-CN"/>
        </w:rPr>
        <w:t>13989</w:t>
      </w:r>
      <w:r>
        <w:rPr>
          <w:rFonts w:hint="default" w:ascii="Times New Roman" w:hAnsi="Times New Roman" w:eastAsia="方正仿宋_GBK" w:cs="Times New Roman"/>
          <w:color w:val="auto"/>
          <w:spacing w:val="-8"/>
          <w:sz w:val="32"/>
          <w:szCs w:val="32"/>
        </w:rPr>
        <w:t>个，增长1</w:t>
      </w:r>
      <w:r>
        <w:rPr>
          <w:rFonts w:hint="default" w:ascii="Times New Roman" w:hAnsi="Times New Roman" w:eastAsia="方正仿宋_GBK" w:cs="Times New Roman"/>
          <w:color w:val="auto"/>
          <w:spacing w:val="-8"/>
          <w:sz w:val="32"/>
          <w:szCs w:val="32"/>
          <w:lang w:val="en-US" w:eastAsia="zh-CN"/>
        </w:rPr>
        <w:t>10.7</w:t>
      </w:r>
      <w:r>
        <w:rPr>
          <w:rFonts w:hint="default" w:ascii="Times New Roman" w:hAnsi="Times New Roman" w:eastAsia="方正仿宋_GBK" w:cs="Times New Roman"/>
          <w:color w:val="auto"/>
          <w:spacing w:val="-8"/>
          <w:sz w:val="32"/>
          <w:szCs w:val="32"/>
        </w:rPr>
        <w:t>%；产业活动单位</w:t>
      </w:r>
      <w:r>
        <w:rPr>
          <w:rFonts w:hint="default" w:ascii="Times New Roman" w:hAnsi="Times New Roman" w:eastAsia="方正仿宋_GBK" w:cs="Times New Roman"/>
          <w:color w:val="auto"/>
          <w:spacing w:val="-8"/>
          <w:sz w:val="32"/>
          <w:szCs w:val="32"/>
          <w:lang w:val="en-US" w:eastAsia="zh-CN"/>
        </w:rPr>
        <w:t>30602</w:t>
      </w:r>
      <w:r>
        <w:rPr>
          <w:rFonts w:hint="default" w:ascii="Times New Roman" w:hAnsi="Times New Roman" w:eastAsia="方正仿宋_GBK" w:cs="Times New Roman"/>
          <w:color w:val="auto"/>
          <w:spacing w:val="-8"/>
          <w:sz w:val="32"/>
          <w:szCs w:val="32"/>
        </w:rPr>
        <w:t>个，增加</w:t>
      </w:r>
      <w:r>
        <w:rPr>
          <w:rFonts w:hint="default" w:ascii="Times New Roman" w:hAnsi="Times New Roman" w:eastAsia="方正仿宋_GBK" w:cs="Times New Roman"/>
          <w:color w:val="auto"/>
          <w:spacing w:val="-8"/>
          <w:sz w:val="32"/>
          <w:szCs w:val="32"/>
          <w:lang w:val="en-US" w:eastAsia="zh-CN"/>
        </w:rPr>
        <w:t>16292</w:t>
      </w:r>
      <w:r>
        <w:rPr>
          <w:rFonts w:hint="default" w:ascii="Times New Roman" w:hAnsi="Times New Roman" w:eastAsia="方正仿宋_GBK" w:cs="Times New Roman"/>
          <w:color w:val="auto"/>
          <w:spacing w:val="-8"/>
          <w:sz w:val="32"/>
          <w:szCs w:val="32"/>
        </w:rPr>
        <w:t>个，增长</w:t>
      </w:r>
      <w:r>
        <w:rPr>
          <w:rFonts w:hint="default" w:ascii="Times New Roman" w:hAnsi="Times New Roman" w:eastAsia="方正仿宋_GBK" w:cs="Times New Roman"/>
          <w:color w:val="auto"/>
          <w:spacing w:val="-8"/>
          <w:sz w:val="32"/>
          <w:szCs w:val="32"/>
          <w:lang w:val="en-US" w:eastAsia="zh-CN"/>
        </w:rPr>
        <w:t>113.9</w:t>
      </w:r>
      <w:r>
        <w:rPr>
          <w:rFonts w:hint="default" w:ascii="Times New Roman" w:hAnsi="Times New Roman" w:eastAsia="方正仿宋_GBK" w:cs="Times New Roman"/>
          <w:color w:val="auto"/>
          <w:spacing w:val="-8"/>
          <w:sz w:val="32"/>
          <w:szCs w:val="32"/>
        </w:rPr>
        <w:t>%；个体经营户</w:t>
      </w:r>
      <w:r>
        <w:rPr>
          <w:rFonts w:hint="default" w:ascii="Times New Roman" w:hAnsi="Times New Roman" w:eastAsia="方正仿宋_GBK" w:cs="Times New Roman"/>
          <w:color w:val="auto"/>
          <w:spacing w:val="-8"/>
          <w:sz w:val="32"/>
          <w:szCs w:val="32"/>
          <w:lang w:val="en-US" w:eastAsia="zh-CN"/>
        </w:rPr>
        <w:t>50802</w:t>
      </w:r>
      <w:r>
        <w:rPr>
          <w:rFonts w:hint="default" w:ascii="Times New Roman" w:hAnsi="Times New Roman" w:eastAsia="方正仿宋_GBK" w:cs="Times New Roman"/>
          <w:color w:val="auto"/>
          <w:spacing w:val="-8"/>
          <w:sz w:val="32"/>
          <w:szCs w:val="32"/>
        </w:rPr>
        <w:t>个（详见表2-1）。</w:t>
      </w:r>
    </w:p>
    <w:tbl>
      <w:tblPr>
        <w:tblStyle w:val="3"/>
        <w:tblW w:w="8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3"/>
        <w:gridCol w:w="2325"/>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8808" w:type="dxa"/>
            <w:gridSpan w:val="3"/>
            <w:tcBorders>
              <w:top w:val="nil"/>
              <w:left w:val="nil"/>
              <w:bottom w:val="single" w:color="000000" w:sz="12" w:space="0"/>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auto"/>
                <w:sz w:val="28"/>
                <w:szCs w:val="28"/>
                <w:u w:val="none"/>
              </w:rPr>
            </w:pPr>
            <w:r>
              <w:rPr>
                <w:rFonts w:hint="default" w:ascii="Times New Roman" w:hAnsi="Times New Roman" w:eastAsia="方正小标宋_GBK" w:cs="Times New Roman"/>
                <w:i w:val="0"/>
                <w:color w:val="auto"/>
                <w:kern w:val="0"/>
                <w:sz w:val="28"/>
                <w:szCs w:val="28"/>
                <w:u w:val="none"/>
                <w:lang w:val="en-US" w:eastAsia="zh-CN" w:bidi="ar"/>
              </w:rPr>
              <w:t>表</w:t>
            </w:r>
            <w:r>
              <w:rPr>
                <w:rStyle w:val="4"/>
                <w:rFonts w:hint="default" w:ascii="Times New Roman" w:hAnsi="Times New Roman" w:eastAsia="宋体" w:cs="Times New Roman"/>
                <w:color w:val="auto"/>
                <w:lang w:val="en-US" w:eastAsia="zh-CN" w:bidi="ar"/>
              </w:rPr>
              <w:t>2-1</w:t>
            </w:r>
            <w:r>
              <w:rPr>
                <w:rFonts w:hint="default" w:ascii="Times New Roman" w:hAnsi="Times New Roman" w:eastAsia="方正小标宋_GBK" w:cs="Times New Roman"/>
                <w:i w:val="0"/>
                <w:color w:val="auto"/>
                <w:kern w:val="0"/>
                <w:sz w:val="28"/>
                <w:szCs w:val="28"/>
                <w:u w:val="none"/>
                <w:lang w:val="en-US" w:eastAsia="zh-CN" w:bidi="ar"/>
              </w:rPr>
              <w:t>　单位数与个体经营户数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4233" w:type="dxa"/>
            <w:tcBorders>
              <w:top w:val="single" w:color="000000" w:sz="12"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2325"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单位数（个）</w:t>
            </w:r>
          </w:p>
        </w:tc>
        <w:tc>
          <w:tcPr>
            <w:tcW w:w="2250"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比重（</w:t>
            </w:r>
            <w:r>
              <w:rPr>
                <w:rStyle w:val="5"/>
                <w:rFonts w:hint="default" w:ascii="Times New Roman" w:hAnsi="Times New Roman" w:eastAsia="宋体" w:cs="Times New Roman"/>
                <w:color w:val="auto"/>
                <w:lang w:val="en-US" w:eastAsia="zh-CN" w:bidi="ar"/>
              </w:rPr>
              <w:t>%</w:t>
            </w:r>
            <w:r>
              <w:rPr>
                <w:rFonts w:hint="default" w:ascii="Times New Roman" w:hAnsi="Times New Roman" w:eastAsia="黑体" w:cs="Times New Roman"/>
                <w:i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233" w:type="dxa"/>
            <w:tcBorders>
              <w:top w:val="single" w:color="000000" w:sz="4" w:space="0"/>
              <w:left w:val="nil"/>
              <w:bottom w:val="nil"/>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20"/>
                <w:szCs w:val="20"/>
                <w:u w:val="none"/>
              </w:rPr>
            </w:pPr>
            <w:r>
              <w:rPr>
                <w:rStyle w:val="6"/>
                <w:rFonts w:hint="default" w:ascii="Times New Roman" w:hAnsi="Times New Roman" w:cs="Times New Roman"/>
                <w:color w:val="auto"/>
                <w:sz w:val="20"/>
                <w:szCs w:val="20"/>
                <w:lang w:val="en-US" w:eastAsia="zh-CN" w:bidi="ar"/>
              </w:rPr>
              <w:t>一、法人单位</w:t>
            </w:r>
          </w:p>
        </w:tc>
        <w:tc>
          <w:tcPr>
            <w:tcW w:w="232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26622</w:t>
            </w:r>
          </w:p>
        </w:tc>
        <w:tc>
          <w:tcPr>
            <w:tcW w:w="2250" w:type="dxa"/>
            <w:tcBorders>
              <w:top w:val="single" w:color="000000" w:sz="4" w:space="0"/>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企业法人</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25184</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机关、事业法人</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525</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社会团体</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182</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其他法人</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731</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20"/>
                <w:szCs w:val="20"/>
                <w:u w:val="none"/>
              </w:rPr>
            </w:pPr>
            <w:r>
              <w:rPr>
                <w:rStyle w:val="6"/>
                <w:rFonts w:hint="default" w:ascii="Times New Roman" w:hAnsi="Times New Roman" w:cs="Times New Roman"/>
                <w:color w:val="auto"/>
                <w:sz w:val="20"/>
                <w:szCs w:val="20"/>
                <w:lang w:val="en-US" w:eastAsia="zh-CN" w:bidi="ar"/>
              </w:rPr>
              <w:t>二、产业活动单位</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30602</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第二产业</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5015</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第三产业</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25587</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20"/>
                <w:szCs w:val="20"/>
                <w:u w:val="none"/>
              </w:rPr>
            </w:pPr>
            <w:r>
              <w:rPr>
                <w:rStyle w:val="6"/>
                <w:rFonts w:hint="default" w:ascii="Times New Roman" w:hAnsi="Times New Roman" w:cs="Times New Roman"/>
                <w:color w:val="auto"/>
                <w:sz w:val="20"/>
                <w:szCs w:val="20"/>
                <w:lang w:val="en-US" w:eastAsia="zh-CN" w:bidi="ar"/>
              </w:rPr>
              <w:t>三、个体经营户</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50802</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33" w:type="dxa"/>
            <w:tcBorders>
              <w:top w:val="nil"/>
              <w:left w:val="nil"/>
              <w:bottom w:val="nil"/>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第二产业</w:t>
            </w:r>
          </w:p>
        </w:tc>
        <w:tc>
          <w:tcPr>
            <w:tcW w:w="2325"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2399</w:t>
            </w:r>
          </w:p>
        </w:tc>
        <w:tc>
          <w:tcPr>
            <w:tcW w:w="2250" w:type="dxa"/>
            <w:tcBorders>
              <w:top w:val="nil"/>
              <w:left w:val="single" w:color="000000"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33" w:type="dxa"/>
            <w:tcBorders>
              <w:top w:val="nil"/>
              <w:left w:val="nil"/>
              <w:bottom w:val="single" w:color="000000" w:sz="12" w:space="0"/>
              <w:right w:val="single" w:color="000000"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第三产业</w:t>
            </w:r>
          </w:p>
        </w:tc>
        <w:tc>
          <w:tcPr>
            <w:tcW w:w="2325" w:type="dxa"/>
            <w:tcBorders>
              <w:top w:val="nil"/>
              <w:left w:val="single" w:color="000000" w:sz="4" w:space="0"/>
              <w:bottom w:val="single" w:color="000000" w:sz="12"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48403</w:t>
            </w:r>
          </w:p>
        </w:tc>
        <w:tc>
          <w:tcPr>
            <w:tcW w:w="2250" w:type="dxa"/>
            <w:tcBorders>
              <w:top w:val="nil"/>
              <w:left w:val="single" w:color="000000" w:sz="4" w:space="0"/>
              <w:bottom w:val="single" w:color="000000" w:sz="12" w:space="0"/>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95.3 </w:t>
            </w:r>
          </w:p>
        </w:tc>
      </w:tr>
    </w:tbl>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2018年末，在第二产业和第三产业法人单位中，位居前三位的行业是：批发和零售业</w:t>
      </w:r>
      <w:r>
        <w:rPr>
          <w:rFonts w:hint="default" w:ascii="Times New Roman" w:hAnsi="Times New Roman" w:eastAsia="方正仿宋_GBK" w:cs="Times New Roman"/>
          <w:color w:val="auto"/>
          <w:sz w:val="32"/>
          <w:szCs w:val="32"/>
          <w:lang w:val="en-US" w:eastAsia="zh-CN"/>
        </w:rPr>
        <w:t>8657</w:t>
      </w:r>
      <w:r>
        <w:rPr>
          <w:rFonts w:hint="default" w:ascii="Times New Roman" w:hAnsi="Times New Roman" w:eastAsia="方正仿宋_GBK" w:cs="Times New Roman"/>
          <w:color w:val="auto"/>
          <w:sz w:val="32"/>
          <w:szCs w:val="32"/>
        </w:rPr>
        <w:t>个，占3</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%；制造业</w:t>
      </w:r>
      <w:r>
        <w:rPr>
          <w:rFonts w:hint="default" w:ascii="Times New Roman" w:hAnsi="Times New Roman" w:eastAsia="方正仿宋_GBK" w:cs="Times New Roman"/>
          <w:color w:val="auto"/>
          <w:sz w:val="32"/>
          <w:szCs w:val="32"/>
          <w:lang w:val="en-US" w:eastAsia="zh-CN"/>
        </w:rPr>
        <w:t>3635</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13.7</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租赁和商务服务业</w:t>
      </w:r>
      <w:r>
        <w:rPr>
          <w:rFonts w:hint="default" w:ascii="Times New Roman" w:hAnsi="Times New Roman" w:eastAsia="方正仿宋_GBK" w:cs="Times New Roman"/>
          <w:color w:val="auto"/>
          <w:sz w:val="32"/>
          <w:szCs w:val="32"/>
          <w:lang w:val="en-US" w:eastAsia="zh-CN"/>
        </w:rPr>
        <w:t>3490</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13.1</w:t>
      </w:r>
      <w:r>
        <w:rPr>
          <w:rFonts w:hint="default" w:ascii="Times New Roman" w:hAnsi="Times New Roman" w:eastAsia="方正仿宋_GBK" w:cs="Times New Roman"/>
          <w:color w:val="auto"/>
          <w:sz w:val="32"/>
          <w:szCs w:val="32"/>
        </w:rPr>
        <w:t>%。在个体经营户中，位居前三位的行业是：批发和零售业</w:t>
      </w:r>
      <w:r>
        <w:rPr>
          <w:rFonts w:hint="default" w:ascii="Times New Roman" w:hAnsi="Times New Roman" w:eastAsia="方正仿宋_GBK" w:cs="Times New Roman"/>
          <w:color w:val="auto"/>
          <w:sz w:val="32"/>
          <w:szCs w:val="32"/>
          <w:lang w:val="en-US" w:eastAsia="zh-CN"/>
        </w:rPr>
        <w:t>25546</w:t>
      </w:r>
      <w:r>
        <w:rPr>
          <w:rFonts w:hint="default" w:ascii="Times New Roman" w:hAnsi="Times New Roman" w:eastAsia="方正仿宋_GBK" w:cs="Times New Roman"/>
          <w:color w:val="auto"/>
          <w:sz w:val="32"/>
          <w:szCs w:val="32"/>
        </w:rPr>
        <w:t>个，占5</w:t>
      </w:r>
      <w:r>
        <w:rPr>
          <w:rFonts w:hint="default" w:ascii="Times New Roman" w:hAnsi="Times New Roman" w:eastAsia="方正仿宋_GBK" w:cs="Times New Roman"/>
          <w:color w:val="auto"/>
          <w:sz w:val="32"/>
          <w:szCs w:val="32"/>
          <w:lang w:val="en-US" w:eastAsia="zh-CN"/>
        </w:rPr>
        <w:t>0.3</w:t>
      </w:r>
      <w:r>
        <w:rPr>
          <w:rFonts w:hint="default" w:ascii="Times New Roman" w:hAnsi="Times New Roman" w:eastAsia="方正仿宋_GBK" w:cs="Times New Roman"/>
          <w:color w:val="auto"/>
          <w:sz w:val="32"/>
          <w:szCs w:val="32"/>
        </w:rPr>
        <w:t>%；住宿和餐饮业</w:t>
      </w:r>
      <w:r>
        <w:rPr>
          <w:rFonts w:hint="default" w:ascii="Times New Roman" w:hAnsi="Times New Roman" w:eastAsia="方正仿宋_GBK" w:cs="Times New Roman"/>
          <w:color w:val="auto"/>
          <w:sz w:val="32"/>
          <w:szCs w:val="32"/>
          <w:lang w:val="en-US" w:eastAsia="zh-CN"/>
        </w:rPr>
        <w:t>10753</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21.2</w:t>
      </w:r>
      <w:r>
        <w:rPr>
          <w:rFonts w:hint="default" w:ascii="Times New Roman" w:hAnsi="Times New Roman" w:eastAsia="方正仿宋_GBK" w:cs="Times New Roman"/>
          <w:color w:val="auto"/>
          <w:sz w:val="32"/>
          <w:szCs w:val="32"/>
        </w:rPr>
        <w:t>%；居民服务、修理和其他服务业</w:t>
      </w:r>
      <w:r>
        <w:rPr>
          <w:rFonts w:hint="default" w:ascii="Times New Roman" w:hAnsi="Times New Roman" w:eastAsia="方正仿宋_GBK" w:cs="Times New Roman"/>
          <w:color w:val="auto"/>
          <w:sz w:val="32"/>
          <w:szCs w:val="32"/>
          <w:lang w:val="en-US" w:eastAsia="zh-CN"/>
        </w:rPr>
        <w:t>6684</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13.2</w:t>
      </w:r>
      <w:r>
        <w:rPr>
          <w:rFonts w:hint="default" w:ascii="Times New Roman" w:hAnsi="Times New Roman" w:eastAsia="方正仿宋_GBK" w:cs="Times New Roman"/>
          <w:color w:val="auto"/>
          <w:sz w:val="32"/>
          <w:szCs w:val="32"/>
        </w:rPr>
        <w:t>%（详见表2-2）。</w:t>
      </w:r>
    </w:p>
    <w:tbl>
      <w:tblPr>
        <w:tblStyle w:val="3"/>
        <w:tblW w:w="87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6"/>
        <w:gridCol w:w="1125"/>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706" w:type="dxa"/>
            <w:gridSpan w:val="5"/>
            <w:tcBorders>
              <w:top w:val="nil"/>
              <w:left w:val="nil"/>
              <w:bottom w:val="single" w:color="auto"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方正小标宋_GBK" w:cs="Times New Roman"/>
                <w:i w:val="0"/>
                <w:color w:val="auto"/>
                <w:kern w:val="0"/>
                <w:sz w:val="28"/>
                <w:szCs w:val="28"/>
                <w:u w:val="none"/>
                <w:lang w:val="en-US" w:eastAsia="zh-CN" w:bidi="ar"/>
              </w:rPr>
              <w:t>表</w:t>
            </w:r>
            <w:r>
              <w:rPr>
                <w:rFonts w:hint="default" w:ascii="Times New Roman" w:hAnsi="Times New Roman" w:eastAsia="宋体" w:cs="Times New Roman"/>
                <w:i w:val="0"/>
                <w:color w:val="auto"/>
                <w:kern w:val="0"/>
                <w:sz w:val="28"/>
                <w:szCs w:val="28"/>
                <w:u w:val="none"/>
                <w:lang w:val="en-US" w:eastAsia="zh-CN" w:bidi="ar"/>
              </w:rPr>
              <w:t>2-2</w:t>
            </w:r>
            <w:r>
              <w:rPr>
                <w:rFonts w:hint="default" w:ascii="Times New Roman" w:hAnsi="Times New Roman" w:eastAsia="方正小标宋_GBK" w:cs="Times New Roman"/>
                <w:i w:val="0"/>
                <w:color w:val="auto"/>
                <w:kern w:val="0"/>
                <w:sz w:val="28"/>
                <w:szCs w:val="28"/>
                <w:u w:val="none"/>
                <w:lang w:val="en-US" w:eastAsia="zh-CN" w:bidi="ar"/>
              </w:rPr>
              <w:t>　按行业门类分组的法人单位与个体经营户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vMerge w:val="restart"/>
            <w:tcBorders>
              <w:top w:val="single" w:color="auto" w:sz="12" w:space="0"/>
              <w:left w:val="nil"/>
              <w:bottom w:val="nil"/>
              <w:right w:val="single" w:color="auto" w:sz="4" w:space="0"/>
            </w:tcBorders>
            <w:tcMar>
              <w:top w:w="15" w:type="dxa"/>
              <w:left w:w="15" w:type="dxa"/>
              <w:right w:w="15" w:type="dxa"/>
            </w:tcMar>
            <w:vAlign w:val="center"/>
          </w:tcPr>
          <w:p>
            <w:pPr>
              <w:jc w:val="both"/>
              <w:rPr>
                <w:rFonts w:hint="default" w:ascii="Times New Roman" w:hAnsi="Times New Roman" w:eastAsia="宋体" w:cs="Times New Roman"/>
                <w:b/>
                <w:i w:val="0"/>
                <w:color w:val="auto"/>
                <w:sz w:val="20"/>
                <w:szCs w:val="20"/>
                <w:u w:val="none"/>
              </w:rPr>
            </w:pPr>
          </w:p>
        </w:tc>
        <w:tc>
          <w:tcPr>
            <w:tcW w:w="2250" w:type="dxa"/>
            <w:gridSpan w:val="2"/>
            <w:tcBorders>
              <w:top w:val="single" w:color="auto" w:sz="12"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法人单位</w:t>
            </w:r>
          </w:p>
        </w:tc>
        <w:tc>
          <w:tcPr>
            <w:tcW w:w="2250" w:type="dxa"/>
            <w:gridSpan w:val="2"/>
            <w:tcBorders>
              <w:top w:val="single" w:color="auto" w:sz="12"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vMerge w:val="continue"/>
            <w:tcBorders>
              <w:top w:val="nil"/>
              <w:left w:val="nil"/>
              <w:bottom w:val="single" w:color="auto" w:sz="4" w:space="0"/>
              <w:right w:val="single" w:color="auto" w:sz="4" w:space="0"/>
            </w:tcBorders>
            <w:tcMar>
              <w:top w:w="15" w:type="dxa"/>
              <w:left w:w="15" w:type="dxa"/>
              <w:right w:w="15" w:type="dxa"/>
            </w:tcMar>
            <w:vAlign w:val="center"/>
          </w:tcPr>
          <w:p>
            <w:pPr>
              <w:jc w:val="both"/>
              <w:rPr>
                <w:rFonts w:hint="default" w:ascii="Times New Roman" w:hAnsi="Times New Roman" w:eastAsia="宋体" w:cs="Times New Roman"/>
                <w:b/>
                <w:i w:val="0"/>
                <w:color w:val="auto"/>
                <w:sz w:val="20"/>
                <w:szCs w:val="20"/>
                <w:u w:val="none"/>
              </w:rPr>
            </w:pP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数量(</w:t>
            </w:r>
            <w:r>
              <w:rPr>
                <w:rFonts w:hint="default" w:ascii="Times New Roman" w:hAnsi="Times New Roman" w:eastAsia="黑体" w:cs="Times New Roman"/>
                <w:i w:val="0"/>
                <w:color w:val="auto"/>
                <w:kern w:val="0"/>
                <w:sz w:val="20"/>
                <w:szCs w:val="20"/>
                <w:u w:val="none"/>
                <w:lang w:val="en-US" w:eastAsia="zh-CN" w:bidi="ar"/>
              </w:rPr>
              <w:t>个</w:t>
            </w:r>
            <w:r>
              <w:rPr>
                <w:rFonts w:hint="default" w:ascii="Times New Roman" w:hAnsi="Times New Roman" w:eastAsia="宋体" w:cs="Times New Roman"/>
                <w:i w:val="0"/>
                <w:color w:val="auto"/>
                <w:kern w:val="0"/>
                <w:sz w:val="20"/>
                <w:szCs w:val="20"/>
                <w:u w:val="none"/>
                <w:lang w:val="en-US" w:eastAsia="zh-CN" w:bidi="ar"/>
              </w:rPr>
              <w:t>)</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比重(%)</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数量(</w:t>
            </w:r>
            <w:r>
              <w:rPr>
                <w:rFonts w:hint="default" w:ascii="Times New Roman" w:hAnsi="Times New Roman" w:eastAsia="黑体" w:cs="Times New Roman"/>
                <w:i w:val="0"/>
                <w:color w:val="auto"/>
                <w:kern w:val="0"/>
                <w:sz w:val="20"/>
                <w:szCs w:val="20"/>
                <w:u w:val="none"/>
                <w:lang w:val="en-US" w:eastAsia="zh-CN" w:bidi="ar"/>
              </w:rPr>
              <w:t>个</w:t>
            </w:r>
            <w:r>
              <w:rPr>
                <w:rFonts w:hint="default" w:ascii="Times New Roman" w:hAnsi="Times New Roman" w:eastAsia="宋体" w:cs="Times New Roman"/>
                <w:i w:val="0"/>
                <w:color w:val="auto"/>
                <w:kern w:val="0"/>
                <w:sz w:val="20"/>
                <w:szCs w:val="20"/>
                <w:u w:val="none"/>
                <w:lang w:val="en-US" w:eastAsia="zh-CN" w:bidi="ar"/>
              </w:rPr>
              <w:t>)</w:t>
            </w:r>
          </w:p>
        </w:tc>
        <w:tc>
          <w:tcPr>
            <w:tcW w:w="1125" w:type="dxa"/>
            <w:tcBorders>
              <w:top w:val="single" w:color="auto" w:sz="4" w:space="0"/>
              <w:left w:val="single" w:color="auto" w:sz="4" w:space="0"/>
              <w:bottom w:val="single" w:color="auto" w:sz="4" w:space="0"/>
              <w:right w:val="nil"/>
            </w:tcBorders>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Style w:val="7"/>
                <w:rFonts w:hint="default" w:ascii="Times New Roman" w:hAnsi="Times New Roman" w:cs="Times New Roman"/>
                <w:color w:val="auto"/>
                <w:sz w:val="20"/>
                <w:szCs w:val="20"/>
                <w:lang w:val="en-US" w:eastAsia="zh-CN" w:bidi="ar"/>
              </w:rPr>
              <w:t>合　计</w:t>
            </w:r>
          </w:p>
        </w:tc>
        <w:tc>
          <w:tcPr>
            <w:tcW w:w="112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26622</w:t>
            </w:r>
          </w:p>
        </w:tc>
        <w:tc>
          <w:tcPr>
            <w:tcW w:w="112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c>
          <w:tcPr>
            <w:tcW w:w="1125"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50802</w:t>
            </w:r>
          </w:p>
        </w:tc>
        <w:tc>
          <w:tcPr>
            <w:tcW w:w="1125" w:type="dxa"/>
            <w:tcBorders>
              <w:top w:val="single" w:color="auto" w:sz="4" w:space="0"/>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采矿业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125" w:type="dxa"/>
            <w:tcBorders>
              <w:top w:val="nil"/>
              <w:left w:val="single" w:color="auto" w:sz="4" w:space="0"/>
              <w:bottom w:val="nil"/>
              <w:right w:val="nil"/>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制造业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3635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13.7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2273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电力、热力、燃气及水生产和供应业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0.1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建筑业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1180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4.4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批发和零售业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8657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32.5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25546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交通运输、仓储和邮政业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769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2.9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1653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住宿和餐饮业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688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2.6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10753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信息传输、软件和信息技术服务业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1720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157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金融业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房地产业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983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3.7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103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租赁和商务服务业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3490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13.1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944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科学研究和技术服务业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1395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5.2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138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水利、环境和公共设施管理业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154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7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居民服务、修理和其他服务业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981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3.7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6684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教育</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1070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4.0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324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227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436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文化、体育和娱乐业</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931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3.5 </w:t>
            </w:r>
          </w:p>
        </w:tc>
        <w:tc>
          <w:tcPr>
            <w:tcW w:w="1125"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1657 </w:t>
            </w:r>
          </w:p>
        </w:tc>
        <w:tc>
          <w:tcPr>
            <w:tcW w:w="1125"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06" w:type="dxa"/>
            <w:tcBorders>
              <w:top w:val="nil"/>
              <w:left w:val="nil"/>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公共管理、社会保障和社会组织</w:t>
            </w:r>
          </w:p>
        </w:tc>
        <w:tc>
          <w:tcPr>
            <w:tcW w:w="112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659 </w:t>
            </w:r>
          </w:p>
        </w:tc>
        <w:tc>
          <w:tcPr>
            <w:tcW w:w="112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c>
          <w:tcPr>
            <w:tcW w:w="1125"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1125" w:type="dxa"/>
            <w:tcBorders>
              <w:top w:val="nil"/>
              <w:left w:val="single" w:color="auto" w:sz="4" w:space="0"/>
              <w:bottom w:val="single" w:color="auto" w:sz="12" w:space="0"/>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8706" w:type="dxa"/>
            <w:gridSpan w:val="5"/>
            <w:tcBorders>
              <w:top w:val="single" w:color="auto" w:sz="12"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注：表中合计数含从事农、林、牧、渔专业及辅助性活动和兼营第二、三产业活动的农、林、牧、渔业法人单位与个体经营户。</w:t>
            </w:r>
          </w:p>
        </w:tc>
      </w:tr>
    </w:tbl>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共有第二产业和第三产业的企业法人单位</w:t>
      </w:r>
      <w:r>
        <w:rPr>
          <w:rFonts w:hint="default" w:ascii="Times New Roman" w:hAnsi="Times New Roman" w:eastAsia="方正仿宋_GBK" w:cs="Times New Roman"/>
          <w:color w:val="auto"/>
          <w:sz w:val="32"/>
          <w:szCs w:val="32"/>
          <w:lang w:val="en-US" w:eastAsia="zh-CN"/>
        </w:rPr>
        <w:t>25184</w:t>
      </w:r>
      <w:r>
        <w:rPr>
          <w:rFonts w:hint="default" w:ascii="Times New Roman" w:hAnsi="Times New Roman" w:eastAsia="方正仿宋_GBK" w:cs="Times New Roman"/>
          <w:color w:val="auto"/>
          <w:sz w:val="32"/>
          <w:szCs w:val="32"/>
        </w:rPr>
        <w:t>个，比2013年末增加</w:t>
      </w:r>
      <w:r>
        <w:rPr>
          <w:rFonts w:hint="default" w:ascii="Times New Roman" w:hAnsi="Times New Roman" w:eastAsia="方正仿宋_GBK" w:cs="Times New Roman"/>
          <w:color w:val="auto"/>
          <w:sz w:val="32"/>
          <w:szCs w:val="32"/>
          <w:lang w:val="en-US" w:eastAsia="zh-CN"/>
        </w:rPr>
        <w:t>13872</w:t>
      </w:r>
      <w:r>
        <w:rPr>
          <w:rFonts w:hint="default" w:ascii="Times New Roman" w:hAnsi="Times New Roman" w:eastAsia="方正仿宋_GBK" w:cs="Times New Roman"/>
          <w:color w:val="auto"/>
          <w:sz w:val="32"/>
          <w:szCs w:val="32"/>
        </w:rPr>
        <w:t>个，增长12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%。其中，内资企业占99.</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%，港、澳、台商投资企业占0.2%，外商投资企业占0.</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%。内资企业中，国有企业占全部企业法人单位的0.</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%，私营企业占</w:t>
      </w:r>
      <w:r>
        <w:rPr>
          <w:rFonts w:hint="default" w:ascii="Times New Roman" w:hAnsi="Times New Roman" w:eastAsia="方正仿宋_GBK" w:cs="Times New Roman"/>
          <w:color w:val="auto"/>
          <w:sz w:val="32"/>
          <w:szCs w:val="32"/>
          <w:lang w:val="en-US" w:eastAsia="zh-CN"/>
        </w:rPr>
        <w:t>85.7</w:t>
      </w:r>
      <w:r>
        <w:rPr>
          <w:rFonts w:hint="default" w:ascii="Times New Roman" w:hAnsi="Times New Roman" w:eastAsia="方正仿宋_GBK" w:cs="Times New Roman"/>
          <w:color w:val="auto"/>
          <w:sz w:val="32"/>
          <w:szCs w:val="32"/>
        </w:rPr>
        <w:t>%（详见表2-3）。</w:t>
      </w:r>
    </w:p>
    <w:tbl>
      <w:tblPr>
        <w:tblStyle w:val="3"/>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98"/>
        <w:gridCol w:w="2490"/>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868" w:type="dxa"/>
            <w:gridSpan w:val="3"/>
            <w:tcBorders>
              <w:top w:val="nil"/>
              <w:left w:val="nil"/>
              <w:bottom w:val="single" w:color="000000"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方正小标宋_GBK" w:cs="Times New Roman"/>
                <w:i w:val="0"/>
                <w:color w:val="auto"/>
                <w:kern w:val="0"/>
                <w:sz w:val="28"/>
                <w:szCs w:val="28"/>
                <w:u w:val="none"/>
                <w:lang w:val="en-US" w:eastAsia="zh-CN" w:bidi="ar"/>
              </w:rPr>
              <w:t>表</w:t>
            </w:r>
            <w:r>
              <w:rPr>
                <w:rStyle w:val="8"/>
                <w:rFonts w:hint="default" w:ascii="Times New Roman" w:hAnsi="Times New Roman" w:eastAsia="宋体" w:cs="Times New Roman"/>
                <w:color w:val="auto"/>
                <w:lang w:val="en-US" w:eastAsia="zh-CN" w:bidi="ar"/>
              </w:rPr>
              <w:t>2-3</w:t>
            </w:r>
            <w:r>
              <w:rPr>
                <w:rFonts w:hint="default" w:ascii="Times New Roman" w:hAnsi="Times New Roman" w:eastAsia="方正小标宋_GBK" w:cs="Times New Roman"/>
                <w:i w:val="0"/>
                <w:color w:val="auto"/>
                <w:kern w:val="0"/>
                <w:sz w:val="28"/>
                <w:szCs w:val="28"/>
                <w:u w:val="none"/>
                <w:lang w:val="en-US" w:eastAsia="zh-CN" w:bidi="ar"/>
              </w:rPr>
              <w:t>　按登记注册类型分组的企业法人单位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798" w:type="dxa"/>
            <w:tcBorders>
              <w:top w:val="single" w:color="000000" w:sz="12"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490" w:type="dxa"/>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单位数（个）</w:t>
            </w:r>
          </w:p>
        </w:tc>
        <w:tc>
          <w:tcPr>
            <w:tcW w:w="2580" w:type="dxa"/>
            <w:tcBorders>
              <w:top w:val="single" w:color="000000" w:sz="12"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比重（</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黑体" w:cs="Times New Roman"/>
                <w:i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798" w:type="dxa"/>
            <w:tcBorders>
              <w:top w:val="single" w:color="000000" w:sz="4" w:space="0"/>
              <w:left w:val="nil"/>
              <w:bottom w:val="nil"/>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2490" w:type="dxa"/>
            <w:tcBorders>
              <w:top w:val="single" w:color="000000" w:sz="4" w:space="0"/>
              <w:left w:val="single" w:color="000000" w:sz="4" w:space="0"/>
              <w:bottom w:val="nil"/>
              <w:right w:val="single" w:color="000000" w:sz="4" w:space="0"/>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25184</w:t>
            </w:r>
          </w:p>
        </w:tc>
        <w:tc>
          <w:tcPr>
            <w:tcW w:w="2580" w:type="dxa"/>
            <w:tcBorders>
              <w:top w:val="single" w:color="000000" w:sz="4" w:space="0"/>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内资企业</w:t>
            </w:r>
          </w:p>
        </w:tc>
        <w:tc>
          <w:tcPr>
            <w:tcW w:w="2490" w:type="dxa"/>
            <w:tcBorders>
              <w:top w:val="nil"/>
              <w:left w:val="single" w:color="000000" w:sz="4" w:space="0"/>
              <w:bottom w:val="nil"/>
              <w:right w:val="single" w:color="000000" w:sz="4" w:space="0"/>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25104</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国有企业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72</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集体企业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127</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股份合作企业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联营企业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有限责任公司</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3052</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股份有限公司</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267</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私营企业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21574</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其他企业</w:t>
            </w:r>
          </w:p>
        </w:tc>
        <w:tc>
          <w:tcPr>
            <w:tcW w:w="2490"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798" w:type="dxa"/>
            <w:tcBorders>
              <w:top w:val="nil"/>
              <w:left w:val="nil"/>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港、澳、台商投资企业</w:t>
            </w:r>
          </w:p>
        </w:tc>
        <w:tc>
          <w:tcPr>
            <w:tcW w:w="2490" w:type="dxa"/>
            <w:tcBorders>
              <w:top w:val="nil"/>
              <w:left w:val="single" w:color="000000" w:sz="4" w:space="0"/>
              <w:bottom w:val="nil"/>
              <w:right w:val="single" w:color="000000" w:sz="4" w:space="0"/>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44</w:t>
            </w:r>
          </w:p>
        </w:tc>
        <w:tc>
          <w:tcPr>
            <w:tcW w:w="2580" w:type="dxa"/>
            <w:tcBorders>
              <w:top w:val="nil"/>
              <w:left w:val="single" w:color="000000" w:sz="4" w:space="0"/>
              <w:bottom w:val="nil"/>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798" w:type="dxa"/>
            <w:tcBorders>
              <w:top w:val="nil"/>
              <w:left w:val="nil"/>
              <w:bottom w:val="single" w:color="000000" w:sz="12"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外商投资企业</w:t>
            </w:r>
          </w:p>
        </w:tc>
        <w:tc>
          <w:tcPr>
            <w:tcW w:w="2490" w:type="dxa"/>
            <w:tcBorders>
              <w:top w:val="nil"/>
              <w:left w:val="single" w:color="000000" w:sz="4" w:space="0"/>
              <w:bottom w:val="single" w:color="000000" w:sz="12" w:space="0"/>
              <w:right w:val="single" w:color="000000" w:sz="4" w:space="0"/>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36</w:t>
            </w:r>
          </w:p>
        </w:tc>
        <w:tc>
          <w:tcPr>
            <w:tcW w:w="2580" w:type="dxa"/>
            <w:tcBorders>
              <w:top w:val="nil"/>
              <w:left w:val="single" w:color="000000" w:sz="4" w:space="0"/>
              <w:bottom w:val="single" w:color="000000" w:sz="12" w:space="0"/>
              <w:right w:val="nil"/>
            </w:tcBorders>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xml:space="preserve">0.1 </w:t>
            </w:r>
          </w:p>
        </w:tc>
      </w:tr>
    </w:tbl>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二、从业人员</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2018年末，全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第二产业和第三产业法人单位从业人员</w:t>
      </w:r>
      <w:r>
        <w:rPr>
          <w:rFonts w:hint="default" w:ascii="Times New Roman" w:hAnsi="Times New Roman" w:eastAsia="方正仿宋_GBK" w:cs="Times New Roman"/>
          <w:color w:val="auto"/>
          <w:sz w:val="32"/>
          <w:szCs w:val="32"/>
          <w:highlight w:val="none"/>
          <w:lang w:val="en-US" w:eastAsia="zh-CN"/>
        </w:rPr>
        <w:t>402522人</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减少112680</w:t>
      </w:r>
      <w:r>
        <w:rPr>
          <w:rFonts w:hint="default" w:ascii="Times New Roman" w:hAnsi="Times New Roman" w:eastAsia="方正仿宋_GBK" w:cs="Times New Roman"/>
          <w:color w:val="auto"/>
          <w:sz w:val="32"/>
          <w:szCs w:val="32"/>
          <w:highlight w:val="none"/>
        </w:rPr>
        <w:t>人，</w:t>
      </w:r>
      <w:r>
        <w:rPr>
          <w:rFonts w:hint="default" w:ascii="Times New Roman" w:hAnsi="Times New Roman" w:eastAsia="方正仿宋_GBK" w:cs="Times New Roman"/>
          <w:color w:val="auto"/>
          <w:sz w:val="32"/>
          <w:szCs w:val="32"/>
          <w:highlight w:val="none"/>
          <w:lang w:val="en-US" w:eastAsia="zh-CN"/>
        </w:rPr>
        <w:t>下降21.</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%，其中女性从业人员</w:t>
      </w:r>
      <w:r>
        <w:rPr>
          <w:rFonts w:hint="default" w:ascii="Times New Roman" w:hAnsi="Times New Roman" w:eastAsia="方正仿宋_GBK" w:cs="Times New Roman"/>
          <w:color w:val="auto"/>
          <w:sz w:val="32"/>
          <w:szCs w:val="32"/>
          <w:highlight w:val="none"/>
          <w:lang w:val="en-US" w:eastAsia="zh-CN"/>
        </w:rPr>
        <w:t>154422</w:t>
      </w:r>
      <w:r>
        <w:rPr>
          <w:rFonts w:hint="default" w:ascii="Times New Roman" w:hAnsi="Times New Roman" w:eastAsia="方正仿宋_GBK" w:cs="Times New Roman"/>
          <w:color w:val="auto"/>
          <w:sz w:val="32"/>
          <w:szCs w:val="32"/>
          <w:highlight w:val="none"/>
        </w:rPr>
        <w:t>人。第二产业的从业人员为</w:t>
      </w:r>
      <w:r>
        <w:rPr>
          <w:rFonts w:hint="default" w:ascii="Times New Roman" w:hAnsi="Times New Roman" w:eastAsia="方正仿宋_GBK" w:cs="Times New Roman"/>
          <w:color w:val="auto"/>
          <w:sz w:val="32"/>
          <w:szCs w:val="32"/>
          <w:highlight w:val="none"/>
          <w:lang w:val="en-US" w:eastAsia="zh-CN"/>
        </w:rPr>
        <w:t>185028</w:t>
      </w:r>
      <w:r>
        <w:rPr>
          <w:rFonts w:hint="default" w:ascii="Times New Roman" w:hAnsi="Times New Roman" w:eastAsia="方正仿宋_GBK" w:cs="Times New Roman"/>
          <w:color w:val="auto"/>
          <w:sz w:val="32"/>
          <w:szCs w:val="32"/>
          <w:highlight w:val="none"/>
        </w:rPr>
        <w:t>万人，减少</w:t>
      </w:r>
      <w:r>
        <w:rPr>
          <w:rFonts w:hint="default" w:ascii="Times New Roman" w:hAnsi="Times New Roman" w:eastAsia="方正仿宋_GBK" w:cs="Times New Roman"/>
          <w:color w:val="auto"/>
          <w:sz w:val="32"/>
          <w:szCs w:val="32"/>
          <w:highlight w:val="none"/>
          <w:lang w:val="en-US" w:eastAsia="zh-CN"/>
        </w:rPr>
        <w:t>115589</w:t>
      </w:r>
      <w:r>
        <w:rPr>
          <w:rFonts w:hint="default" w:ascii="Times New Roman" w:hAnsi="Times New Roman" w:eastAsia="方正仿宋_GBK" w:cs="Times New Roman"/>
          <w:color w:val="auto"/>
          <w:sz w:val="32"/>
          <w:szCs w:val="32"/>
          <w:highlight w:val="none"/>
        </w:rPr>
        <w:t>人，下降</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8.</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%；第三产业的从业人员为</w:t>
      </w:r>
      <w:r>
        <w:rPr>
          <w:rFonts w:hint="default" w:ascii="Times New Roman" w:hAnsi="Times New Roman" w:eastAsia="方正仿宋_GBK" w:cs="Times New Roman"/>
          <w:color w:val="auto"/>
          <w:sz w:val="32"/>
          <w:szCs w:val="32"/>
          <w:highlight w:val="none"/>
          <w:lang w:val="en-US" w:eastAsia="zh-CN"/>
        </w:rPr>
        <w:t>2174</w:t>
      </w:r>
      <w:r>
        <w:rPr>
          <w:rFonts w:hint="eastAsia" w:ascii="Times New Roman" w:hAnsi="Times New Roman" w:eastAsia="方正仿宋_GBK" w:cs="Times New Roman"/>
          <w:color w:val="auto"/>
          <w:sz w:val="32"/>
          <w:szCs w:val="32"/>
          <w:highlight w:val="none"/>
          <w:lang w:val="en-US" w:eastAsia="zh-CN"/>
        </w:rPr>
        <w:t>94</w:t>
      </w:r>
      <w:r>
        <w:rPr>
          <w:rFonts w:hint="default" w:ascii="Times New Roman" w:hAnsi="Times New Roman" w:eastAsia="方正仿宋_GBK" w:cs="Times New Roman"/>
          <w:color w:val="auto"/>
          <w:sz w:val="32"/>
          <w:szCs w:val="32"/>
          <w:highlight w:val="none"/>
        </w:rPr>
        <w:t>人，比2013年末增加</w:t>
      </w:r>
      <w:r>
        <w:rPr>
          <w:rFonts w:hint="eastAsia" w:ascii="Times New Roman" w:hAnsi="Times New Roman" w:eastAsia="方正仿宋_GBK" w:cs="Times New Roman"/>
          <w:color w:val="auto"/>
          <w:sz w:val="32"/>
          <w:szCs w:val="32"/>
          <w:highlight w:val="none"/>
          <w:lang w:val="en-US" w:eastAsia="zh-CN"/>
        </w:rPr>
        <w:t>3109</w:t>
      </w:r>
      <w:r>
        <w:rPr>
          <w:rFonts w:hint="default" w:ascii="Times New Roman" w:hAnsi="Times New Roman" w:eastAsia="方正仿宋_GBK" w:cs="Times New Roman"/>
          <w:color w:val="auto"/>
          <w:sz w:val="32"/>
          <w:szCs w:val="32"/>
          <w:highlight w:val="none"/>
        </w:rPr>
        <w:t>人，增长</w:t>
      </w: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在法人单位从业人员中，位居前三位的行业是：制造业</w:t>
      </w:r>
      <w:r>
        <w:rPr>
          <w:rFonts w:hint="default" w:ascii="Times New Roman" w:hAnsi="Times New Roman" w:eastAsia="方正仿宋_GBK" w:cs="Times New Roman"/>
          <w:color w:val="auto"/>
          <w:sz w:val="32"/>
          <w:szCs w:val="32"/>
          <w:lang w:val="en-US" w:eastAsia="zh-CN"/>
        </w:rPr>
        <w:t>124457</w:t>
      </w:r>
      <w:r>
        <w:rPr>
          <w:rFonts w:hint="default" w:ascii="Times New Roman" w:hAnsi="Times New Roman" w:eastAsia="方正仿宋_GBK" w:cs="Times New Roman"/>
          <w:color w:val="auto"/>
          <w:sz w:val="32"/>
          <w:szCs w:val="32"/>
        </w:rPr>
        <w:t>人，占</w:t>
      </w:r>
      <w:r>
        <w:rPr>
          <w:rFonts w:hint="default" w:ascii="Times New Roman" w:hAnsi="Times New Roman" w:eastAsia="方正仿宋_GBK" w:cs="Times New Roman"/>
          <w:color w:val="auto"/>
          <w:sz w:val="32"/>
          <w:szCs w:val="32"/>
          <w:lang w:val="en-US" w:eastAsia="zh-CN"/>
        </w:rPr>
        <w:t>30.9</w:t>
      </w:r>
      <w:r>
        <w:rPr>
          <w:rFonts w:hint="default" w:ascii="Times New Roman" w:hAnsi="Times New Roman" w:eastAsia="方正仿宋_GBK" w:cs="Times New Roman"/>
          <w:color w:val="auto"/>
          <w:sz w:val="32"/>
          <w:szCs w:val="32"/>
        </w:rPr>
        <w:t>%；建筑业</w:t>
      </w:r>
      <w:r>
        <w:rPr>
          <w:rFonts w:hint="default" w:ascii="Times New Roman" w:hAnsi="Times New Roman" w:eastAsia="方正仿宋_GBK" w:cs="Times New Roman"/>
          <w:color w:val="auto"/>
          <w:sz w:val="32"/>
          <w:szCs w:val="32"/>
          <w:lang w:val="en-US" w:eastAsia="zh-CN"/>
        </w:rPr>
        <w:t>60176</w:t>
      </w:r>
      <w:r>
        <w:rPr>
          <w:rFonts w:hint="default" w:ascii="Times New Roman" w:hAnsi="Times New Roman" w:eastAsia="方正仿宋_GBK" w:cs="Times New Roman"/>
          <w:color w:val="auto"/>
          <w:sz w:val="32"/>
          <w:szCs w:val="32"/>
        </w:rPr>
        <w:t>人，占</w:t>
      </w:r>
      <w:r>
        <w:rPr>
          <w:rFonts w:hint="eastAsia" w:ascii="Times New Roman" w:hAnsi="Times New Roman" w:eastAsia="方正仿宋_GBK" w:cs="Times New Roman"/>
          <w:color w:val="auto"/>
          <w:sz w:val="32"/>
          <w:szCs w:val="32"/>
          <w:lang w:val="en-US" w:eastAsia="zh-CN"/>
        </w:rPr>
        <w:t>15.0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教育43264</w:t>
      </w:r>
      <w:r>
        <w:rPr>
          <w:rFonts w:hint="default" w:ascii="Times New Roman" w:hAnsi="Times New Roman" w:eastAsia="方正仿宋_GBK" w:cs="Times New Roman"/>
          <w:color w:val="auto"/>
          <w:sz w:val="32"/>
          <w:szCs w:val="32"/>
        </w:rPr>
        <w:t>人，占</w:t>
      </w:r>
      <w:r>
        <w:rPr>
          <w:rFonts w:hint="default" w:ascii="Times New Roman" w:hAnsi="Times New Roman" w:eastAsia="方正仿宋_GBK" w:cs="Times New Roman"/>
          <w:color w:val="auto"/>
          <w:sz w:val="32"/>
          <w:szCs w:val="32"/>
          <w:lang w:val="en-US" w:eastAsia="zh-CN"/>
        </w:rPr>
        <w:t>10.8</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tbl>
      <w:tblPr>
        <w:tblStyle w:val="3"/>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5"/>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355" w:type="dxa"/>
            <w:gridSpan w:val="3"/>
            <w:tcBorders>
              <w:top w:val="nil"/>
              <w:left w:val="nil"/>
              <w:bottom w:val="single" w:color="auto"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8"/>
                <w:szCs w:val="28"/>
                <w:u w:val="none"/>
              </w:rPr>
            </w:pPr>
            <w:r>
              <w:rPr>
                <w:rStyle w:val="9"/>
                <w:rFonts w:hint="default" w:ascii="Times New Roman" w:hAnsi="Times New Roman" w:cs="Times New Roman"/>
                <w:color w:val="auto"/>
                <w:lang w:val="en-US" w:eastAsia="zh-CN" w:bidi="ar"/>
              </w:rPr>
              <w:t>表</w:t>
            </w:r>
            <w:r>
              <w:rPr>
                <w:rStyle w:val="10"/>
                <w:rFonts w:hint="default" w:ascii="Times New Roman" w:hAnsi="Times New Roman" w:eastAsia="宋体" w:cs="Times New Roman"/>
                <w:color w:val="auto"/>
                <w:lang w:val="en-US" w:eastAsia="zh-CN" w:bidi="ar"/>
              </w:rPr>
              <w:t>2-4</w:t>
            </w:r>
            <w:r>
              <w:rPr>
                <w:rStyle w:val="9"/>
                <w:rFonts w:hint="default" w:ascii="Times New Roman" w:hAnsi="Times New Roman" w:cs="Times New Roman"/>
                <w:color w:val="auto"/>
                <w:lang w:val="en-US" w:eastAsia="zh-CN" w:bidi="ar"/>
              </w:rPr>
              <w:t>　按行业门类分组的法人单位从业人员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vMerge w:val="restart"/>
            <w:tcBorders>
              <w:top w:val="single" w:color="auto" w:sz="12" w:space="0"/>
              <w:left w:val="nil"/>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b/>
                <w:i w:val="0"/>
                <w:color w:val="auto"/>
                <w:sz w:val="20"/>
                <w:szCs w:val="20"/>
                <w:u w:val="none"/>
              </w:rPr>
            </w:pPr>
          </w:p>
        </w:tc>
        <w:tc>
          <w:tcPr>
            <w:tcW w:w="2040" w:type="dxa"/>
            <w:vMerge w:val="restart"/>
            <w:tcBorders>
              <w:top w:val="single" w:color="auto" w:sz="12" w:space="0"/>
              <w:left w:val="single" w:color="auto" w:sz="4" w:space="0"/>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法人单位从业人员（人）</w:t>
            </w:r>
          </w:p>
        </w:tc>
        <w:tc>
          <w:tcPr>
            <w:tcW w:w="2040" w:type="dxa"/>
            <w:tcBorders>
              <w:top w:val="single" w:color="000000" w:sz="4" w:space="0"/>
              <w:left w:val="nil"/>
              <w:bottom w:val="single" w:color="000000"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宋体" w:cs="Times New Roman"/>
                <w:b/>
                <w:i w:val="0"/>
                <w:color w:val="auto"/>
                <w:sz w:val="20"/>
                <w:szCs w:val="20"/>
                <w:u w:val="none"/>
              </w:rPr>
            </w:pPr>
          </w:p>
        </w:tc>
        <w:tc>
          <w:tcPr>
            <w:tcW w:w="2040" w:type="dxa"/>
            <w:vMerge w:val="continue"/>
            <w:tcBorders>
              <w:top w:val="nil"/>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4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其中</w:t>
            </w:r>
            <w:r>
              <w:rPr>
                <w:rStyle w:val="11"/>
                <w:rFonts w:hint="default" w:ascii="Times New Roman" w:hAnsi="Times New Roman" w:eastAsia="宋体" w:cs="Times New Roman"/>
                <w:color w:val="auto"/>
                <w:sz w:val="20"/>
                <w:szCs w:val="20"/>
                <w:lang w:val="en-US" w:eastAsia="zh-CN" w:bidi="ar"/>
              </w:rPr>
              <w:t>:</w:t>
            </w:r>
            <w:r>
              <w:rPr>
                <w:rFonts w:hint="default" w:ascii="Times New Roman" w:hAnsi="Times New Roman" w:eastAsia="黑体" w:cs="Times New Roman"/>
                <w:i w:val="0"/>
                <w:color w:val="auto"/>
                <w:kern w:val="0"/>
                <w:sz w:val="20"/>
                <w:szCs w:val="20"/>
                <w:u w:val="none"/>
                <w:lang w:val="en-US" w:eastAsia="zh-CN" w:bidi="ar"/>
              </w:rPr>
              <w:t>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single" w:color="auto" w:sz="4" w:space="0"/>
              <w:left w:val="nil"/>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Style w:val="12"/>
                <w:rFonts w:hint="default" w:ascii="Times New Roman" w:hAnsi="Times New Roman" w:cs="Times New Roman"/>
                <w:b/>
                <w:bCs/>
                <w:color w:val="auto"/>
                <w:sz w:val="20"/>
                <w:szCs w:val="20"/>
                <w:lang w:val="en-US" w:eastAsia="zh-CN" w:bidi="ar"/>
              </w:rPr>
              <w:t>合　计</w:t>
            </w:r>
          </w:p>
        </w:tc>
        <w:tc>
          <w:tcPr>
            <w:tcW w:w="2040" w:type="dxa"/>
            <w:tcBorders>
              <w:top w:val="single" w:color="auto" w:sz="4"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402522</w:t>
            </w:r>
          </w:p>
        </w:tc>
        <w:tc>
          <w:tcPr>
            <w:tcW w:w="2040" w:type="dxa"/>
            <w:tcBorders>
              <w:top w:val="single" w:color="000000" w:sz="4" w:space="0"/>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154422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采矿业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制造业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124457</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电力、热力、燃气及水生产和供应业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390</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建筑业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60176</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批发和零售业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41135</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交通运输、仓储和邮政业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14143</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住宿和餐饮业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7072</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信息传输、软件和信息技术服务业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8844</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金融业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2447</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房地产业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20250</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租赁和商务服务业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24061</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科学研究和技术服务业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9680</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水利、环境和公共设施管理业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4096</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居民服务、修理和其他服务业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7746</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教育</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43264</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卫生和社会工作</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13321</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文化、体育和娱乐业</w:t>
            </w:r>
          </w:p>
        </w:tc>
        <w:tc>
          <w:tcPr>
            <w:tcW w:w="204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5746</w:t>
            </w:r>
          </w:p>
        </w:tc>
        <w:tc>
          <w:tcPr>
            <w:tcW w:w="2040"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75" w:type="dxa"/>
            <w:tcBorders>
              <w:top w:val="nil"/>
              <w:left w:val="nil"/>
              <w:bottom w:val="single" w:color="auto" w:sz="12"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200" w:firstLineChars="100"/>
              <w:jc w:val="both"/>
              <w:textAlignment w:val="center"/>
              <w:outlineLvl w:val="9"/>
              <w:rPr>
                <w:rFonts w:hint="default" w:ascii="Times New Roman" w:hAnsi="Times New Roman" w:eastAsia="宋体" w:cs="Times New Roman"/>
                <w:i w:val="0"/>
                <w:color w:val="auto"/>
                <w:sz w:val="20"/>
                <w:szCs w:val="20"/>
                <w:u w:val="none"/>
              </w:rPr>
            </w:pPr>
            <w:r>
              <w:rPr>
                <w:rStyle w:val="13"/>
                <w:rFonts w:hint="default" w:ascii="Times New Roman" w:hAnsi="Times New Roman" w:cs="Times New Roman"/>
                <w:color w:val="auto"/>
                <w:sz w:val="20"/>
                <w:szCs w:val="20"/>
                <w:lang w:val="en-US" w:eastAsia="zh-CN" w:bidi="ar"/>
              </w:rPr>
              <w:t>公共管理、社会保障和社会组织</w:t>
            </w:r>
          </w:p>
        </w:tc>
        <w:tc>
          <w:tcPr>
            <w:tcW w:w="2040"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15603</w:t>
            </w:r>
          </w:p>
        </w:tc>
        <w:tc>
          <w:tcPr>
            <w:tcW w:w="2040" w:type="dxa"/>
            <w:tcBorders>
              <w:top w:val="nil"/>
              <w:left w:val="single" w:color="auto" w:sz="4" w:space="0"/>
              <w:bottom w:val="single" w:color="auto" w:sz="12" w:space="0"/>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8355" w:type="dxa"/>
            <w:gridSpan w:val="3"/>
            <w:tcBorders>
              <w:top w:val="single" w:color="auto" w:sz="12" w:space="0"/>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auto"/>
                <w:sz w:val="20"/>
                <w:szCs w:val="20"/>
                <w:u w:val="none"/>
              </w:rPr>
            </w:pPr>
            <w:r>
              <w:rPr>
                <w:rFonts w:hint="default" w:ascii="Times New Roman" w:hAnsi="Times New Roman" w:eastAsia="楷体" w:cs="Times New Roman"/>
                <w:i w:val="0"/>
                <w:color w:val="auto"/>
                <w:kern w:val="0"/>
                <w:sz w:val="20"/>
                <w:szCs w:val="20"/>
                <w:u w:val="none"/>
                <w:lang w:val="en-US" w:eastAsia="zh-CN" w:bidi="ar"/>
              </w:rPr>
              <w:t>注：表中合计数含从事农、林、牧、渔专业及辅助性活动的法人单位从业人员。</w:t>
            </w:r>
          </w:p>
        </w:tc>
      </w:tr>
    </w:tbl>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三、资产负债状况和营业收入</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第二产业和第三产业法人单位资产总计</w:t>
      </w:r>
      <w:r>
        <w:rPr>
          <w:rFonts w:hint="default" w:ascii="Times New Roman" w:hAnsi="Times New Roman" w:eastAsia="方正仿宋_GBK" w:cs="Times New Roman"/>
          <w:color w:val="auto"/>
          <w:sz w:val="32"/>
          <w:szCs w:val="32"/>
          <w:lang w:eastAsia="zh-CN"/>
        </w:rPr>
        <w:t>（不含金融业）</w:t>
      </w:r>
      <w:r>
        <w:rPr>
          <w:rFonts w:hint="default" w:ascii="Times New Roman" w:hAnsi="Times New Roman" w:eastAsia="宋体" w:cs="Times New Roman"/>
          <w:b w:val="0"/>
          <w:bCs/>
          <w:i w:val="0"/>
          <w:color w:val="auto"/>
          <w:kern w:val="0"/>
          <w:sz w:val="32"/>
          <w:szCs w:val="32"/>
          <w:u w:val="none"/>
          <w:lang w:val="en-US" w:eastAsia="zh-CN" w:bidi="ar"/>
        </w:rPr>
        <w:t>7565.49</w:t>
      </w:r>
      <w:r>
        <w:rPr>
          <w:rFonts w:hint="default" w:ascii="Times New Roman" w:hAnsi="Times New Roman" w:eastAsia="方正仿宋_GBK" w:cs="Times New Roman"/>
          <w:b w:val="0"/>
          <w:bCs/>
          <w:color w:val="auto"/>
          <w:sz w:val="32"/>
          <w:szCs w:val="32"/>
        </w:rPr>
        <w:t>亿元。其中，第二产业法人单位资产总计占比为</w:t>
      </w:r>
      <w:r>
        <w:rPr>
          <w:rFonts w:hint="default" w:ascii="Times New Roman" w:hAnsi="Times New Roman" w:eastAsia="方正仿宋_GBK" w:cs="Times New Roman"/>
          <w:b w:val="0"/>
          <w:bCs/>
          <w:color w:val="auto"/>
          <w:sz w:val="32"/>
          <w:szCs w:val="32"/>
          <w:lang w:val="en-US" w:eastAsia="zh-CN"/>
        </w:rPr>
        <w:t>22.4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color w:val="auto"/>
          <w:sz w:val="32"/>
          <w:szCs w:val="32"/>
        </w:rPr>
        <w:t>第三产业法人单位资产总计占比为</w:t>
      </w:r>
      <w:r>
        <w:rPr>
          <w:rFonts w:hint="default" w:ascii="Times New Roman" w:hAnsi="Times New Roman" w:eastAsia="方正仿宋_GBK" w:cs="Times New Roman"/>
          <w:color w:val="auto"/>
          <w:sz w:val="32"/>
          <w:szCs w:val="32"/>
          <w:lang w:val="en-US" w:eastAsia="zh-CN"/>
        </w:rPr>
        <w:t>77.6</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第二产业和第三产业法人单位负债合计</w:t>
      </w:r>
      <w:r>
        <w:rPr>
          <w:rFonts w:hint="default" w:ascii="Times New Roman" w:hAnsi="Times New Roman" w:eastAsia="方正仿宋_GBK" w:cs="Times New Roman"/>
          <w:color w:val="auto"/>
          <w:sz w:val="32"/>
          <w:szCs w:val="32"/>
          <w:lang w:eastAsia="zh-CN"/>
        </w:rPr>
        <w:t>（不含金融业）</w:t>
      </w:r>
      <w:r>
        <w:rPr>
          <w:rFonts w:hint="eastAsia" w:ascii="Times New Roman" w:hAnsi="Times New Roman" w:eastAsia="方正仿宋_GBK" w:cs="Times New Roman"/>
          <w:color w:val="auto"/>
          <w:sz w:val="32"/>
          <w:szCs w:val="32"/>
          <w:lang w:val="en-US" w:eastAsia="zh-CN"/>
        </w:rPr>
        <w:t>4825.81</w:t>
      </w:r>
      <w:r>
        <w:rPr>
          <w:rFonts w:hint="default" w:ascii="Times New Roman" w:hAnsi="Times New Roman" w:eastAsia="方正仿宋_GBK" w:cs="Times New Roman"/>
          <w:color w:val="auto"/>
          <w:sz w:val="32"/>
          <w:szCs w:val="32"/>
        </w:rPr>
        <w:t>亿元。其中，第二产业法人单位负债合计占比为2</w:t>
      </w:r>
      <w:r>
        <w:rPr>
          <w:rFonts w:hint="default" w:ascii="Times New Roman" w:hAnsi="Times New Roman" w:eastAsia="方正仿宋_GBK" w:cs="Times New Roman"/>
          <w:color w:val="auto"/>
          <w:sz w:val="32"/>
          <w:szCs w:val="32"/>
          <w:lang w:val="en-US" w:eastAsia="zh-CN"/>
        </w:rPr>
        <w:t>6.3</w:t>
      </w:r>
      <w:r>
        <w:rPr>
          <w:rFonts w:hint="default" w:ascii="Times New Roman" w:hAnsi="Times New Roman" w:eastAsia="方正仿宋_GBK" w:cs="Times New Roman"/>
          <w:color w:val="auto"/>
          <w:sz w:val="32"/>
          <w:szCs w:val="32"/>
        </w:rPr>
        <w:t>%，第三产业法人单位负债合计占比为7</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2018年，全</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第二产业和第三产业企业法人单位实现营业收入</w:t>
      </w:r>
      <w:r>
        <w:rPr>
          <w:rFonts w:hint="default" w:ascii="Times New Roman" w:hAnsi="Times New Roman" w:eastAsia="方正仿宋_GBK" w:cs="Times New Roman"/>
          <w:color w:val="auto"/>
          <w:sz w:val="32"/>
          <w:szCs w:val="32"/>
          <w:lang w:eastAsia="zh-CN"/>
        </w:rPr>
        <w:t>（不含金融业）</w:t>
      </w:r>
      <w:r>
        <w:rPr>
          <w:rFonts w:hint="default" w:ascii="Times New Roman" w:hAnsi="Times New Roman" w:eastAsia="方正仿宋_GBK" w:cs="Times New Roman"/>
          <w:color w:val="auto"/>
          <w:sz w:val="32"/>
          <w:szCs w:val="32"/>
          <w:highlight w:val="none"/>
          <w:lang w:val="en-US" w:eastAsia="zh-CN"/>
        </w:rPr>
        <w:t>4122.88</w:t>
      </w:r>
      <w:r>
        <w:rPr>
          <w:rFonts w:hint="default" w:ascii="Times New Roman" w:hAnsi="Times New Roman" w:eastAsia="方正仿宋_GBK" w:cs="Times New Roman"/>
          <w:color w:val="auto"/>
          <w:sz w:val="32"/>
          <w:szCs w:val="32"/>
          <w:highlight w:val="none"/>
        </w:rPr>
        <w:t>亿元。其中，第二产业营业收入占比为</w:t>
      </w:r>
      <w:r>
        <w:rPr>
          <w:rFonts w:hint="default" w:ascii="Times New Roman" w:hAnsi="Times New Roman" w:eastAsia="方正仿宋_GBK" w:cs="Times New Roman"/>
          <w:color w:val="auto"/>
          <w:sz w:val="32"/>
          <w:szCs w:val="32"/>
          <w:highlight w:val="none"/>
          <w:lang w:val="en-US" w:eastAsia="zh-CN"/>
        </w:rPr>
        <w:t>60.</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%，第三产业营业收入占比为</w:t>
      </w:r>
      <w:r>
        <w:rPr>
          <w:rFonts w:hint="default" w:ascii="Times New Roman" w:hAnsi="Times New Roman" w:eastAsia="方正仿宋_GBK" w:cs="Times New Roman"/>
          <w:color w:val="auto"/>
          <w:sz w:val="32"/>
          <w:szCs w:val="32"/>
          <w:highlight w:val="none"/>
          <w:lang w:val="en-US" w:eastAsia="zh-CN"/>
        </w:rPr>
        <w:t>39.8</w:t>
      </w:r>
      <w:r>
        <w:rPr>
          <w:rFonts w:hint="default" w:ascii="Times New Roman" w:hAnsi="Times New Roman" w:eastAsia="方正仿宋_GBK" w:cs="Times New Roman"/>
          <w:color w:val="auto"/>
          <w:sz w:val="32"/>
          <w:szCs w:val="32"/>
          <w:highlight w:val="none"/>
        </w:rPr>
        <w:t>%（详见表2-5）。</w:t>
      </w:r>
    </w:p>
    <w:tbl>
      <w:tblPr>
        <w:tblStyle w:val="3"/>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83"/>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874" w:type="dxa"/>
            <w:gridSpan w:val="4"/>
            <w:tcBorders>
              <w:top w:val="nil"/>
              <w:left w:val="nil"/>
              <w:bottom w:val="single" w:color="auto" w:sz="12"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8"/>
                <w:szCs w:val="28"/>
                <w:u w:val="none"/>
              </w:rPr>
            </w:pPr>
            <w:r>
              <w:rPr>
                <w:rFonts w:hint="default" w:ascii="Times New Roman" w:hAnsi="Times New Roman" w:eastAsia="方正小标宋_GBK" w:cs="Times New Roman"/>
                <w:i w:val="0"/>
                <w:color w:val="auto"/>
                <w:kern w:val="0"/>
                <w:sz w:val="28"/>
                <w:szCs w:val="28"/>
                <w:u w:val="none"/>
                <w:lang w:val="en-US" w:eastAsia="zh-CN" w:bidi="ar"/>
              </w:rPr>
              <w:t>表</w:t>
            </w:r>
            <w:r>
              <w:rPr>
                <w:rFonts w:hint="default" w:ascii="Times New Roman" w:hAnsi="Times New Roman" w:eastAsia="宋体" w:cs="Times New Roman"/>
                <w:i w:val="0"/>
                <w:color w:val="auto"/>
                <w:kern w:val="0"/>
                <w:sz w:val="28"/>
                <w:szCs w:val="28"/>
                <w:u w:val="none"/>
                <w:lang w:val="en-US" w:eastAsia="zh-CN" w:bidi="ar"/>
              </w:rPr>
              <w:t>2-5</w:t>
            </w:r>
            <w:r>
              <w:rPr>
                <w:rFonts w:hint="default" w:ascii="Times New Roman" w:hAnsi="Times New Roman" w:eastAsia="方正小标宋_GBK" w:cs="Times New Roman"/>
                <w:i w:val="0"/>
                <w:color w:val="auto"/>
                <w:kern w:val="0"/>
                <w:sz w:val="28"/>
                <w:szCs w:val="28"/>
                <w:u w:val="none"/>
                <w:lang w:val="en-US" w:eastAsia="zh-CN" w:bidi="ar"/>
              </w:rPr>
              <w:t>　按行业门类分组的单位资产负债状况和营业收入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9" w:hRule="atLeast"/>
        </w:trPr>
        <w:tc>
          <w:tcPr>
            <w:tcW w:w="4283" w:type="dxa"/>
            <w:vMerge w:val="restart"/>
            <w:tcBorders>
              <w:top w:val="single" w:color="auto" w:sz="12" w:space="0"/>
              <w:left w:val="nil"/>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auto"/>
                <w:sz w:val="20"/>
                <w:szCs w:val="20"/>
                <w:u w:val="none"/>
              </w:rPr>
            </w:pPr>
          </w:p>
        </w:tc>
        <w:tc>
          <w:tcPr>
            <w:tcW w:w="1530" w:type="dxa"/>
            <w:tcBorders>
              <w:top w:val="single" w:color="auto" w:sz="12" w:space="0"/>
              <w:left w:val="single" w:color="auto" w:sz="4" w:space="0"/>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法人单位</w:t>
            </w:r>
          </w:p>
        </w:tc>
        <w:tc>
          <w:tcPr>
            <w:tcW w:w="1530" w:type="dxa"/>
            <w:tcBorders>
              <w:top w:val="single" w:color="auto" w:sz="12" w:space="0"/>
              <w:left w:val="single" w:color="auto" w:sz="4" w:space="0"/>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法人单位</w:t>
            </w:r>
          </w:p>
        </w:tc>
        <w:tc>
          <w:tcPr>
            <w:tcW w:w="1531" w:type="dxa"/>
            <w:tcBorders>
              <w:top w:val="single" w:color="auto" w:sz="12" w:space="0"/>
              <w:left w:val="single" w:color="auto" w:sz="4" w:space="0"/>
              <w:bottom w:val="nil"/>
              <w:right w:val="nil"/>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企业法人单位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7" w:hRule="atLeast"/>
        </w:trPr>
        <w:tc>
          <w:tcPr>
            <w:tcW w:w="4283" w:type="dxa"/>
            <w:vMerge w:val="continue"/>
            <w:tcBorders>
              <w:top w:val="nil"/>
              <w:left w:val="nil"/>
              <w:bottom w:val="nil"/>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auto"/>
                <w:sz w:val="20"/>
                <w:szCs w:val="20"/>
                <w:u w:val="none"/>
              </w:rPr>
            </w:pP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资产总计</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负债合计</w:t>
            </w:r>
          </w:p>
        </w:tc>
        <w:tc>
          <w:tcPr>
            <w:tcW w:w="1531" w:type="dxa"/>
            <w:tcBorders>
              <w:top w:val="nil"/>
              <w:left w:val="single" w:color="auto" w:sz="4" w:space="0"/>
              <w:bottom w:val="nil"/>
              <w:right w:val="nil"/>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营业</w:t>
            </w:r>
            <w:r>
              <w:rPr>
                <w:rFonts w:hint="default" w:ascii="Times New Roman" w:hAnsi="Times New Roman" w:eastAsia="宋体" w:cs="Times New Roman"/>
                <w:i w:val="0"/>
                <w:color w:val="auto"/>
                <w:kern w:val="0"/>
                <w:sz w:val="20"/>
                <w:szCs w:val="20"/>
                <w:u w:val="none"/>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283" w:type="dxa"/>
            <w:vMerge w:val="continue"/>
            <w:tcBorders>
              <w:top w:val="nil"/>
              <w:left w:val="nil"/>
              <w:bottom w:val="single" w:color="auto" w:sz="12"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auto"/>
                <w:sz w:val="20"/>
                <w:szCs w:val="20"/>
                <w:u w:val="none"/>
              </w:rPr>
            </w:pPr>
          </w:p>
        </w:tc>
        <w:tc>
          <w:tcPr>
            <w:tcW w:w="1530"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（亿元）</w:t>
            </w:r>
          </w:p>
        </w:tc>
        <w:tc>
          <w:tcPr>
            <w:tcW w:w="1530"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（亿元）</w:t>
            </w:r>
          </w:p>
        </w:tc>
        <w:tc>
          <w:tcPr>
            <w:tcW w:w="1531" w:type="dxa"/>
            <w:tcBorders>
              <w:top w:val="nil"/>
              <w:left w:val="single" w:color="auto" w:sz="4" w:space="0"/>
              <w:bottom w:val="single" w:color="auto" w:sz="12" w:space="0"/>
              <w:right w:val="nil"/>
            </w:tcBorders>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283" w:type="dxa"/>
            <w:tcBorders>
              <w:top w:val="single" w:color="auto" w:sz="12" w:space="0"/>
              <w:left w:val="nil"/>
              <w:bottom w:val="nil"/>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1530" w:type="dxa"/>
            <w:tcBorders>
              <w:top w:val="single" w:color="auto" w:sz="12"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7565.49</w:t>
            </w:r>
          </w:p>
        </w:tc>
        <w:tc>
          <w:tcPr>
            <w:tcW w:w="1530" w:type="dxa"/>
            <w:tcBorders>
              <w:top w:val="single" w:color="auto" w:sz="12" w:space="0"/>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eastAsia" w:ascii="Times New Roman" w:hAnsi="Times New Roman" w:eastAsia="宋体" w:cs="Times New Roman"/>
                <w:b/>
                <w:i w:val="0"/>
                <w:color w:val="auto"/>
                <w:kern w:val="0"/>
                <w:sz w:val="20"/>
                <w:szCs w:val="20"/>
                <w:u w:val="none"/>
                <w:lang w:val="en-US" w:eastAsia="zh-CN" w:bidi="ar"/>
              </w:rPr>
              <w:t>4825.81</w:t>
            </w:r>
          </w:p>
        </w:tc>
        <w:tc>
          <w:tcPr>
            <w:tcW w:w="1531" w:type="dxa"/>
            <w:tcBorders>
              <w:top w:val="single" w:color="auto" w:sz="12" w:space="0"/>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4122.88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采矿业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1" w:type="dxa"/>
            <w:tcBorders>
              <w:top w:val="nil"/>
              <w:left w:val="single" w:color="auto" w:sz="4" w:space="0"/>
              <w:bottom w:val="nil"/>
              <w:right w:val="nil"/>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制造业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1301.23</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976.39</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2208.73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电力、热力、燃气及水生产和供应业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7.15</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3.71</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建筑业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386.79</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296.07</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批发和零售业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518.07</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342.09</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交通运输、仓储和邮政业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369.44</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194.13</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住宿和餐饮业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9.34</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6.38</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信息传输、软件和信息技术服务业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30.45</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7.22</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金融业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1" w:type="dxa"/>
            <w:tcBorders>
              <w:top w:val="nil"/>
              <w:left w:val="single" w:color="auto" w:sz="4" w:space="0"/>
              <w:bottom w:val="nil"/>
              <w:right w:val="nil"/>
            </w:tcBorders>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房地产业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2364.00 </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1625.63</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租赁和商务服务业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538.77</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268.69</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50.60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科学研究和技术服务业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50.77</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28.93</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水利、环境和公共设施管理业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1475.51</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950.02</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居民服务、修理和其他服务业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22.62</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12.25</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教育</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323.84</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35.09</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18.60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58.01</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23.05</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39.50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283" w:type="dxa"/>
            <w:tcBorders>
              <w:top w:val="nil"/>
              <w:left w:val="nil"/>
              <w:bottom w:val="nil"/>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文化、体育和娱乐业</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18.31</w:t>
            </w:r>
          </w:p>
        </w:tc>
        <w:tc>
          <w:tcPr>
            <w:tcW w:w="1530" w:type="dxa"/>
            <w:tcBorders>
              <w:top w:val="nil"/>
              <w:left w:val="single" w:color="auto" w:sz="4" w:space="0"/>
              <w:bottom w:val="nil"/>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4.44</w:t>
            </w:r>
          </w:p>
        </w:tc>
        <w:tc>
          <w:tcPr>
            <w:tcW w:w="1531" w:type="dxa"/>
            <w:tcBorders>
              <w:top w:val="nil"/>
              <w:left w:val="single" w:color="auto" w:sz="4" w:space="0"/>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283" w:type="dxa"/>
            <w:tcBorders>
              <w:top w:val="nil"/>
              <w:left w:val="nil"/>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公共管理、社会保障和社会组织</w:t>
            </w:r>
          </w:p>
        </w:tc>
        <w:tc>
          <w:tcPr>
            <w:tcW w:w="1530"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90.70 </w:t>
            </w:r>
          </w:p>
        </w:tc>
        <w:tc>
          <w:tcPr>
            <w:tcW w:w="1530" w:type="dxa"/>
            <w:tcBorders>
              <w:top w:val="nil"/>
              <w:left w:val="single" w:color="auto" w:sz="4" w:space="0"/>
              <w:bottom w:val="single" w:color="auto" w:sz="12"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51.65</w:t>
            </w:r>
          </w:p>
        </w:tc>
        <w:tc>
          <w:tcPr>
            <w:tcW w:w="1531" w:type="dxa"/>
            <w:tcBorders>
              <w:top w:val="nil"/>
              <w:left w:val="single" w:color="auto" w:sz="4" w:space="0"/>
              <w:bottom w:val="single" w:color="auto" w:sz="12" w:space="0"/>
              <w:right w:val="nil"/>
            </w:tcBorders>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trPr>
        <w:tc>
          <w:tcPr>
            <w:tcW w:w="8874" w:type="dxa"/>
            <w:gridSpan w:val="4"/>
            <w:tcBorders>
              <w:top w:val="single" w:color="auto" w:sz="12" w:space="0"/>
              <w:left w:val="nil"/>
              <w:bottom w:val="nil"/>
              <w:right w:val="nil"/>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楷体" w:cs="Times New Roman"/>
                <w:i w:val="0"/>
                <w:color w:val="auto"/>
                <w:kern w:val="0"/>
                <w:sz w:val="20"/>
                <w:szCs w:val="20"/>
                <w:u w:val="none"/>
                <w:lang w:val="en-US" w:eastAsia="zh-CN" w:bidi="ar"/>
              </w:rPr>
              <w:t>注：表中合计数含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按重庆市经普办要求，金融业数据暂不发布，故法人单位合计不含金融业。</w:t>
            </w:r>
            <w:r>
              <w:rPr>
                <w:rFonts w:hint="eastAsia" w:ascii="Times New Roman" w:hAnsi="Times New Roman" w:eastAsia="楷体" w:cs="Times New Roman"/>
                <w:i w:val="0"/>
                <w:color w:val="auto"/>
                <w:kern w:val="0"/>
                <w:sz w:val="20"/>
                <w:szCs w:val="20"/>
                <w:u w:val="none"/>
                <w:lang w:val="en-US" w:eastAsia="zh-CN" w:bidi="ar"/>
              </w:rPr>
              <w:t>本表不含三大电信运营商数据。</w:t>
            </w:r>
          </w:p>
        </w:tc>
      </w:tr>
    </w:tbl>
    <w:p>
      <w:pPr>
        <w:widowControl/>
        <w:spacing w:line="600" w:lineRule="exact"/>
        <w:ind w:firstLine="560" w:firstLineChars="200"/>
        <w:rPr>
          <w:rFonts w:hint="default" w:ascii="Times New Roman" w:hAnsi="Times New Roman" w:eastAsia="方正黑体_GBK" w:cs="Times New Roman"/>
          <w:color w:val="auto"/>
          <w:kern w:val="0"/>
          <w:sz w:val="28"/>
        </w:rPr>
      </w:pPr>
      <w:r>
        <w:rPr>
          <w:rFonts w:hint="default" w:ascii="Times New Roman" w:hAnsi="Times New Roman" w:eastAsia="方正黑体_GBK" w:cs="Times New Roman"/>
          <w:color w:val="auto"/>
          <w:kern w:val="0"/>
          <w:sz w:val="28"/>
        </w:rPr>
        <w:t>注释：</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[1]三次产业的划分：</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第一产业是指农、林、牧、渔业（不含农、林、牧、渔专业及辅助性活动）。</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第二产业是指采矿业（不含开采专业及辅助性活动），制造业（不含金属制品、机械和设备修理业），电力、热力、燃气及水生产和供应业，建筑业。</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[2]单位的划分：</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法人单位是指有权拥有资产、承担负债，并独立从事社会经济活动（或与其他单位进行交易）的组织。法人单位应同时具备以下条件：</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（1）依法成立，有自己的名称、组织机构和场所，能够独立承担负债和其他民事责任；</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（2）独立拥有和使用（或受权使用）资产，有权与其他单位签订合同；</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（3）会计上独立核算，能够编制资产负债表等会计报表。</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法人单位包括企业法人、事业单位法人、机关法人、社会团体法人、其他法人等。</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产业活动单位是指位于一个地点，从事一种或主要从事一种社会经济活动的组织或组织的一部分。产业活动单位应同时具备以下条件：</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（1）在一个场所从事一种或主要从事一种社会经济活动；</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（2）相对独立地组织生产活动或经营活动；</w:t>
      </w:r>
    </w:p>
    <w:p>
      <w:pPr>
        <w:widowControl/>
        <w:spacing w:line="600" w:lineRule="exact"/>
        <w:ind w:firstLine="560" w:firstLineChars="200"/>
        <w:rPr>
          <w:rFonts w:hint="default" w:ascii="Times New Roman" w:hAnsi="Times New Roman" w:eastAsia="方正仿宋_GBK" w:cs="Times New Roman"/>
          <w:color w:val="auto"/>
          <w:kern w:val="0"/>
          <w:sz w:val="28"/>
        </w:rPr>
      </w:pPr>
      <w:r>
        <w:rPr>
          <w:rFonts w:hint="default" w:ascii="Times New Roman" w:hAnsi="Times New Roman" w:eastAsia="方正仿宋_GBK" w:cs="Times New Roman"/>
          <w:color w:val="auto"/>
          <w:kern w:val="0"/>
          <w:sz w:val="28"/>
        </w:rPr>
        <w:t>（3）能提供收入或者支出等相关资料。</w:t>
      </w:r>
    </w:p>
    <w:p>
      <w:pPr>
        <w:widowControl/>
        <w:spacing w:line="600" w:lineRule="exact"/>
        <w:ind w:firstLine="560" w:firstLineChars="200"/>
        <w:rPr>
          <w:rFonts w:hint="default" w:ascii="Times New Roman" w:hAnsi="Times New Roman" w:eastAsia="仿宋_GB2312" w:cs="Times New Roman"/>
          <w:color w:val="auto"/>
          <w:kern w:val="0"/>
          <w:sz w:val="28"/>
        </w:rPr>
      </w:pPr>
      <w:r>
        <w:rPr>
          <w:rFonts w:hint="default" w:ascii="Times New Roman" w:hAnsi="Times New Roman" w:eastAsia="方正仿宋_GBK" w:cs="Times New Roman"/>
          <w:color w:val="auto"/>
          <w:kern w:val="0"/>
          <w:sz w:val="28"/>
        </w:rPr>
        <w:t>[3]表中的合计数和部分计算数据因小数取舍而产生的误差，均未作机械调整。</w:t>
      </w:r>
    </w:p>
    <w:p>
      <w:pPr>
        <w:widowControl/>
        <w:spacing w:line="600" w:lineRule="exact"/>
        <w:jc w:val="both"/>
        <w:rPr>
          <w:rFonts w:hint="default" w:ascii="Times New Roman" w:hAnsi="Times New Roman" w:eastAsia="仿宋_GB2312" w:cs="Times New Roman"/>
          <w:color w:val="auto"/>
          <w:kern w:val="0"/>
          <w:sz w:val="28"/>
          <w:szCs w:val="28"/>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41D64"/>
    <w:rsid w:val="70741D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91"/>
    <w:basedOn w:val="2"/>
    <w:uiPriority w:val="0"/>
    <w:rPr>
      <w:rFonts w:hint="default" w:ascii="Times New Roman" w:hAnsi="Times New Roman" w:cs="Times New Roman"/>
      <w:color w:val="000000"/>
      <w:sz w:val="28"/>
      <w:szCs w:val="28"/>
      <w:u w:val="none"/>
    </w:rPr>
  </w:style>
  <w:style w:type="character" w:customStyle="1" w:styleId="5">
    <w:name w:val="font121"/>
    <w:basedOn w:val="2"/>
    <w:qFormat/>
    <w:uiPriority w:val="0"/>
    <w:rPr>
      <w:rFonts w:hint="default" w:ascii="Times New Roman" w:hAnsi="Times New Roman" w:cs="Times New Roman"/>
      <w:color w:val="000000"/>
      <w:sz w:val="21"/>
      <w:szCs w:val="21"/>
      <w:u w:val="none"/>
    </w:rPr>
  </w:style>
  <w:style w:type="character" w:customStyle="1" w:styleId="6">
    <w:name w:val="font81"/>
    <w:basedOn w:val="2"/>
    <w:qFormat/>
    <w:uiPriority w:val="0"/>
    <w:rPr>
      <w:rFonts w:hint="eastAsia" w:ascii="宋体" w:hAnsi="宋体" w:eastAsia="宋体" w:cs="宋体"/>
      <w:b/>
      <w:color w:val="000000"/>
      <w:sz w:val="21"/>
      <w:szCs w:val="21"/>
      <w:u w:val="none"/>
    </w:rPr>
  </w:style>
  <w:style w:type="character" w:customStyle="1" w:styleId="7">
    <w:name w:val="font71"/>
    <w:basedOn w:val="2"/>
    <w:qFormat/>
    <w:uiPriority w:val="0"/>
    <w:rPr>
      <w:rFonts w:hint="eastAsia" w:ascii="宋体" w:hAnsi="宋体" w:eastAsia="宋体" w:cs="宋体"/>
      <w:b/>
      <w:color w:val="000000"/>
      <w:sz w:val="21"/>
      <w:szCs w:val="21"/>
      <w:u w:val="none"/>
    </w:rPr>
  </w:style>
  <w:style w:type="character" w:customStyle="1" w:styleId="8">
    <w:name w:val="font61"/>
    <w:basedOn w:val="2"/>
    <w:uiPriority w:val="0"/>
    <w:rPr>
      <w:rFonts w:hint="default" w:ascii="Times New Roman" w:hAnsi="Times New Roman" w:cs="Times New Roman"/>
      <w:color w:val="000000"/>
      <w:sz w:val="28"/>
      <w:szCs w:val="28"/>
      <w:u w:val="none"/>
    </w:rPr>
  </w:style>
  <w:style w:type="character" w:customStyle="1" w:styleId="9">
    <w:name w:val="font31"/>
    <w:basedOn w:val="2"/>
    <w:qFormat/>
    <w:uiPriority w:val="0"/>
    <w:rPr>
      <w:rFonts w:ascii="方正小标宋_GBK" w:hAnsi="方正小标宋_GBK" w:eastAsia="方正小标宋_GBK" w:cs="方正小标宋_GBK"/>
      <w:color w:val="000000"/>
      <w:sz w:val="28"/>
      <w:szCs w:val="28"/>
      <w:u w:val="none"/>
    </w:rPr>
  </w:style>
  <w:style w:type="character" w:customStyle="1" w:styleId="10">
    <w:name w:val="font101"/>
    <w:basedOn w:val="2"/>
    <w:qFormat/>
    <w:uiPriority w:val="0"/>
    <w:rPr>
      <w:rFonts w:hint="default" w:ascii="Times New Roman" w:hAnsi="Times New Roman" w:cs="Times New Roman"/>
      <w:color w:val="000000"/>
      <w:sz w:val="28"/>
      <w:szCs w:val="28"/>
      <w:u w:val="none"/>
    </w:rPr>
  </w:style>
  <w:style w:type="character" w:customStyle="1" w:styleId="11">
    <w:name w:val="font21"/>
    <w:basedOn w:val="2"/>
    <w:qFormat/>
    <w:uiPriority w:val="0"/>
    <w:rPr>
      <w:rFonts w:hint="default" w:ascii="Times New Roman" w:hAnsi="Times New Roman" w:cs="Times New Roman"/>
      <w:color w:val="000000"/>
      <w:sz w:val="21"/>
      <w:szCs w:val="21"/>
      <w:u w:val="none"/>
    </w:rPr>
  </w:style>
  <w:style w:type="character" w:customStyle="1" w:styleId="12">
    <w:name w:val="font51"/>
    <w:basedOn w:val="2"/>
    <w:uiPriority w:val="0"/>
    <w:rPr>
      <w:rFonts w:hint="eastAsia" w:ascii="宋体" w:hAnsi="宋体" w:eastAsia="宋体" w:cs="宋体"/>
      <w:color w:val="000000"/>
      <w:sz w:val="21"/>
      <w:szCs w:val="21"/>
      <w:u w:val="none"/>
    </w:rPr>
  </w:style>
  <w:style w:type="character" w:customStyle="1" w:styleId="13">
    <w:name w:val="font41"/>
    <w:basedOn w:val="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2020-04-28T07:09:00Z</dcterms:created>
  <dc:creator>何嫡娜</dc:creator>
  <cp:lastModifiedBy>何嫡娜</cp:lastModifiedBy>
  <dcterms:modified xsi:type="dcterms:W3CDTF">2020-04-28T07:09:48Z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