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36" w:rsidRDefault="003E7D36">
      <w:pPr>
        <w:overflowPunct w:val="0"/>
        <w:spacing w:line="594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3E7D36" w:rsidRDefault="003E7D36">
      <w:pPr>
        <w:overflowPunct w:val="0"/>
        <w:spacing w:line="594" w:lineRule="exact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3E7D36" w:rsidRDefault="003E7D36">
      <w:pPr>
        <w:overflowPunct w:val="0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3E7D36">
        <w:rPr>
          <w:rFonts w:ascii="方正小标宋_GBK" w:hAnsi="方正小标宋_GBK"/>
          <w:b/>
          <w:color w:val="FF0000"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框 1025" o:spid="_x0000_i1025" type="#_x0000_t75" style="width:438.75pt;height:54.75pt">
            <v:imagedata r:id="rId8" o:title=""/>
          </v:shape>
        </w:pict>
      </w:r>
    </w:p>
    <w:p w:rsidR="003E7D36" w:rsidRDefault="00E213F8">
      <w:pPr>
        <w:overflowPunct w:val="0"/>
        <w:spacing w:line="594" w:lineRule="exact"/>
        <w:jc w:val="center"/>
        <w:rPr>
          <w:rFonts w:ascii="Times New Roman" w:eastAsia="方正仿宋_GBK" w:hAnsi="Times New Roman" w:cs="Times New Roman"/>
          <w:sz w:val="32"/>
          <w:szCs w:val="20"/>
        </w:rPr>
      </w:pPr>
      <w:proofErr w:type="gramStart"/>
      <w:r>
        <w:rPr>
          <w:rFonts w:ascii="Times New Roman" w:eastAsia="方正仿宋_GBK" w:hAnsi="Times New Roman" w:cs="Times New Roman"/>
          <w:sz w:val="32"/>
          <w:szCs w:val="20"/>
        </w:rPr>
        <w:t>磁管委</w:t>
      </w:r>
      <w:proofErr w:type="gramEnd"/>
      <w:r>
        <w:rPr>
          <w:rFonts w:ascii="Times New Roman" w:eastAsia="方正仿宋_GBK" w:hAnsi="Times New Roman" w:cs="Times New Roman"/>
          <w:sz w:val="32"/>
          <w:szCs w:val="20"/>
        </w:rPr>
        <w:t>发〔</w:t>
      </w:r>
      <w:r>
        <w:rPr>
          <w:rFonts w:ascii="Times New Roman" w:eastAsia="方正仿宋_GBK" w:hAnsi="Times New Roman" w:cs="Times New Roman"/>
          <w:sz w:val="32"/>
          <w:szCs w:val="20"/>
        </w:rPr>
        <w:t>201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9</w:t>
      </w:r>
      <w:r>
        <w:rPr>
          <w:rFonts w:ascii="Times New Roman" w:eastAsia="方正仿宋_GBK" w:hAnsi="Times New Roman" w:cs="Times New Roman"/>
          <w:sz w:val="32"/>
          <w:szCs w:val="20"/>
        </w:rPr>
        <w:t>〕</w:t>
      </w:r>
      <w:r>
        <w:rPr>
          <w:rFonts w:ascii="Times New Roman" w:eastAsia="方正仿宋_GBK" w:hAnsi="Times New Roman" w:cs="Times New Roman"/>
          <w:sz w:val="32"/>
          <w:szCs w:val="20"/>
        </w:rPr>
        <w:t>1</w:t>
      </w:r>
      <w:r>
        <w:rPr>
          <w:rFonts w:ascii="Times New Roman" w:eastAsia="方正仿宋_GBK" w:hAnsi="Times New Roman" w:cs="Times New Roman"/>
          <w:sz w:val="32"/>
          <w:szCs w:val="20"/>
        </w:rPr>
        <w:t>号</w:t>
      </w:r>
    </w:p>
    <w:p w:rsidR="003E7D36" w:rsidRDefault="003E7D36">
      <w:pPr>
        <w:spacing w:line="594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 w:rsidRPr="003E7D36">
        <w:rPr>
          <w:rFonts w:eastAsia="方正黑体_GBK"/>
        </w:rPr>
        <w:pict>
          <v:line id="直线 4" o:spid="_x0000_s1029" style="position:absolute;left:0;text-align:left;z-index:1;mso-position-horizontal-relative:page;mso-position-vertical-relative:margin" from="71.25pt,167.25pt" to="530.25pt,167.3pt" o:preferrelative="t" strokecolor="red" strokeweight="1.75pt">
            <v:stroke miterlimit="2"/>
            <w10:wrap anchorx="page" anchory="margin"/>
          </v:line>
        </w:pict>
      </w:r>
    </w:p>
    <w:p w:rsidR="003E7D36" w:rsidRDefault="00E213F8">
      <w:pPr>
        <w:overflowPunct w:val="0"/>
        <w:spacing w:line="594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重庆磁器口古镇管理委员会关于</w:t>
      </w:r>
    </w:p>
    <w:p w:rsidR="003E7D36" w:rsidRDefault="00A14470">
      <w:pPr>
        <w:overflowPunct w:val="0"/>
        <w:spacing w:line="594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印发</w:t>
      </w:r>
      <w:r w:rsidR="00E213F8">
        <w:rPr>
          <w:rFonts w:ascii="Times New Roman" w:eastAsia="方正小标宋_GBK" w:hAnsi="Times New Roman" w:cs="Times New Roman" w:hint="eastAsia"/>
          <w:b/>
          <w:sz w:val="44"/>
          <w:szCs w:val="44"/>
        </w:rPr>
        <w:t>重庆市沙坪坝区</w:t>
      </w:r>
      <w:r w:rsidR="00E213F8">
        <w:rPr>
          <w:rFonts w:ascii="Times New Roman" w:eastAsia="方正小标宋_GBK" w:hAnsi="Times New Roman" w:cs="Times New Roman"/>
          <w:b/>
          <w:sz w:val="44"/>
          <w:szCs w:val="44"/>
        </w:rPr>
        <w:t>磁器口古镇</w:t>
      </w:r>
      <w:r w:rsidR="00E213F8">
        <w:rPr>
          <w:rFonts w:ascii="Times New Roman" w:eastAsia="方正小标宋_GBK" w:hAnsi="Times New Roman" w:cs="Times New Roman" w:hint="eastAsia"/>
          <w:b/>
          <w:sz w:val="44"/>
          <w:szCs w:val="44"/>
        </w:rPr>
        <w:t>景</w:t>
      </w:r>
      <w:r w:rsidR="00E213F8">
        <w:rPr>
          <w:rFonts w:ascii="Times New Roman" w:eastAsia="方正小标宋_GBK" w:hAnsi="Times New Roman" w:cs="Times New Roman"/>
          <w:b/>
          <w:sz w:val="44"/>
          <w:szCs w:val="44"/>
        </w:rPr>
        <w:t>区经营行为事前调查规划管</w:t>
      </w:r>
      <w:proofErr w:type="gramStart"/>
      <w:r w:rsidR="00E213F8">
        <w:rPr>
          <w:rFonts w:ascii="Times New Roman" w:eastAsia="方正小标宋_GBK" w:hAnsi="Times New Roman" w:cs="Times New Roman"/>
          <w:b/>
          <w:sz w:val="44"/>
          <w:szCs w:val="44"/>
        </w:rPr>
        <w:t>控</w:t>
      </w:r>
      <w:r w:rsidR="00E213F8">
        <w:rPr>
          <w:rFonts w:ascii="Times New Roman" w:eastAsia="方正小标宋_GBK" w:hAnsi="Times New Roman" w:cs="Times New Roman" w:hint="eastAsia"/>
          <w:b/>
          <w:sz w:val="44"/>
          <w:szCs w:val="44"/>
        </w:rPr>
        <w:t>标准</w:t>
      </w:r>
      <w:proofErr w:type="gramEnd"/>
      <w:r w:rsidR="00E213F8">
        <w:rPr>
          <w:rFonts w:ascii="Times New Roman" w:eastAsia="方正小标宋_GBK" w:hAnsi="Times New Roman" w:cs="Times New Roman"/>
          <w:b/>
          <w:sz w:val="44"/>
          <w:szCs w:val="44"/>
        </w:rPr>
        <w:t>的</w:t>
      </w:r>
      <w:r>
        <w:rPr>
          <w:rFonts w:ascii="Times New Roman" w:eastAsia="方正小标宋_GBK" w:hAnsi="Times New Roman" w:cs="Times New Roman" w:hint="eastAsia"/>
          <w:b/>
          <w:sz w:val="44"/>
          <w:szCs w:val="44"/>
        </w:rPr>
        <w:t>通知</w:t>
      </w:r>
    </w:p>
    <w:p w:rsidR="003E7D36" w:rsidRDefault="003E7D36">
      <w:pPr>
        <w:overflowPunct w:val="0"/>
        <w:spacing w:line="594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</w:p>
    <w:p w:rsidR="003E7D36" w:rsidRDefault="00E213F8">
      <w:pPr>
        <w:overflowPunct w:val="0"/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磁器口古镇景区</w:t>
      </w:r>
      <w:r>
        <w:rPr>
          <w:rFonts w:ascii="Times New Roman" w:eastAsia="方正仿宋_GBK" w:hAnsi="Times New Roman"/>
          <w:sz w:val="32"/>
          <w:szCs w:val="32"/>
        </w:rPr>
        <w:t>经营场所</w:t>
      </w:r>
      <w:r>
        <w:rPr>
          <w:rFonts w:ascii="Times New Roman" w:eastAsia="方正仿宋_GBK" w:hAnsi="Times New Roman" w:hint="eastAsia"/>
          <w:sz w:val="32"/>
          <w:szCs w:val="32"/>
        </w:rPr>
        <w:t>产权人、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经营主体</w:t>
      </w:r>
      <w:r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3E7D36" w:rsidRDefault="00E213F8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根据《重庆市历史文化名城名镇名村保护条例》</w:t>
      </w:r>
      <w:bookmarkStart w:id="0" w:name="_GoBack"/>
      <w:bookmarkEnd w:id="0"/>
      <w:r>
        <w:rPr>
          <w:rFonts w:ascii="Times New Roman" w:eastAsia="方正仿宋_GBK" w:hAnsi="Times New Roman" w:cs="Times New Roman"/>
          <w:sz w:val="32"/>
          <w:szCs w:val="32"/>
        </w:rPr>
        <w:t>的规定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24"/>
        </w:rPr>
        <w:t>结合磁器口作为</w:t>
      </w:r>
      <w:r>
        <w:rPr>
          <w:rFonts w:ascii="Times New Roman" w:eastAsia="方正仿宋_GBK" w:hAnsi="Times New Roman" w:cs="Times New Roman"/>
          <w:sz w:val="32"/>
          <w:szCs w:val="24"/>
        </w:rPr>
        <w:t xml:space="preserve"> “</w:t>
      </w:r>
      <w:r>
        <w:rPr>
          <w:rFonts w:ascii="Times New Roman" w:eastAsia="方正仿宋_GBK" w:hAnsi="Times New Roman" w:cs="Times New Roman"/>
          <w:sz w:val="32"/>
          <w:szCs w:val="24"/>
        </w:rPr>
        <w:t>中国历史文化街区</w:t>
      </w:r>
      <w:r>
        <w:rPr>
          <w:rFonts w:ascii="Times New Roman" w:eastAsia="方正仿宋_GBK" w:hAnsi="Times New Roman" w:cs="Times New Roman"/>
          <w:sz w:val="32"/>
          <w:szCs w:val="24"/>
        </w:rPr>
        <w:t>”</w:t>
      </w:r>
      <w:r>
        <w:rPr>
          <w:rFonts w:ascii="Times New Roman" w:eastAsia="方正仿宋_GBK" w:hAnsi="Times New Roman" w:cs="Times New Roman"/>
          <w:sz w:val="32"/>
          <w:szCs w:val="24"/>
        </w:rPr>
        <w:t>开展保护和景区提档升级的工作实际，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通过广泛调研、论证，我委制定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了《重庆市沙坪坝区磁器口古镇景区经营行为事前调查规划管控标准》，现予</w:t>
      </w:r>
      <w:r w:rsidR="00A14470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印发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。</w:t>
      </w:r>
    </w:p>
    <w:p w:rsidR="003E7D36" w:rsidRDefault="003E7D36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A14470" w:rsidRDefault="00A14470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3E7D36" w:rsidRDefault="00E213F8">
      <w:pPr>
        <w:overflowPunct w:val="0"/>
        <w:spacing w:line="594" w:lineRule="exact"/>
        <w:ind w:firstLineChars="1600" w:firstLine="51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重庆磁器口古镇管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理</w:t>
      </w:r>
      <w:r>
        <w:rPr>
          <w:rFonts w:ascii="Times New Roman" w:eastAsia="方正仿宋_GBK" w:hAnsi="Times New Roman" w:cs="Times New Roman"/>
          <w:sz w:val="32"/>
          <w:szCs w:val="32"/>
        </w:rPr>
        <w:t>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员</w:t>
      </w:r>
      <w:r>
        <w:rPr>
          <w:rFonts w:ascii="Times New Roman" w:eastAsia="方正仿宋_GBK" w:hAnsi="Times New Roman" w:cs="Times New Roman"/>
          <w:sz w:val="32"/>
          <w:szCs w:val="32"/>
        </w:rPr>
        <w:t>会</w:t>
      </w:r>
    </w:p>
    <w:p w:rsidR="003E7D36" w:rsidRDefault="00E213F8">
      <w:pPr>
        <w:overflowPunct w:val="0"/>
        <w:spacing w:line="594" w:lineRule="exact"/>
        <w:ind w:firstLineChars="1950" w:firstLine="6240"/>
        <w:sectPr w:rsidR="003E7D3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985" w:right="1446" w:bottom="1644" w:left="1446" w:header="851" w:footer="992" w:gutter="0"/>
          <w:cols w:space="720"/>
          <w:titlePg/>
          <w:docGrid w:type="lines" w:linePitch="312"/>
        </w:sectPr>
      </w:pPr>
      <w:r>
        <w:rPr>
          <w:rFonts w:ascii="Times New Roman" w:eastAsia="方正仿宋_GBK" w:hAnsi="Times New Roman" w:cs="Times New Roman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E7D36" w:rsidRDefault="003E7D36">
      <w:pPr>
        <w:spacing w:line="420" w:lineRule="exact"/>
        <w:jc w:val="left"/>
        <w:rPr>
          <w:rFonts w:ascii="方正黑体_GBK" w:eastAsia="方正黑体_GBK"/>
          <w:color w:val="000000"/>
          <w:sz w:val="32"/>
          <w:szCs w:val="32"/>
        </w:rPr>
      </w:pPr>
    </w:p>
    <w:p w:rsidR="003E7D36" w:rsidRDefault="00E213F8">
      <w:pPr>
        <w:overflowPunct w:val="0"/>
        <w:spacing w:line="594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 w:hint="eastAsia"/>
          <w:bCs/>
          <w:sz w:val="44"/>
          <w:szCs w:val="44"/>
        </w:rPr>
        <w:t>重庆市沙坪坝区</w:t>
      </w:r>
      <w:r>
        <w:rPr>
          <w:rFonts w:ascii="Times New Roman" w:eastAsia="方正小标宋_GBK" w:hAnsi="Times New Roman"/>
          <w:bCs/>
          <w:sz w:val="44"/>
          <w:szCs w:val="44"/>
        </w:rPr>
        <w:t>磁器口古镇</w:t>
      </w:r>
    </w:p>
    <w:p w:rsidR="003E7D36" w:rsidRDefault="00E213F8">
      <w:pPr>
        <w:overflowPunct w:val="0"/>
        <w:spacing w:line="594" w:lineRule="exact"/>
        <w:jc w:val="center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景区经营行为事前调查规划管控标准</w:t>
      </w:r>
    </w:p>
    <w:p w:rsidR="003E7D36" w:rsidRDefault="003E7D36">
      <w:pPr>
        <w:overflowPunct w:val="0"/>
        <w:spacing w:line="594" w:lineRule="exact"/>
        <w:ind w:firstLineChars="200" w:firstLine="640"/>
        <w:rPr>
          <w:rFonts w:ascii="方正楷体_GBK" w:eastAsia="方正楷体_GBK"/>
          <w:sz w:val="32"/>
          <w:szCs w:val="24"/>
        </w:rPr>
      </w:pP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24"/>
        </w:rPr>
        <w:t>为加强对作为</w:t>
      </w:r>
      <w:r>
        <w:rPr>
          <w:rFonts w:ascii="Times New Roman" w:eastAsia="方正仿宋_GBK" w:hAnsi="Times New Roman"/>
          <w:sz w:val="32"/>
          <w:szCs w:val="24"/>
        </w:rPr>
        <w:t>“</w:t>
      </w:r>
      <w:r>
        <w:rPr>
          <w:rFonts w:ascii="Times New Roman" w:eastAsia="方正仿宋_GBK" w:hAnsi="Times New Roman"/>
          <w:sz w:val="32"/>
          <w:szCs w:val="24"/>
        </w:rPr>
        <w:t>中国历史文化街区</w:t>
      </w:r>
      <w:r>
        <w:rPr>
          <w:rFonts w:ascii="Times New Roman" w:eastAsia="方正仿宋_GBK" w:hAnsi="Times New Roman"/>
          <w:sz w:val="32"/>
          <w:szCs w:val="24"/>
        </w:rPr>
        <w:t>”</w:t>
      </w:r>
      <w:r>
        <w:rPr>
          <w:rFonts w:ascii="Times New Roman" w:eastAsia="方正仿宋_GBK" w:hAnsi="Times New Roman"/>
          <w:sz w:val="32"/>
          <w:szCs w:val="24"/>
        </w:rPr>
        <w:t>的</w:t>
      </w:r>
      <w:r>
        <w:rPr>
          <w:rFonts w:ascii="Times New Roman" w:eastAsia="方正仿宋_GBK" w:hAnsi="Times New Roman" w:hint="eastAsia"/>
          <w:sz w:val="32"/>
          <w:szCs w:val="24"/>
        </w:rPr>
        <w:t>磁器口古镇景区的保护与利用，继承优秀历史文化遗产，促进城乡建设和社会文化协调发展，</w:t>
      </w:r>
      <w:r>
        <w:rPr>
          <w:rFonts w:ascii="Times New Roman" w:eastAsia="方正仿宋_GBK" w:hAnsi="Times New Roman" w:hint="eastAsia"/>
          <w:sz w:val="32"/>
          <w:szCs w:val="32"/>
        </w:rPr>
        <w:t>依</w:t>
      </w:r>
      <w:r>
        <w:rPr>
          <w:rFonts w:ascii="Times New Roman" w:eastAsia="方正仿宋_GBK" w:hAnsi="Times New Roman"/>
          <w:sz w:val="32"/>
          <w:szCs w:val="32"/>
        </w:rPr>
        <w:t>据《重庆市历史文化名城名镇名村保护条例》的规定，</w:t>
      </w:r>
      <w:r>
        <w:rPr>
          <w:rFonts w:ascii="Times New Roman" w:eastAsia="方正仿宋_GBK" w:hAnsi="Times New Roman"/>
          <w:sz w:val="32"/>
          <w:szCs w:val="24"/>
        </w:rPr>
        <w:t>结合磁器口</w:t>
      </w:r>
      <w:r>
        <w:rPr>
          <w:rFonts w:ascii="Times New Roman" w:eastAsia="方正仿宋_GBK" w:hAnsi="Times New Roman" w:hint="eastAsia"/>
          <w:sz w:val="32"/>
          <w:szCs w:val="24"/>
        </w:rPr>
        <w:t>古镇</w:t>
      </w:r>
      <w:r>
        <w:rPr>
          <w:rFonts w:ascii="Times New Roman" w:eastAsia="方正仿宋_GBK" w:hAnsi="Times New Roman"/>
          <w:sz w:val="32"/>
          <w:szCs w:val="24"/>
        </w:rPr>
        <w:t>实际，</w:t>
      </w:r>
      <w:r>
        <w:rPr>
          <w:rFonts w:ascii="Times New Roman" w:eastAsia="方正仿宋_GBK" w:hAnsi="Times New Roman" w:hint="eastAsia"/>
          <w:sz w:val="32"/>
          <w:szCs w:val="24"/>
        </w:rPr>
        <w:t>制定本标准：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一、管控范围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黄</w:t>
      </w:r>
      <w:proofErr w:type="gramStart"/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桷</w:t>
      </w:r>
      <w:proofErr w:type="gramEnd"/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坪一巷、</w:t>
      </w:r>
      <w:proofErr w:type="gramStart"/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磁正街</w:t>
      </w:r>
      <w:proofErr w:type="gramEnd"/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、</w:t>
      </w:r>
      <w:proofErr w:type="gramStart"/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聚森茂</w:t>
      </w:r>
      <w:proofErr w:type="gramEnd"/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巷、磁横街、磁南街、明清街、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沙磁巷</w:t>
      </w:r>
      <w:proofErr w:type="gramEnd"/>
      <w:r>
        <w:rPr>
          <w:rFonts w:ascii="Times New Roman" w:eastAsia="方正仿宋_GBK" w:hAnsi="Times New Roman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  <w:shd w:val="clear" w:color="ECF8FE" w:fill="auto"/>
        </w:rPr>
        <w:t>磁后街</w:t>
      </w:r>
      <w:r>
        <w:rPr>
          <w:rFonts w:ascii="Times New Roman" w:eastAsia="方正仿宋_GBK" w:hAnsi="Times New Roman" w:hint="eastAsia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sz w:val="32"/>
          <w:szCs w:val="32"/>
        </w:rPr>
        <w:t>幸福街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蔡家湾、金碧街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磁童路</w:t>
      </w:r>
      <w:proofErr w:type="gramEnd"/>
      <w:r>
        <w:rPr>
          <w:rFonts w:ascii="Times New Roman" w:eastAsia="方正仿宋_GBK" w:hAnsi="Times New Roman"/>
          <w:sz w:val="32"/>
          <w:szCs w:val="32"/>
        </w:rPr>
        <w:t>、磁器口地铁站周边</w:t>
      </w:r>
      <w:r>
        <w:rPr>
          <w:rFonts w:ascii="Times New Roman" w:eastAsia="方正仿宋_GBK" w:hAnsi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/>
          <w:sz w:val="32"/>
          <w:szCs w:val="32"/>
        </w:rPr>
        <w:t>特钢厂。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二、经营场所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shd w:val="clear" w:color="ECF8FE" w:fill="auto"/>
        </w:rPr>
        <w:t>（一）</w:t>
      </w:r>
      <w:r>
        <w:rPr>
          <w:rFonts w:ascii="Times New Roman" w:eastAsia="方正楷体_GBK" w:hAnsi="Times New Roman" w:hint="eastAsia"/>
          <w:sz w:val="32"/>
          <w:szCs w:val="32"/>
          <w:shd w:val="clear" w:color="ECF8FE" w:fill="auto"/>
        </w:rPr>
        <w:t>经营选址</w:t>
      </w:r>
      <w:r>
        <w:rPr>
          <w:rFonts w:ascii="Times New Roman" w:eastAsia="方正楷体_GBK" w:hAnsi="Times New Roman"/>
          <w:sz w:val="32"/>
          <w:szCs w:val="32"/>
          <w:shd w:val="clear" w:color="ECF8FE" w:fill="auto"/>
        </w:rPr>
        <w:t>：</w:t>
      </w:r>
      <w:r>
        <w:rPr>
          <w:rFonts w:ascii="Times New Roman" w:eastAsia="方正仿宋_GBK" w:hAnsi="Times New Roman"/>
          <w:sz w:val="32"/>
          <w:szCs w:val="32"/>
        </w:rPr>
        <w:t>符合保护规划要求，</w:t>
      </w:r>
      <w:r>
        <w:rPr>
          <w:rFonts w:ascii="Times New Roman" w:eastAsia="方正仿宋_GBK" w:hAnsi="Times New Roman" w:hint="eastAsia"/>
          <w:sz w:val="32"/>
          <w:szCs w:val="32"/>
        </w:rPr>
        <w:t>选址地点</w:t>
      </w:r>
      <w:r>
        <w:rPr>
          <w:rFonts w:ascii="Times New Roman" w:eastAsia="方正仿宋_GBK" w:hAnsi="Times New Roman"/>
          <w:sz w:val="32"/>
          <w:szCs w:val="32"/>
        </w:rPr>
        <w:t>不在经营业种受限制的街巷。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（二）建筑结构：</w:t>
      </w:r>
      <w:r>
        <w:rPr>
          <w:rFonts w:ascii="Times New Roman" w:eastAsia="方正仿宋_GBK" w:hAnsi="Times New Roman"/>
          <w:sz w:val="32"/>
          <w:szCs w:val="32"/>
        </w:rPr>
        <w:t>符合保护规划要求，拟经营的内容不与经营场所的建筑结构发生冲突。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三、装修风貌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/>
          <w:bCs/>
          <w:sz w:val="32"/>
          <w:szCs w:val="32"/>
        </w:rPr>
        <w:t>对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磁器口古镇景区</w:t>
      </w:r>
      <w:r>
        <w:rPr>
          <w:rFonts w:ascii="Times New Roman" w:eastAsia="方正仿宋_GBK" w:hAnsi="Times New Roman"/>
          <w:bCs/>
          <w:sz w:val="32"/>
          <w:szCs w:val="32"/>
        </w:rPr>
        <w:t>除沙磁巷、磁后街等新建区域之外的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经营场所的</w:t>
      </w:r>
      <w:r>
        <w:rPr>
          <w:rFonts w:ascii="Times New Roman" w:eastAsia="方正仿宋_GBK" w:hAnsi="Times New Roman"/>
          <w:bCs/>
          <w:sz w:val="32"/>
          <w:szCs w:val="32"/>
        </w:rPr>
        <w:t>装修风貌按以下标准管控。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>（一）外面：</w:t>
      </w:r>
      <w:r>
        <w:rPr>
          <w:rFonts w:ascii="Times New Roman" w:eastAsia="方正仿宋_GBK" w:hAnsi="Times New Roman"/>
          <w:bCs/>
          <w:sz w:val="32"/>
          <w:szCs w:val="32"/>
        </w:rPr>
        <w:t>外立面一律保持原有风貌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3E7D36" w:rsidRDefault="00E213F8" w:rsidP="00A14470">
      <w:pPr>
        <w:pStyle w:val="10"/>
        <w:overflowPunct w:val="0"/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（二）门窗：</w:t>
      </w:r>
      <w:r>
        <w:rPr>
          <w:rFonts w:ascii="Times New Roman" w:eastAsia="方正仿宋_GBK" w:hAnsi="Times New Roman" w:cs="Times New Roman"/>
          <w:sz w:val="32"/>
          <w:szCs w:val="32"/>
        </w:rPr>
        <w:t>临街建筑门窗采用传统样式和材料，门窗颜色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采用板栗色，禁用大面积玻璃。</w:t>
      </w:r>
    </w:p>
    <w:p w:rsidR="003E7D36" w:rsidRDefault="00E213F8" w:rsidP="00A14470">
      <w:pPr>
        <w:pStyle w:val="10"/>
        <w:overflowPunct w:val="0"/>
        <w:spacing w:line="594" w:lineRule="exact"/>
        <w:ind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（三）室内：</w:t>
      </w:r>
      <w:r>
        <w:rPr>
          <w:rFonts w:ascii="Times New Roman" w:eastAsia="方正仿宋_GBK" w:hAnsi="Times New Roman" w:cs="Times New Roman"/>
          <w:sz w:val="32"/>
          <w:szCs w:val="32"/>
        </w:rPr>
        <w:t>禁止改变室内承重结构。室内装修禁用鲜艳色彩，与街巷保持风貌协调。除厨房、卫生间外禁用瓷砖。</w:t>
      </w:r>
    </w:p>
    <w:p w:rsidR="003E7D36" w:rsidRDefault="00E213F8" w:rsidP="00A14470">
      <w:pPr>
        <w:pStyle w:val="10"/>
        <w:overflowPunct w:val="0"/>
        <w:spacing w:line="594" w:lineRule="exact"/>
        <w:ind w:firstLine="64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四、店招店牌</w:t>
      </w:r>
    </w:p>
    <w:p w:rsidR="003E7D36" w:rsidRDefault="00E213F8" w:rsidP="00A14470">
      <w:pPr>
        <w:pStyle w:val="10"/>
        <w:overflowPunct w:val="0"/>
        <w:spacing w:line="594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（一）位置规格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实行一店一招。店招在一楼门楣正上方，禁用悬臂式。店招底边不低于一楼门楣上沿，顶边不高于二楼窗沿。店招长度不超过门楣宽度的</w:t>
      </w:r>
      <w:r>
        <w:rPr>
          <w:rFonts w:ascii="Times New Roman" w:eastAsia="方正仿宋_GBK" w:hAnsi="Times New Roman" w:cs="Times New Roman"/>
          <w:sz w:val="32"/>
          <w:szCs w:val="32"/>
        </w:rPr>
        <w:t>2/3</w:t>
      </w:r>
      <w:r>
        <w:rPr>
          <w:rFonts w:ascii="Times New Roman" w:eastAsia="方正仿宋_GBK" w:hAnsi="Times New Roman" w:cs="Times New Roman"/>
          <w:sz w:val="32"/>
          <w:szCs w:val="32"/>
        </w:rPr>
        <w:t>；黄</w:t>
      </w:r>
      <w:proofErr w:type="gramStart"/>
      <w:r>
        <w:rPr>
          <w:rFonts w:ascii="Times New Roman" w:eastAsia="方正仿宋_GBK" w:hAnsi="Times New Roman" w:cs="Times New Roman"/>
          <w:sz w:val="32"/>
          <w:szCs w:val="32"/>
        </w:rPr>
        <w:t>桷</w:t>
      </w:r>
      <w:proofErr w:type="gramEnd"/>
      <w:r>
        <w:rPr>
          <w:rFonts w:ascii="Times New Roman" w:eastAsia="方正仿宋_GBK" w:hAnsi="Times New Roman" w:cs="Times New Roman"/>
          <w:sz w:val="32"/>
          <w:szCs w:val="32"/>
        </w:rPr>
        <w:t>坪一巷、磁横街的店招高度不超过</w:t>
      </w:r>
      <w:r>
        <w:rPr>
          <w:rFonts w:ascii="Times New Roman" w:eastAsia="方正仿宋_GBK" w:hAnsi="Times New Roman" w:cs="Times New Roman"/>
          <w:sz w:val="32"/>
          <w:szCs w:val="32"/>
        </w:rPr>
        <w:t>0.5</w:t>
      </w:r>
      <w:r>
        <w:rPr>
          <w:rFonts w:ascii="Times New Roman" w:eastAsia="方正仿宋_GBK" w:hAnsi="Times New Roman" w:cs="Times New Roman"/>
          <w:sz w:val="32"/>
          <w:szCs w:val="32"/>
        </w:rPr>
        <w:t>米，其他街巷的店招不超过</w:t>
      </w:r>
      <w:r>
        <w:rPr>
          <w:rFonts w:ascii="Times New Roman" w:eastAsia="方正仿宋_GBK" w:hAnsi="Times New Roman" w:cs="Times New Roman"/>
          <w:sz w:val="32"/>
          <w:szCs w:val="32"/>
        </w:rPr>
        <w:t>0.8</w:t>
      </w:r>
      <w:r>
        <w:rPr>
          <w:rFonts w:ascii="Times New Roman" w:eastAsia="方正仿宋_GBK" w:hAnsi="Times New Roman" w:cs="Times New Roman"/>
          <w:sz w:val="32"/>
          <w:szCs w:val="32"/>
        </w:rPr>
        <w:t>米。文字在底板居中位置，所占面积不超过底板的</w:t>
      </w:r>
      <w:r>
        <w:rPr>
          <w:rFonts w:ascii="Times New Roman" w:eastAsia="方正仿宋_GBK" w:hAnsi="Times New Roman" w:cs="Times New Roman"/>
          <w:sz w:val="32"/>
          <w:szCs w:val="32"/>
        </w:rPr>
        <w:t>3/4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3E7D36" w:rsidRDefault="00E213F8">
      <w:pPr>
        <w:overflowPunct w:val="0"/>
        <w:spacing w:line="594" w:lineRule="exact"/>
        <w:ind w:firstLine="20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</w:rPr>
        <w:t xml:space="preserve">   </w:t>
      </w:r>
      <w:r>
        <w:rPr>
          <w:rFonts w:ascii="Times New Roman" w:eastAsia="方正楷体_GBK" w:hAnsi="Times New Roman"/>
          <w:sz w:val="32"/>
          <w:szCs w:val="32"/>
        </w:rPr>
        <w:t>（二）材质色彩：</w:t>
      </w:r>
      <w:r>
        <w:rPr>
          <w:rFonts w:ascii="Times New Roman" w:eastAsia="方正仿宋_GBK" w:hAnsi="Times New Roman"/>
          <w:sz w:val="32"/>
          <w:szCs w:val="32"/>
        </w:rPr>
        <w:t>禁用灯箱。店招底板颜色采用黑色或棕色，用亚光、轻便木质材质，禁用鲜艳色彩。字体鼓励采用书法字体（其中磁横街鼓励采用书法字体和艺术字体），颜色采用浅黄、浅红、浅绿等暖色调（字体及色标见范例），制作采用阴刻工艺。</w:t>
      </w:r>
    </w:p>
    <w:p w:rsidR="003E7D36" w:rsidRDefault="00E213F8">
      <w:pPr>
        <w:pStyle w:val="a3"/>
        <w:overflowPunct w:val="0"/>
        <w:spacing w:line="594" w:lineRule="exact"/>
        <w:ind w:firstLine="20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 xml:space="preserve">   </w:t>
      </w:r>
      <w:r>
        <w:rPr>
          <w:rFonts w:ascii="Times New Roman" w:eastAsia="方正楷体_GBK" w:hAnsi="Times New Roman" w:cs="Times New Roman"/>
          <w:sz w:val="32"/>
          <w:szCs w:val="32"/>
        </w:rPr>
        <w:t>（三）文字内容：</w:t>
      </w:r>
      <w:r>
        <w:rPr>
          <w:rFonts w:ascii="Times New Roman" w:eastAsia="方正仿宋_GBK" w:hAnsi="Times New Roman" w:cs="Times New Roman"/>
          <w:sz w:val="32"/>
          <w:szCs w:val="32"/>
        </w:rPr>
        <w:t>符合国家语言文字规范，以简化汉字为基本用字，不得单独使用汉语拼音、外文，不得体现电话号码。鼓励采用商标加店名组合形式。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五、经营业种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（一）黄</w:t>
      </w:r>
      <w:proofErr w:type="gramStart"/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桷</w:t>
      </w:r>
      <w:proofErr w:type="gramEnd"/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坪一巷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黄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桷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坪一巷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—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17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号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，磁南街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号附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号，磁南街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号附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9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13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号，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磁正街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125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—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127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lastRenderedPageBreak/>
        <w:t>业种；限制小吃、饮品、餐馆、普通土特产、普通火锅底料、普通工艺品等；限制</w:t>
      </w:r>
      <w:r>
        <w:rPr>
          <w:rFonts w:ascii="Times New Roman" w:eastAsia="方正仿宋_GBK" w:hAnsi="Times New Roman"/>
          <w:sz w:val="32"/>
          <w:szCs w:val="32"/>
        </w:rPr>
        <w:t>缺乏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重庆历史文化特色的所有业种。鼓励重庆市文化艺术类非物质文化遗产项目；鼓励具有磁器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文化特色的书画、文创品、手工艺品。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（二）</w:t>
      </w:r>
      <w:proofErr w:type="gramStart"/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磁正街</w:t>
      </w:r>
      <w:proofErr w:type="gramEnd"/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</w:t>
      </w:r>
      <w:proofErr w:type="gramStart"/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磁正街</w:t>
      </w:r>
      <w:proofErr w:type="gramEnd"/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—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195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号。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管控业种：限制现场制作的烧烤、油炸、炒制、熬制、烘焙业种；限制普通小吃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、普通饮品、普通餐馆、普通土特产、普通火锅底料、普通工艺品等；限制</w:t>
      </w:r>
      <w:r>
        <w:rPr>
          <w:rFonts w:ascii="Times New Roman" w:eastAsia="方正仿宋_GBK" w:hAnsi="Times New Roman"/>
          <w:sz w:val="32"/>
          <w:szCs w:val="32"/>
        </w:rPr>
        <w:t>缺乏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重庆历史文化特色的所有业种。鼓励重庆市非物质文化遗产项目；鼓励具有磁器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文化特色的陶瓷、文创品、手工艺品、茶馆、演艺、展厅、民俗客栈。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（三）</w:t>
      </w:r>
      <w:proofErr w:type="gramStart"/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聚森茂</w:t>
      </w:r>
      <w:proofErr w:type="gramEnd"/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t>巷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磁正街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72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号附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号，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磁正街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74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号附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管控业种：限制现场制作的烧烤、油炸、炒制、熬制、烘焙业种；限制小吃、饮品、餐馆、普通土特产、普通火锅底料、普通工艺品等；限制</w:t>
      </w:r>
      <w:r>
        <w:rPr>
          <w:rFonts w:ascii="Times New Roman" w:eastAsia="方正仿宋_GBK" w:hAnsi="Times New Roman"/>
          <w:sz w:val="32"/>
          <w:szCs w:val="32"/>
        </w:rPr>
        <w:t>缺乏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重庆历史文化特色的所有业种。鼓励重庆市非物质文化遗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楷体_GBK" w:hAnsi="Times New Roman"/>
          <w:color w:val="000000"/>
          <w:sz w:val="32"/>
          <w:szCs w:val="32"/>
          <w:shd w:val="clear" w:color="ECF8FE" w:fill="auto"/>
        </w:rPr>
        <w:lastRenderedPageBreak/>
        <w:t>（四）磁横街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磁横街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—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83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号。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管控业种：限制现场制作的烧烤、油炸、炒制、熬制、烘焙业种；限制小吃、餐馆、土特产、火锅底料、普通工艺品等。鼓励重庆市非物质文化遗产项目；鼓励具有磁器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文化特色的陶瓷、文创品、手工艺品、图书、音像、茶馆、咖啡吧、音乐吧、民俗客栈。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（五）磁南街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门牌范围：磁南街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号附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9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11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号，磁南街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号附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管控业种：限制土特产、普通火锅底料、工艺品等；限制</w:t>
      </w:r>
      <w:r>
        <w:rPr>
          <w:rFonts w:ascii="Times New Roman" w:eastAsia="方正仿宋_GBK" w:hAnsi="Times New Roman"/>
          <w:sz w:val="32"/>
          <w:szCs w:val="32"/>
        </w:rPr>
        <w:t>缺乏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重庆历史文化特色的所有业种。鼓励重庆市非物质文化遗产项目；鼓励具有磁器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文化特色的民俗客栈和同时符合食品卫生安全监管要求的小吃、餐馆。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（六）明清街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幸福湾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27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28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号，磁南街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号，黄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桷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坪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管控业种：限制现场制作的烧烤、油炸、炒制、熬制、烘焙业种；限制普通小吃、普通餐馆、普通土特产、普通火锅底料、普通工艺品等；限制</w:t>
      </w:r>
      <w:r>
        <w:rPr>
          <w:rFonts w:ascii="Times New Roman" w:eastAsia="方正仿宋_GBK" w:hAnsi="Times New Roman"/>
          <w:sz w:val="32"/>
          <w:szCs w:val="32"/>
        </w:rPr>
        <w:t>缺乏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重庆历史文化特色的所有业种。鼓励重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lastRenderedPageBreak/>
        <w:t>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文化特色的陶瓷、文创品、手工艺品、书画、收藏品、展厅、民俗客栈。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（七）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沙磁巷</w:t>
      </w:r>
      <w:proofErr w:type="gramEnd"/>
    </w:p>
    <w:p w:rsidR="003E7D36" w:rsidRDefault="00E213F8">
      <w:pPr>
        <w:pStyle w:val="11"/>
        <w:widowControl w:val="0"/>
        <w:shd w:val="clear" w:color="auto" w:fill="FFFFFF"/>
        <w:overflowPunct w:val="0"/>
        <w:autoSpaceDN w:val="0"/>
        <w:spacing w:before="0" w:beforeAutospacing="0" w:after="0" w:afterAutospacing="0" w:line="594" w:lineRule="exact"/>
        <w:ind w:firstLineChars="200" w:firstLine="640"/>
        <w:jc w:val="both"/>
        <w:rPr>
          <w:rFonts w:ascii="Times New Roman" w:eastAsia="方正楷体_GBK" w:hAnsi="Times New Roman" w:cs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管控业种：限制普通小吃、普通餐馆、普通土特产、普通火锅底料、普通工艺品等。鼓励重庆市非物质文化遗产项目；鼓励具有磁器</w:t>
      </w:r>
      <w:proofErr w:type="gramStart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文化特色的陶瓷、文创品、手工艺品、</w:t>
      </w:r>
      <w:r>
        <w:rPr>
          <w:rFonts w:ascii="Times New Roman" w:eastAsia="方正仿宋_GBK" w:hAnsi="Times New Roman" w:cs="Times New Roman"/>
          <w:sz w:val="32"/>
          <w:szCs w:val="32"/>
        </w:rPr>
        <w:t>艺术品、演艺、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书店、主题酒店、</w:t>
      </w:r>
      <w:r>
        <w:rPr>
          <w:rFonts w:ascii="Times New Roman" w:eastAsia="方正仿宋_GBK" w:hAnsi="Times New Roman" w:cs="Times New Roman"/>
          <w:sz w:val="32"/>
          <w:szCs w:val="32"/>
        </w:rPr>
        <w:t>主题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餐厅；鼓励</w:t>
      </w:r>
      <w:r>
        <w:rPr>
          <w:rFonts w:ascii="Times New Roman" w:eastAsia="方正仿宋_GBK" w:hAnsi="Times New Roman" w:cs="Times New Roman"/>
          <w:sz w:val="32"/>
          <w:szCs w:val="32"/>
        </w:rPr>
        <w:t>创意策划、文化旅游会展、文化旅游培训、文化休闲娱乐。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（八）磁后街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炸、炒制、熬制业种；限制普通小吃、普通餐馆、普通土特产、普通火锅底料、普通工艺品等。鼓励重庆市非物质文化遗产项目；鼓励具有磁器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文化特色的陶瓷、文创品、手工艺品、博物馆、展厅、茶艺、咖啡吧、演艺、</w:t>
      </w:r>
      <w:r>
        <w:rPr>
          <w:rFonts w:ascii="Times New Roman" w:eastAsia="方正仿宋_GBK" w:hAnsi="Times New Roman"/>
          <w:sz w:val="32"/>
          <w:szCs w:val="32"/>
        </w:rPr>
        <w:t>艺术品、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主题客栈、</w:t>
      </w:r>
      <w:r>
        <w:rPr>
          <w:rFonts w:ascii="Times New Roman" w:eastAsia="方正仿宋_GBK" w:hAnsi="Times New Roman"/>
          <w:sz w:val="32"/>
          <w:szCs w:val="32"/>
        </w:rPr>
        <w:t>主题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餐厅。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（九）幸福街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磁正街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196—260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幸福街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管控业种：限制现场制作的烧烤、油炸、炒制、熬制、烘焙业种；限制普通小吃、普通饮品、普通餐馆、普通土特产、普通火锅底料、普通工艺品等；限制</w:t>
      </w:r>
      <w:r>
        <w:rPr>
          <w:rFonts w:ascii="Times New Roman" w:eastAsia="方正仿宋_GBK" w:hAnsi="Times New Roman"/>
          <w:sz w:val="32"/>
          <w:szCs w:val="32"/>
        </w:rPr>
        <w:t>缺乏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lastRenderedPageBreak/>
        <w:t>种。鼓励重庆市非物质文化遗产项目；鼓励具有磁器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文化特色的陶瓷、文创品、手工艺品、茶馆、演艺、展厅、民俗客栈。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磁器口街道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（十）蔡家湾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门牌范围：磁横街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84—109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，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蔡家湾部分无门牌号摊位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管控业种：限制现场制作的烧烤、油炸、炒制、熬制、烘焙业种；限制小吃、餐馆、土特产、火锅底料、普通工艺品等。鼓励重庆市非物质文化遗产项目；鼓励具有磁器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文化特色的陶瓷、文创品、手工艺品、图书、音像、茶馆、咖啡吧、音乐吧、民俗客栈。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磁器口街道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（十一）金碧街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围：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金碧正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1—123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管控业种：限制现场制作的烧烤、油炸、炒制、熬制、烘焙业种；限制小吃、餐馆、土特产、火锅底料、普通工艺品等。鼓励重庆市非物质文化遗产项目；鼓励具有磁器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文化特色的陶瓷、文创品、手工艺品、图书、音像、茶馆、咖啡吧、音乐吧、民俗客栈。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磁器口街道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（十二）</w:t>
      </w:r>
      <w:proofErr w:type="gramStart"/>
      <w:r>
        <w:rPr>
          <w:rFonts w:ascii="Times New Roman" w:eastAsia="方正楷体_GBK" w:hAnsi="Times New Roman" w:cs="Times New Roman"/>
          <w:sz w:val="32"/>
          <w:szCs w:val="32"/>
        </w:rPr>
        <w:t>磁童路</w:t>
      </w:r>
      <w:proofErr w:type="gramEnd"/>
      <w:r>
        <w:rPr>
          <w:rFonts w:ascii="Times New Roman" w:eastAsia="方正楷体_GBK" w:hAnsi="Times New Roman" w:cs="Times New Roman"/>
          <w:sz w:val="32"/>
          <w:szCs w:val="32"/>
        </w:rPr>
        <w:t xml:space="preserve"> 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门牌范围：磁南街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1—27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号（不含磁南街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号）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ECF8FE" w:fill="auto"/>
        </w:rPr>
        <w:t>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管控业种：限制土特产、普通火锅底料、工艺品等；限制</w:t>
      </w:r>
      <w:r>
        <w:rPr>
          <w:rFonts w:ascii="Times New Roman" w:eastAsia="方正仿宋_GBK" w:hAnsi="Times New Roman"/>
          <w:sz w:val="32"/>
          <w:szCs w:val="32"/>
        </w:rPr>
        <w:t>缺</w:t>
      </w:r>
      <w:r>
        <w:rPr>
          <w:rFonts w:ascii="Times New Roman" w:eastAsia="方正仿宋_GBK" w:hAnsi="Times New Roman"/>
          <w:sz w:val="32"/>
          <w:szCs w:val="32"/>
        </w:rPr>
        <w:lastRenderedPageBreak/>
        <w:t>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重庆历史文化特色的所有业种。鼓励重庆市非物质文化遗产项目；鼓励具有磁器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文化特色的民俗客栈和同时符合食品卫生安全监管要求的小吃、餐馆。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（十三）磁器口地铁站周边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限制土特产、普通火锅底料、工艺品等；限制</w:t>
      </w:r>
      <w:r>
        <w:rPr>
          <w:rFonts w:ascii="Times New Roman" w:eastAsia="方正仿宋_GBK" w:hAnsi="Times New Roman"/>
          <w:sz w:val="32"/>
          <w:szCs w:val="32"/>
        </w:rPr>
        <w:t>缺乏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重庆历史文化特色的所有业种。鼓励重庆市非物质文化遗产项目；鼓励具有磁器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文化特色的民俗客栈和同时符合食品卫生安全监管要求的小吃、餐馆。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童家桥街道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（十四）特钢厂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限制现场制作的烧烤、油炸、炒制、熬制业种；限制普通小吃、普通餐馆、普通土特产、普通火锅底料、普通工艺品等。鼓励重庆市非物质文化遗产项目；鼓励具有磁器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口历史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文化特色的陶瓷、文创品、手工艺品、博物馆、展厅、茶艺、咖啡吧、演艺、</w:t>
      </w:r>
      <w:r>
        <w:rPr>
          <w:rFonts w:ascii="Times New Roman" w:eastAsia="方正仿宋_GBK" w:hAnsi="Times New Roman"/>
          <w:sz w:val="32"/>
          <w:szCs w:val="32"/>
        </w:rPr>
        <w:t>艺术品、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主题客栈、</w:t>
      </w:r>
      <w:r>
        <w:rPr>
          <w:rFonts w:ascii="Times New Roman" w:eastAsia="方正仿宋_GBK" w:hAnsi="Times New Roman"/>
          <w:sz w:val="32"/>
          <w:szCs w:val="32"/>
        </w:rPr>
        <w:t>主题</w:t>
      </w: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餐厅。</w:t>
      </w:r>
    </w:p>
    <w:p w:rsidR="003E7D36" w:rsidRDefault="00E213F8">
      <w:pPr>
        <w:overflowPunct w:val="0"/>
        <w:spacing w:line="59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  <w:shd w:val="clear" w:color="ECF8FE" w:fill="auto"/>
        </w:rPr>
        <w:t>监管主体：</w:t>
      </w:r>
      <w:r>
        <w:rPr>
          <w:rFonts w:ascii="Times New Roman" w:eastAsia="方正仿宋_GBK" w:hAnsi="Times New Roman"/>
          <w:sz w:val="32"/>
          <w:szCs w:val="32"/>
        </w:rPr>
        <w:t>磁器口古镇管委会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六、名词定义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（一）经营业种中的</w:t>
      </w:r>
      <w:r>
        <w:rPr>
          <w:rFonts w:ascii="Times New Roman" w:eastAsia="方正楷体_GBK" w:hAnsi="Times New Roman" w:cs="Times New Roman"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sz w:val="32"/>
          <w:szCs w:val="32"/>
        </w:rPr>
        <w:t>限制</w:t>
      </w:r>
      <w:r>
        <w:rPr>
          <w:rFonts w:ascii="Times New Roman" w:eastAsia="方正楷体_GBK" w:hAnsi="Times New Roman" w:cs="Times New Roman"/>
          <w:sz w:val="32"/>
          <w:szCs w:val="32"/>
        </w:rPr>
        <w:t>”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是指本着</w:t>
      </w:r>
      <w:r>
        <w:rPr>
          <w:rFonts w:ascii="Times New Roman" w:eastAsia="方正仿宋_GBK" w:hAnsi="Times New Roman" w:cs="Times New Roman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sz w:val="32"/>
          <w:szCs w:val="32"/>
        </w:rPr>
        <w:t>尊重历史存量、优化未来增量</w:t>
      </w:r>
      <w:r>
        <w:rPr>
          <w:rFonts w:ascii="Times New Roman" w:eastAsia="方正仿宋_GBK" w:hAnsi="Times New Roman" w:cs="Times New Roman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sz w:val="32"/>
          <w:szCs w:val="32"/>
        </w:rPr>
        <w:t>的原则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，对限制类经营业种实行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“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只减不增、只出不进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”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。即对历史留存的限制类经营业种，要求现有的经营主体规范化地整改其现有的装修风貌、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lastRenderedPageBreak/>
        <w:t>店招店牌、经营行为等。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一旦该经营场所拟变更经营主体或经营业种，则该经营场所内新的经营业种不能属于限制类。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（二）经营业种中的</w:t>
      </w:r>
      <w:r>
        <w:rPr>
          <w:rFonts w:ascii="Times New Roman" w:eastAsia="方正楷体_GBK" w:hAnsi="Times New Roman" w:cs="Times New Roman"/>
          <w:sz w:val="32"/>
          <w:szCs w:val="32"/>
        </w:rPr>
        <w:t>“</w:t>
      </w:r>
      <w:r>
        <w:rPr>
          <w:rFonts w:ascii="Times New Roman" w:eastAsia="方正楷体_GBK" w:hAnsi="Times New Roman" w:cs="Times New Roman"/>
          <w:sz w:val="32"/>
          <w:szCs w:val="32"/>
        </w:rPr>
        <w:t>普通</w:t>
      </w:r>
      <w:r>
        <w:rPr>
          <w:rFonts w:ascii="Times New Roman" w:eastAsia="方正楷体_GBK" w:hAnsi="Times New Roman" w:cs="Times New Roman"/>
          <w:sz w:val="32"/>
          <w:szCs w:val="32"/>
        </w:rPr>
        <w:t>”</w:t>
      </w:r>
    </w:p>
    <w:p w:rsidR="003E7D36" w:rsidRDefault="00E213F8">
      <w:pPr>
        <w:pStyle w:val="a3"/>
        <w:overflowPunct w:val="0"/>
        <w:spacing w:line="594" w:lineRule="exact"/>
        <w:ind w:firstLineChars="200" w:firstLine="640"/>
        <w:jc w:val="both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是指缺乏</w:t>
      </w:r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ECF8FE" w:fill="auto"/>
        </w:rPr>
        <w:t>磁器</w:t>
      </w:r>
      <w:proofErr w:type="gramStart"/>
      <w:r>
        <w:rPr>
          <w:rFonts w:ascii="Times New Roman" w:eastAsia="方正仿宋_GBK" w:hAnsi="Times New Roman" w:cs="Times New Roman" w:hint="eastAsia"/>
          <w:color w:val="000000"/>
          <w:sz w:val="32"/>
          <w:szCs w:val="32"/>
          <w:shd w:val="clear" w:color="ECF8FE" w:fill="auto"/>
        </w:rPr>
        <w:t>口</w:t>
      </w:r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历史</w:t>
      </w:r>
      <w:proofErr w:type="gramEnd"/>
      <w:r>
        <w:rPr>
          <w:rFonts w:ascii="Times New Roman" w:eastAsia="方正仿宋_GBK" w:hAnsi="Times New Roman" w:cs="Times New Roman"/>
          <w:color w:val="000000"/>
          <w:sz w:val="32"/>
          <w:szCs w:val="32"/>
          <w:shd w:val="clear" w:color="ECF8FE" w:fill="auto"/>
        </w:rPr>
        <w:t>文化特色的，或虽属重庆的小吃、饮品、餐馆、土特产、火锅底料、工艺品但缺乏创造性转化、创新性发展并在磁器口古镇景区之外普遍存在的经营业种。例如，在磁器口古镇景区之外普遍存在的小吃、饮品、餐馆、土特产、火锅底料、工艺品等。</w:t>
      </w:r>
    </w:p>
    <w:p w:rsidR="003E7D36" w:rsidRDefault="003E7D36">
      <w:pPr>
        <w:pStyle w:val="a3"/>
        <w:overflowPunct w:val="0"/>
        <w:spacing w:line="594" w:lineRule="exact"/>
        <w:ind w:firstLineChars="200" w:firstLine="640"/>
        <w:rPr>
          <w:rFonts w:ascii="方正黑体_GBK" w:eastAsia="方正黑体_GBK" w:cs="Times New Roman"/>
          <w:sz w:val="32"/>
          <w:szCs w:val="32"/>
        </w:rPr>
      </w:pPr>
    </w:p>
    <w:p w:rsidR="003E7D36" w:rsidRDefault="003E7D36">
      <w:pPr>
        <w:pStyle w:val="a3"/>
        <w:overflowPunct w:val="0"/>
        <w:spacing w:line="594" w:lineRule="exact"/>
        <w:ind w:firstLineChars="200" w:firstLine="420"/>
        <w:sectPr w:rsidR="003E7D36">
          <w:footerReference w:type="even" r:id="rId15"/>
          <w:pgSz w:w="11906" w:h="16838"/>
          <w:pgMar w:top="1985" w:right="1446" w:bottom="1644" w:left="1446" w:header="851" w:footer="992" w:gutter="0"/>
          <w:cols w:space="720"/>
          <w:titlePg/>
          <w:docGrid w:type="lines" w:linePitch="312"/>
        </w:sectPr>
      </w:pPr>
    </w:p>
    <w:p w:rsidR="003E7D36" w:rsidRDefault="003E7D36">
      <w:pPr>
        <w:overflowPunct w:val="0"/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pict>
          <v:shape id="_x0000_s1026" style="position:absolute;left:0;text-align:left;margin-left:-20.65pt;margin-top:.7pt;width:474.5pt;height:641.8pt;z-index:2" coordsize="21600,21600" o:spt="100" o:preferrelative="t" wrapcoords="-39 0 -39 21561 21600 21561 21600 0 -39 0" adj="0,,0" path="" filled="f" stroked="f">
            <v:stroke joinstyle="round"/>
            <v:imagedata r:id="rId16" o:title="3844311025928381072"/>
            <v:formulas/>
            <v:path o:connecttype="segments"/>
            <o:lock v:ext="edit" aspectratio="t"/>
            <w10:wrap type="tight"/>
          </v:shape>
          <o:OLEObject Type="Embed" ShapeID="_x0000_s1026" DrawAspect="Content" ObjectID="_1627818843" r:id="rId17"/>
        </w:pict>
      </w:r>
    </w:p>
    <w:p w:rsidR="003E7D36" w:rsidRDefault="003E7D36">
      <w:pPr>
        <w:overflowPunct w:val="0"/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lastRenderedPageBreak/>
        <w:pict>
          <v:shape id="_x0000_s1027" style="position:absolute;left:0;text-align:left;margin-left:-19.5pt;margin-top:-2.5pt;width:476pt;height:646.75pt;z-index:3" coordsize="21600,21600" o:spt="100" o:preferrelative="t" wrapcoords="-75 0 -75 21525 21600 21525 21600 0 -75 0" adj="0,,0" path="" filled="f" stroked="f">
            <v:stroke joinstyle="round"/>
            <v:imagedata r:id="rId18" o:title="1306577942523104685"/>
            <v:formulas/>
            <v:path o:connecttype="segments"/>
            <o:lock v:ext="edit" aspectratio="t"/>
            <w10:wrap type="tight"/>
          </v:shape>
          <o:OLEObject Type="Embed" ShapeID="_x0000_s1027" DrawAspect="Content" ObjectID="_1627818844" r:id="rId19"/>
        </w:pict>
      </w:r>
    </w:p>
    <w:p w:rsidR="003E7D36" w:rsidRDefault="003E7D36">
      <w:pPr>
        <w:overflowPunct w:val="0"/>
        <w:spacing w:line="594" w:lineRule="exact"/>
        <w:ind w:firstLineChars="200" w:firstLine="640"/>
        <w:jc w:val="left"/>
        <w:sectPr w:rsidR="003E7D36">
          <w:footerReference w:type="even" r:id="rId20"/>
          <w:pgSz w:w="11906" w:h="16838"/>
          <w:pgMar w:top="1985" w:right="1446" w:bottom="1644" w:left="1446" w:header="851" w:footer="992" w:gutter="0"/>
          <w:cols w:space="720"/>
          <w:titlePg/>
          <w:docGrid w:type="lines" w:linePitch="312"/>
        </w:sectPr>
      </w:pPr>
      <w:r w:rsidRPr="003E7D36">
        <w:rPr>
          <w:rFonts w:ascii="Times New Roman" w:eastAsia="方正仿宋_GBK" w:hAnsi="Times New Roman"/>
          <w:sz w:val="32"/>
          <w:szCs w:val="32"/>
        </w:rPr>
        <w:lastRenderedPageBreak/>
        <w:pict>
          <v:shape id="_x0000_s1028" style="position:absolute;left:0;text-align:left;margin-left:-17.35pt;margin-top:-2.5pt;width:479.35pt;height:650.95pt;z-index:4" coordsize="21600,21600" o:spt="100" o:preferrelative="t" wrapcoords="-75 0 -75 21525 21600 21525 21600 0 -75 0" adj="0,,0" path="" filled="f" stroked="f">
            <v:stroke joinstyle="round"/>
            <v:imagedata r:id="rId21" o:title="-9194182571962729405"/>
            <v:formulas/>
            <v:path o:connecttype="segments"/>
            <o:lock v:ext="edit" aspectratio="t"/>
            <w10:wrap type="tight"/>
          </v:shape>
          <o:OLEObject Type="Embed" ShapeID="_x0000_s1028" DrawAspect="Content" ObjectID="_1627818845" r:id="rId22"/>
        </w:pict>
      </w: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3E7D36">
      <w:pPr>
        <w:tabs>
          <w:tab w:val="left" w:pos="2505"/>
        </w:tabs>
        <w:rPr>
          <w:sz w:val="10"/>
          <w:szCs w:val="10"/>
        </w:rPr>
      </w:pPr>
    </w:p>
    <w:p w:rsidR="003E7D36" w:rsidRDefault="00E213F8">
      <w:pPr>
        <w:spacing w:line="594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sz w:val="10"/>
          <w:szCs w:val="10"/>
        </w:rPr>
        <w:tab/>
      </w:r>
    </w:p>
    <w:p w:rsidR="003E7D36" w:rsidRDefault="00E213F8">
      <w:pPr>
        <w:pBdr>
          <w:top w:val="single" w:sz="4" w:space="1" w:color="auto"/>
          <w:bottom w:val="single" w:sz="4" w:space="1" w:color="auto"/>
        </w:pBdr>
        <w:tabs>
          <w:tab w:val="left" w:pos="8505"/>
        </w:tabs>
        <w:spacing w:line="594" w:lineRule="exact"/>
        <w:ind w:firstLineChars="150" w:firstLine="42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重庆磁器口古镇管理委员会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 xml:space="preserve">      201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9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年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月</w:t>
      </w:r>
      <w:r>
        <w:rPr>
          <w:rFonts w:ascii="Times New Roman" w:eastAsia="方正仿宋_GBK" w:hAnsi="Times New Roman" w:cs="Times New Roman" w:hint="eastAsia"/>
          <w:color w:val="000000"/>
          <w:sz w:val="28"/>
          <w:szCs w:val="28"/>
        </w:rPr>
        <w:t>16</w:t>
      </w:r>
      <w:r>
        <w:rPr>
          <w:rFonts w:ascii="Times New Roman" w:eastAsia="方正仿宋_GBK" w:hAnsi="Times New Roman" w:cs="Times New Roman"/>
          <w:color w:val="000000"/>
          <w:sz w:val="28"/>
          <w:szCs w:val="28"/>
        </w:rPr>
        <w:t>日印发</w:t>
      </w:r>
    </w:p>
    <w:sectPr w:rsidR="003E7D36" w:rsidSect="003E7D36">
      <w:pgSz w:w="11906" w:h="16838"/>
      <w:pgMar w:top="1985" w:right="1446" w:bottom="164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F8" w:rsidRDefault="00E213F8" w:rsidP="003E7D36">
      <w:r>
        <w:separator/>
      </w:r>
    </w:p>
  </w:endnote>
  <w:endnote w:type="continuationSeparator" w:id="0">
    <w:p w:rsidR="00E213F8" w:rsidRDefault="00E213F8" w:rsidP="003E7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36" w:rsidRDefault="003E7D36">
    <w:pPr>
      <w:pStyle w:val="a5"/>
      <w:numPr>
        <w:ilvl w:val="0"/>
        <w:numId w:val="2"/>
      </w:numPr>
      <w:rPr>
        <w:rFonts w:ascii="宋体"/>
        <w:sz w:val="28"/>
        <w:szCs w:val="28"/>
      </w:rPr>
    </w:pPr>
    <w:r>
      <w:rPr>
        <w:rFonts w:ascii="宋体"/>
        <w:sz w:val="28"/>
        <w:szCs w:val="28"/>
      </w:rPr>
      <w:fldChar w:fldCharType="begin"/>
    </w:r>
    <w:r w:rsidR="00E213F8"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 w:rsidR="00E213F8">
      <w:rPr>
        <w:rFonts w:ascii="宋体"/>
        <w:sz w:val="28"/>
        <w:szCs w:val="28"/>
        <w:lang w:val="zh-CN"/>
      </w:rPr>
      <w:t>2</w:t>
    </w:r>
    <w:r>
      <w:rPr>
        <w:rFonts w:ascii="宋体"/>
        <w:sz w:val="28"/>
        <w:szCs w:val="28"/>
      </w:rPr>
      <w:fldChar w:fldCharType="end"/>
    </w:r>
    <w:r w:rsidR="00E213F8">
      <w:rPr>
        <w:sz w:val="28"/>
        <w:szCs w:val="28"/>
      </w:rPr>
      <w:t>—</w:t>
    </w:r>
  </w:p>
  <w:p w:rsidR="003E7D36" w:rsidRDefault="003E7D3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36" w:rsidRDefault="003E7D36">
    <w:pPr>
      <w:pStyle w:val="a5"/>
      <w:numPr>
        <w:ilvl w:val="0"/>
        <w:numId w:val="1"/>
      </w:numPr>
      <w:ind w:right="90"/>
      <w:jc w:val="right"/>
      <w:rPr>
        <w:sz w:val="28"/>
        <w:szCs w:val="28"/>
      </w:rPr>
    </w:pPr>
    <w:r>
      <w:rPr>
        <w:rFonts w:ascii="宋体"/>
        <w:sz w:val="28"/>
        <w:szCs w:val="28"/>
      </w:rPr>
      <w:fldChar w:fldCharType="begin"/>
    </w:r>
    <w:r w:rsidR="00E213F8">
      <w:rPr>
        <w:rFonts w:ascii="宋体"/>
        <w:sz w:val="28"/>
        <w:szCs w:val="28"/>
      </w:rPr>
      <w:instrText>PAGE   \* MERGEFORMAT</w:instrText>
    </w:r>
    <w:r>
      <w:rPr>
        <w:rFonts w:ascii="宋体"/>
        <w:sz w:val="28"/>
        <w:szCs w:val="28"/>
      </w:rPr>
      <w:fldChar w:fldCharType="separate"/>
    </w:r>
    <w:r w:rsidR="00A14470" w:rsidRPr="00A14470">
      <w:rPr>
        <w:rFonts w:ascii="宋体"/>
        <w:noProof/>
        <w:sz w:val="28"/>
        <w:szCs w:val="28"/>
        <w:lang w:val="zh-CN"/>
      </w:rPr>
      <w:t>3</w:t>
    </w:r>
    <w:r>
      <w:rPr>
        <w:rFonts w:ascii="宋体"/>
        <w:sz w:val="28"/>
        <w:szCs w:val="28"/>
      </w:rPr>
      <w:fldChar w:fldCharType="end"/>
    </w:r>
    <w:r w:rsidR="00E213F8">
      <w:rPr>
        <w:sz w:val="28"/>
        <w:szCs w:val="28"/>
      </w:rPr>
      <w:t>—</w:t>
    </w:r>
  </w:p>
  <w:p w:rsidR="003E7D36" w:rsidRDefault="003E7D3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70" w:rsidRDefault="00A1447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36" w:rsidRDefault="00E213F8">
    <w:pPr>
      <w:pStyle w:val="a5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 w:rsidR="003E7D36"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 w:rsidR="003E7D36">
      <w:rPr>
        <w:rFonts w:ascii="宋体"/>
        <w:sz w:val="28"/>
        <w:szCs w:val="28"/>
      </w:rPr>
      <w:fldChar w:fldCharType="separate"/>
    </w:r>
    <w:r w:rsidR="00A14470" w:rsidRPr="00A14470">
      <w:rPr>
        <w:rFonts w:ascii="宋体"/>
        <w:noProof/>
        <w:sz w:val="28"/>
        <w:szCs w:val="28"/>
        <w:lang w:val="zh-CN"/>
      </w:rPr>
      <w:t>4</w:t>
    </w:r>
    <w:r w:rsidR="003E7D36"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/>
        <w:sz w:val="28"/>
        <w:szCs w:val="28"/>
      </w:rPr>
      <w:t>—</w:t>
    </w:r>
  </w:p>
  <w:p w:rsidR="003E7D36" w:rsidRDefault="003E7D36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36" w:rsidRDefault="00E213F8">
    <w:pPr>
      <w:pStyle w:val="a5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—</w:t>
    </w:r>
    <w:r>
      <w:rPr>
        <w:rFonts w:ascii="宋体" w:hint="eastAsia"/>
        <w:sz w:val="28"/>
        <w:szCs w:val="28"/>
      </w:rPr>
      <w:t xml:space="preserve"> </w:t>
    </w:r>
    <w:r w:rsidR="003E7D36"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   \* MERGEFORMAT</w:instrText>
    </w:r>
    <w:r w:rsidR="003E7D36">
      <w:rPr>
        <w:rFonts w:ascii="宋体"/>
        <w:sz w:val="28"/>
        <w:szCs w:val="28"/>
      </w:rPr>
      <w:fldChar w:fldCharType="separate"/>
    </w:r>
    <w:r w:rsidR="00A14470" w:rsidRPr="00A14470">
      <w:rPr>
        <w:rFonts w:ascii="宋体"/>
        <w:noProof/>
        <w:sz w:val="28"/>
        <w:szCs w:val="28"/>
        <w:lang w:val="zh-CN"/>
      </w:rPr>
      <w:t>12</w:t>
    </w:r>
    <w:r w:rsidR="003E7D36"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</w:t>
    </w:r>
    <w:r>
      <w:rPr>
        <w:rFonts w:ascii="宋体"/>
        <w:sz w:val="28"/>
        <w:szCs w:val="28"/>
      </w:rPr>
      <w:t>—</w:t>
    </w:r>
  </w:p>
  <w:p w:rsidR="003E7D36" w:rsidRDefault="003E7D3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F8" w:rsidRDefault="00E213F8" w:rsidP="003E7D36">
      <w:r>
        <w:separator/>
      </w:r>
    </w:p>
  </w:footnote>
  <w:footnote w:type="continuationSeparator" w:id="0">
    <w:p w:rsidR="00E213F8" w:rsidRDefault="00E213F8" w:rsidP="003E7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36" w:rsidRDefault="00E213F8">
    <w:pPr>
      <w:pStyle w:val="a6"/>
      <w:pBdr>
        <w:bottom w:val="none" w:sz="0" w:space="0" w:color="auto"/>
      </w:pBdr>
    </w:pPr>
    <w:r>
      <w:rPr>
        <w:rFonts w:hint="eastAsia"/>
      </w:rPr>
      <w:t>·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470" w:rsidRDefault="00A1447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D36" w:rsidRDefault="003E7D36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numFmt w:val="bullet"/>
      <w:lvlText w:val="—"/>
      <w:lvlJc w:val="left"/>
      <w:pPr>
        <w:tabs>
          <w:tab w:val="left" w:pos="0"/>
        </w:tabs>
        <w:ind w:left="8439" w:hanging="360"/>
      </w:pPr>
      <w:rPr>
        <w:rFonts w:ascii="Calibri" w:eastAsia="宋体" w:hAnsi="Calibri" w:cs="Arial" w:hint="default"/>
      </w:rPr>
    </w:lvl>
    <w:lvl w:ilvl="1" w:tentative="1">
      <w:start w:val="1"/>
      <w:numFmt w:val="bullet"/>
      <w:lvlText w:val=""/>
      <w:lvlJc w:val="left"/>
      <w:pPr>
        <w:tabs>
          <w:tab w:val="left" w:pos="0"/>
        </w:tabs>
        <w:ind w:left="891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0"/>
        </w:tabs>
        <w:ind w:left="933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0"/>
        </w:tabs>
        <w:ind w:left="975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0"/>
        </w:tabs>
        <w:ind w:left="1017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0"/>
        </w:tabs>
        <w:ind w:left="1059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0"/>
        </w:tabs>
        <w:ind w:left="1101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0"/>
        </w:tabs>
        <w:ind w:left="1143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0"/>
        </w:tabs>
        <w:ind w:left="11859" w:hanging="42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 w:tentative="1">
      <w:start w:val="2"/>
      <w:numFmt w:val="bullet"/>
      <w:lvlText w:val="—"/>
      <w:lvlJc w:val="left"/>
      <w:pPr>
        <w:tabs>
          <w:tab w:val="left" w:pos="0"/>
        </w:tabs>
        <w:ind w:left="360" w:hanging="360"/>
      </w:pPr>
      <w:rPr>
        <w:rFonts w:ascii="Calibri" w:eastAsia="宋体" w:hAnsi="Calibri" w:cs="Arial" w:hint="default"/>
      </w:rPr>
    </w:lvl>
    <w:lvl w:ilvl="1" w:tentative="1">
      <w:start w:val="1"/>
      <w:numFmt w:val="bullet"/>
      <w:lvlText w:val=""/>
      <w:lvlJc w:val="left"/>
      <w:pPr>
        <w:tabs>
          <w:tab w:val="left" w:pos="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D36"/>
    <w:rsid w:val="003E7D36"/>
    <w:rsid w:val="00A14470"/>
    <w:rsid w:val="00E2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7D36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3E7D36"/>
    <w:pPr>
      <w:jc w:val="left"/>
    </w:pPr>
  </w:style>
  <w:style w:type="paragraph" w:styleId="a4">
    <w:name w:val="Balloon Text"/>
    <w:basedOn w:val="a"/>
    <w:rsid w:val="003E7D36"/>
    <w:rPr>
      <w:sz w:val="18"/>
      <w:szCs w:val="18"/>
    </w:rPr>
  </w:style>
  <w:style w:type="paragraph" w:styleId="a5">
    <w:name w:val="footer"/>
    <w:basedOn w:val="a"/>
    <w:rsid w:val="003E7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3E7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普通(网站)1"/>
    <w:basedOn w:val="a"/>
    <w:rsid w:val="003E7D36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10">
    <w:name w:val="列出段落1"/>
    <w:basedOn w:val="a"/>
    <w:rsid w:val="003E7D36"/>
    <w:pPr>
      <w:ind w:firstLineChars="200" w:firstLine="200"/>
    </w:pPr>
  </w:style>
  <w:style w:type="paragraph" w:customStyle="1" w:styleId="11">
    <w:name w:val="普通(网站)1"/>
    <w:basedOn w:val="a"/>
    <w:rsid w:val="003E7D36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551</Words>
  <Characters>3141</Characters>
  <Application>Microsoft Office Word</Application>
  <DocSecurity>0</DocSecurity>
  <Lines>26</Lines>
  <Paragraphs>7</Paragraphs>
  <ScaleCrop>false</ScaleCrop>
  <Company>MS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 Inc.</dc:title>
  <dc:creator>杨枫</dc:creator>
  <cp:lastModifiedBy>rm</cp:lastModifiedBy>
  <cp:revision>2</cp:revision>
  <cp:lastPrinted>2018-08-06T11:48:00Z</cp:lastPrinted>
  <dcterms:created xsi:type="dcterms:W3CDTF">2019-01-18T16:26:00Z</dcterms:created>
  <dcterms:modified xsi:type="dcterms:W3CDTF">2019-08-20T07:07:00Z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