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adjustRightInd w:val="0"/>
        <w:snapToGrid w:val="0"/>
        <w:spacing w:beforeAutospacing="0" w:afterAutospacing="0" w:line="594" w:lineRule="exact"/>
        <w:ind w:right="75"/>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Style w:val="7"/>
          <w:rFonts w:hint="eastAsia" w:ascii="方正小标宋_GBK" w:hAnsi="方正小标宋_GBK" w:eastAsia="方正小标宋_GBK" w:cs="方正小标宋_GBK"/>
          <w:b w:val="0"/>
          <w:color w:val="000000" w:themeColor="text1"/>
          <w:sz w:val="44"/>
          <w:szCs w:val="44"/>
          <w:shd w:val="clear" w:color="auto" w:fill="FFFFFF"/>
          <w14:textFill>
            <w14:solidFill>
              <w14:schemeClr w14:val="tx1"/>
            </w14:solidFill>
          </w14:textFill>
        </w:rPr>
        <w:t>重庆市沙坪坝区中梁镇人民政府</w:t>
      </w:r>
    </w:p>
    <w:p>
      <w:pPr>
        <w:pStyle w:val="4"/>
        <w:widowControl/>
        <w:adjustRightInd w:val="0"/>
        <w:snapToGrid w:val="0"/>
        <w:spacing w:beforeAutospacing="0" w:afterAutospacing="0" w:line="594" w:lineRule="exact"/>
        <w:ind w:right="75"/>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Style w:val="7"/>
          <w:rFonts w:hint="eastAsia" w:ascii="方正小标宋_GBK" w:hAnsi="方正小标宋_GBK" w:eastAsia="方正小标宋_GBK" w:cs="方正小标宋_GBK"/>
          <w:b w:val="0"/>
          <w:color w:val="000000" w:themeColor="text1"/>
          <w:sz w:val="44"/>
          <w:szCs w:val="44"/>
          <w:shd w:val="clear" w:color="auto" w:fill="FFFFFF"/>
          <w14:textFill>
            <w14:solidFill>
              <w14:schemeClr w14:val="tx1"/>
            </w14:solidFill>
          </w14:textFill>
        </w:rPr>
        <w:t>2022年度部门决算情况说明</w:t>
      </w:r>
    </w:p>
    <w:p>
      <w:pPr>
        <w:pStyle w:val="4"/>
        <w:widowControl/>
        <w:adjustRightInd w:val="0"/>
        <w:snapToGrid w:val="0"/>
        <w:spacing w:beforeAutospacing="0" w:afterAutospacing="0" w:line="594" w:lineRule="exact"/>
        <w:ind w:right="75" w:firstLine="640" w:firstLineChars="200"/>
        <w:rPr>
          <w:rStyle w:val="7"/>
          <w:rFonts w:hint="eastAsia"/>
          <w:b w:val="0"/>
          <w:color w:val="000000" w:themeColor="text1"/>
          <w:sz w:val="32"/>
          <w:szCs w:val="32"/>
          <w:shd w:val="clear" w:color="auto" w:fill="FFFFFF"/>
          <w14:textFill>
            <w14:solidFill>
              <w14:schemeClr w14:val="tx1"/>
            </w14:solidFill>
          </w14:textFill>
        </w:rPr>
      </w:pPr>
    </w:p>
    <w:p>
      <w:pPr>
        <w:pStyle w:val="4"/>
        <w:widowControl/>
        <w:adjustRightInd w:val="0"/>
        <w:snapToGrid w:val="0"/>
        <w:spacing w:beforeAutospacing="0" w:afterAutospacing="0" w:line="594" w:lineRule="exact"/>
        <w:ind w:right="75" w:firstLine="640" w:firstLineChars="200"/>
        <w:rPr>
          <w:rFonts w:hint="eastAsia" w:ascii="方正黑体_GBK" w:eastAsia="方正黑体_GBK"/>
          <w:color w:val="000000" w:themeColor="text1"/>
          <w:sz w:val="32"/>
          <w:szCs w:val="32"/>
          <w14:textFill>
            <w14:solidFill>
              <w14:schemeClr w14:val="tx1"/>
            </w14:solidFill>
          </w14:textFill>
        </w:rPr>
      </w:pPr>
      <w:r>
        <w:rPr>
          <w:rStyle w:val="7"/>
          <w:rFonts w:hint="eastAsia" w:ascii="方正黑体_GBK" w:eastAsia="方正黑体_GBK"/>
          <w:b w:val="0"/>
          <w:color w:val="000000" w:themeColor="text1"/>
          <w:sz w:val="32"/>
          <w:szCs w:val="32"/>
          <w:shd w:val="clear" w:color="auto" w:fill="FFFFFF"/>
          <w14:textFill>
            <w14:solidFill>
              <w14:schemeClr w14:val="tx1"/>
            </w14:solidFill>
          </w14:textFill>
        </w:rPr>
        <w:t>一、部门基本情况</w:t>
      </w:r>
    </w:p>
    <w:p>
      <w:pPr>
        <w:pStyle w:val="4"/>
        <w:shd w:val="clear" w:color="auto" w:fill="FFFFFF"/>
        <w:adjustRightInd w:val="0"/>
        <w:snapToGrid w:val="0"/>
        <w:spacing w:beforeAutospacing="0" w:afterAutospacing="0" w:line="594" w:lineRule="exact"/>
        <w:ind w:firstLine="640" w:firstLineChars="200"/>
        <w:jc w:val="both"/>
        <w:rPr>
          <w:rFonts w:ascii="Times New Roman" w:hAnsi="Times New Roman" w:eastAsia="方正黑体_GBK"/>
          <w:color w:val="000000" w:themeColor="text1"/>
          <w:sz w:val="32"/>
          <w:szCs w:val="32"/>
          <w14:textFill>
            <w14:solidFill>
              <w14:schemeClr w14:val="tx1"/>
            </w14:solidFill>
          </w14:textFill>
        </w:rPr>
      </w:pPr>
      <w:r>
        <w:rPr>
          <w:rStyle w:val="7"/>
          <w:rFonts w:ascii="Times New Roman" w:hAnsi="Times New Roman" w:eastAsia="方正楷体_GBK"/>
          <w:b w:val="0"/>
          <w:color w:val="000000" w:themeColor="text1"/>
          <w:sz w:val="32"/>
          <w:szCs w:val="32"/>
          <w14:textFill>
            <w14:solidFill>
              <w14:schemeClr w14:val="tx1"/>
            </w14:solidFill>
          </w14:textFill>
        </w:rPr>
        <w:t>（一）职能职责。</w:t>
      </w:r>
    </w:p>
    <w:p>
      <w:pPr>
        <w:pStyle w:val="4"/>
        <w:shd w:val="clear" w:color="auto" w:fill="FFFFFF"/>
        <w:adjustRightInd w:val="0"/>
        <w:snapToGrid w:val="0"/>
        <w:spacing w:beforeAutospacing="0" w:afterAutospacing="0" w:line="594" w:lineRule="exact"/>
        <w:ind w:firstLine="640" w:firstLineChars="200"/>
        <w:jc w:val="both"/>
        <w:rPr>
          <w:rFonts w:ascii="Times New Roman" w:hAnsi="Times New Roman" w:eastAsia="方正仿宋_GBK"/>
          <w:color w:val="000000" w:themeColor="text1"/>
          <w:sz w:val="32"/>
          <w:szCs w:val="32"/>
          <w14:textFill>
            <w14:solidFill>
              <w14:schemeClr w14:val="tx1"/>
            </w14:solidFill>
          </w14:textFill>
        </w:rPr>
      </w:pPr>
      <w:r>
        <w:rPr>
          <w:rStyle w:val="30"/>
          <w:rFonts w:ascii="Times New Roman" w:hAnsi="Times New Roman" w:eastAsia="方正仿宋_GBK"/>
          <w:b w:val="0"/>
          <w:bCs w:val="0"/>
          <w:color w:val="000000" w:themeColor="text1"/>
          <w:sz w:val="32"/>
          <w:szCs w:val="32"/>
          <w:shd w:val="clear" w:color="auto" w:fill="FFFFFF"/>
          <w14:textFill>
            <w14:solidFill>
              <w14:schemeClr w14:val="tx1"/>
            </w14:solidFill>
          </w14:textFill>
        </w:rPr>
        <w:t>中梁镇人民</w:t>
      </w:r>
      <w:r>
        <w:rPr>
          <w:rFonts w:ascii="Times New Roman" w:hAnsi="Times New Roman" w:eastAsia="方正仿宋_GBK"/>
          <w:color w:val="000000" w:themeColor="text1"/>
          <w:sz w:val="32"/>
          <w:szCs w:val="32"/>
          <w:shd w:val="clear" w:color="auto" w:fill="FFFFFF"/>
          <w14:textFill>
            <w14:solidFill>
              <w14:schemeClr w14:val="tx1"/>
            </w14:solidFill>
          </w14:textFill>
        </w:rPr>
        <w:t>政府是基层国家行政机关，行使本行政区的行政职能。1.制定和组织实施经济、科技和社会发展计划，组织指导好各行业生产，搞好商品流通，协调好本镇与外地区的经济交流与合作，抓好招商引资，促进经济发展。2.制定并组织实施村镇建设规划，部署重点工程建设，地方道路建设及公共设施，水利设施的管理，负责土地、林木、水等自然资源和生态环境的保护，做好护林防火工作。3.负责本行政区域内的民政、计划生育、文化教育、卫生、体育等社会公益事业的综合性工作，维护一切经济单位和个人的正当经济权益，取缔非法经济活动，调解和处理民事纠纷，打击刑事犯罪维护社会稳定。4.按计划组织本级财政收入和地方税的征收，完成国家财政计划，不断培植税源，管好财政资金，增强财政实力。5.抓好精神文明建设，丰富群众文化生活，反对封建迷信，破除陈规陋习，树立社会主义新风尚。6.完成上级政府交办的</w:t>
      </w:r>
      <w:r>
        <w:rPr>
          <w:rFonts w:hint="eastAsia" w:ascii="Times New Roman" w:hAnsi="Times New Roman" w:eastAsia="方正仿宋_GBK"/>
          <w:color w:val="000000" w:themeColor="text1"/>
          <w:sz w:val="32"/>
          <w:szCs w:val="32"/>
          <w:shd w:val="clear" w:color="auto" w:fill="FFFFFF"/>
          <w14:textFill>
            <w14:solidFill>
              <w14:schemeClr w14:val="tx1"/>
            </w14:solidFill>
          </w14:textFill>
        </w:rPr>
        <w:t>其他</w:t>
      </w:r>
      <w:r>
        <w:rPr>
          <w:rFonts w:ascii="Times New Roman" w:hAnsi="Times New Roman" w:eastAsia="方正仿宋_GBK"/>
          <w:color w:val="000000" w:themeColor="text1"/>
          <w:sz w:val="32"/>
          <w:szCs w:val="32"/>
          <w:shd w:val="clear" w:color="auto" w:fill="FFFFFF"/>
          <w14:textFill>
            <w14:solidFill>
              <w14:schemeClr w14:val="tx1"/>
            </w14:solidFill>
          </w14:textFill>
        </w:rPr>
        <w:t>事项。</w:t>
      </w:r>
      <w:r>
        <w:rPr>
          <w:rFonts w:ascii="Times New Roman" w:hAnsi="Times New Roman" w:eastAsia="方正仿宋_GBK"/>
          <w:color w:val="000000" w:themeColor="text1"/>
          <w:sz w:val="32"/>
          <w:szCs w:val="32"/>
          <w14:textFill>
            <w14:solidFill>
              <w14:schemeClr w14:val="tx1"/>
            </w14:solidFill>
          </w14:textFill>
        </w:rPr>
        <w:t> </w:t>
      </w:r>
    </w:p>
    <w:p>
      <w:pPr>
        <w:pStyle w:val="4"/>
        <w:shd w:val="clear" w:color="auto" w:fill="FFFFFF"/>
        <w:adjustRightInd w:val="0"/>
        <w:snapToGrid w:val="0"/>
        <w:spacing w:beforeAutospacing="0" w:afterAutospacing="0" w:line="594" w:lineRule="exact"/>
        <w:ind w:firstLine="640" w:firstLineChars="200"/>
        <w:jc w:val="both"/>
        <w:rPr>
          <w:rStyle w:val="7"/>
          <w:rFonts w:ascii="Times New Roman" w:hAnsi="Times New Roman" w:eastAsia="方正楷体_GBK"/>
          <w:b w:val="0"/>
          <w:color w:val="000000" w:themeColor="text1"/>
          <w:sz w:val="32"/>
          <w:szCs w:val="32"/>
          <w:highlight w:val="yellow"/>
          <w14:textFill>
            <w14:solidFill>
              <w14:schemeClr w14:val="tx1"/>
            </w14:solidFill>
          </w14:textFill>
        </w:rPr>
      </w:pPr>
      <w:r>
        <w:rPr>
          <w:rStyle w:val="7"/>
          <w:rFonts w:ascii="Times New Roman" w:hAnsi="Times New Roman" w:eastAsia="方正楷体_GBK"/>
          <w:b w:val="0"/>
          <w:color w:val="000000" w:themeColor="text1"/>
          <w:sz w:val="32"/>
          <w:szCs w:val="32"/>
          <w14:textFill>
            <w14:solidFill>
              <w14:schemeClr w14:val="tx1"/>
            </w14:solidFill>
          </w14:textFill>
        </w:rPr>
        <w:t>（二）机构设置。</w:t>
      </w:r>
    </w:p>
    <w:p>
      <w:pPr>
        <w:overflowPunct w:val="0"/>
        <w:adjustRightInd w:val="0"/>
        <w:snapToGrid w:val="0"/>
        <w:spacing w:line="594" w:lineRule="exact"/>
        <w:ind w:firstLine="640" w:firstLineChars="200"/>
        <w:rPr>
          <w:rFonts w:ascii="Times New Roman" w:hAnsi="Times New Roman" w:eastAsia="方正仿宋_GBK" w:cs="Times New Roman"/>
          <w:color w:val="000000" w:themeColor="text1"/>
          <w:sz w:val="32"/>
          <w:szCs w:val="32"/>
          <w:highlight w:val="yellow"/>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shd w:val="clear" w:color="auto" w:fill="FFFFFF"/>
          <w14:textFill>
            <w14:solidFill>
              <w14:schemeClr w14:val="tx1"/>
            </w14:solidFill>
          </w14:textFill>
        </w:rPr>
        <w:t>沙坪坝区中梁镇内设机构8个，具体设置情况如下：党政办公室、党建工作办公室、经济发展办公室、民政和社区事务办公室、平安建设办公室、规划建设管理环保办公室、财政办公室、应急管理办公室</w:t>
      </w:r>
    </w:p>
    <w:p>
      <w:pPr>
        <w:overflowPunct w:val="0"/>
        <w:adjustRightInd w:val="0"/>
        <w:snapToGrid w:val="0"/>
        <w:spacing w:line="594" w:lineRule="exact"/>
        <w:ind w:firstLine="640" w:firstLineChars="200"/>
        <w:rPr>
          <w:rFonts w:ascii="Times New Roman" w:hAnsi="Times New Roman" w:eastAsia="方正楷体_GBK" w:cs="Times New Roman"/>
          <w:color w:val="000000" w:themeColor="text1"/>
          <w:sz w:val="32"/>
          <w:szCs w:val="32"/>
          <w:shd w:val="clear" w:color="auto" w:fill="FFFFFF"/>
          <w14:textFill>
            <w14:solidFill>
              <w14:schemeClr w14:val="tx1"/>
            </w14:solidFill>
          </w14:textFill>
        </w:rPr>
      </w:pPr>
      <w:r>
        <w:rPr>
          <w:rStyle w:val="7"/>
          <w:rFonts w:ascii="Times New Roman" w:hAnsi="Times New Roman" w:eastAsia="方正楷体_GBK" w:cs="Times New Roman"/>
          <w:b w:val="0"/>
          <w:color w:val="000000" w:themeColor="text1"/>
          <w:sz w:val="32"/>
          <w:szCs w:val="32"/>
          <w14:textFill>
            <w14:solidFill>
              <w14:schemeClr w14:val="tx1"/>
            </w14:solidFill>
          </w14:textFill>
        </w:rPr>
        <w:t>（三）单位构成。</w:t>
      </w:r>
    </w:p>
    <w:p>
      <w:pPr>
        <w:overflowPunct w:val="0"/>
        <w:adjustRightInd w:val="0"/>
        <w:snapToGrid w:val="0"/>
        <w:spacing w:line="594" w:lineRule="exact"/>
        <w:ind w:firstLine="640" w:firstLineChars="200"/>
        <w:rPr>
          <w:rFonts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从预算单位构成看，纳入本部门2022年度决算编制的二级预算单位主要包括农</w:t>
      </w:r>
      <w:r>
        <w:rPr>
          <w:rFonts w:ascii="Times New Roman" w:hAnsi="Times New Roman" w:eastAsia="方正仿宋_GBK" w:cs="Times New Roman"/>
          <w:color w:val="000000" w:themeColor="text1"/>
          <w:sz w:val="32"/>
          <w:szCs w:val="32"/>
          <w:shd w:val="clear" w:color="auto" w:fill="FFFFFF"/>
          <w14:textFill>
            <w14:solidFill>
              <w14:schemeClr w14:val="tx1"/>
            </w14:solidFill>
          </w14:textFill>
        </w:rPr>
        <w:t>业服务中心、文化服务中心、劳动就业和社会保障服务所、退役军人服务站、综合行政执法大队。其中，综合行政执法大队与综合行政执法办公室实行统筹运行的机制。</w:t>
      </w:r>
    </w:p>
    <w:p>
      <w:pPr>
        <w:pStyle w:val="4"/>
        <w:widowControl/>
        <w:adjustRightInd w:val="0"/>
        <w:snapToGrid w:val="0"/>
        <w:spacing w:beforeAutospacing="0" w:afterAutospacing="0" w:line="594" w:lineRule="exact"/>
        <w:ind w:right="75" w:firstLine="640" w:firstLineChars="200"/>
        <w:rPr>
          <w:rFonts w:hint="eastAsia" w:ascii="方正黑体_GBK" w:eastAsia="方正黑体_GBK"/>
          <w:color w:val="000000" w:themeColor="text1"/>
          <w:sz w:val="32"/>
          <w:szCs w:val="32"/>
          <w14:textFill>
            <w14:solidFill>
              <w14:schemeClr w14:val="tx1"/>
            </w14:solidFill>
          </w14:textFill>
        </w:rPr>
      </w:pPr>
      <w:r>
        <w:rPr>
          <w:rStyle w:val="7"/>
          <w:rFonts w:hint="eastAsia" w:ascii="方正黑体_GBK" w:eastAsia="方正黑体_GBK"/>
          <w:b w:val="0"/>
          <w:color w:val="000000" w:themeColor="text1"/>
          <w:sz w:val="32"/>
          <w:szCs w:val="32"/>
          <w:shd w:val="clear" w:color="auto" w:fill="FFFFFF"/>
          <w14:textFill>
            <w14:solidFill>
              <w14:schemeClr w14:val="tx1"/>
            </w14:solidFill>
          </w14:textFill>
        </w:rPr>
        <w:t>二、部门决算情况说明</w:t>
      </w:r>
    </w:p>
    <w:p>
      <w:pPr>
        <w:pStyle w:val="4"/>
        <w:widowControl/>
        <w:adjustRightInd w:val="0"/>
        <w:snapToGrid w:val="0"/>
        <w:spacing w:beforeAutospacing="0" w:afterAutospacing="0" w:line="594" w:lineRule="exact"/>
        <w:ind w:right="75"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（一）收入支出决算总体情况说明</w:t>
      </w:r>
    </w:p>
    <w:p>
      <w:pPr>
        <w:pStyle w:val="4"/>
        <w:widowControl/>
        <w:adjustRightInd w:val="0"/>
        <w:snapToGrid w:val="0"/>
        <w:spacing w:beforeAutospacing="0" w:afterAutospacing="0" w:line="594" w:lineRule="exact"/>
        <w:ind w:right="75"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1.总体情况。</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2022年度收入总计7,577.85万元，支出总计7,577.85万元。收支较上年决算数减少5,075.66万元,下降40.1%，主要原因是2022年下达专项项目经费减少。</w:t>
      </w:r>
    </w:p>
    <w:p>
      <w:pPr>
        <w:pStyle w:val="4"/>
        <w:widowControl/>
        <w:adjustRightInd w:val="0"/>
        <w:snapToGrid w:val="0"/>
        <w:spacing w:beforeAutospacing="0" w:afterAutospacing="0" w:line="594" w:lineRule="exact"/>
        <w:ind w:right="75" w:firstLine="640" w:firstLineChars="200"/>
        <w:rPr>
          <w:rFonts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2.收入情况。</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2022年度收入合计7,577.85万元，较上年决算数减少5,075.66万元，下降40.1%，主要原因是2022年下达专项项目经费减少。其中：财政拨款收入7,577.85万元，占100%。</w:t>
      </w:r>
    </w:p>
    <w:p>
      <w:pPr>
        <w:pStyle w:val="4"/>
        <w:widowControl/>
        <w:adjustRightInd w:val="0"/>
        <w:snapToGrid w:val="0"/>
        <w:spacing w:beforeAutospacing="0" w:afterAutospacing="0" w:line="594" w:lineRule="exact"/>
        <w:ind w:right="75"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3.支出情况。</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2022年度支出合计7,577.85万元，较上年决算减少5,075.66万元，下降40.1%，主要原因是2022年下达专项项目经费减少。其中：基本支出1,532.62万元，占20.2%；项目支出6,045.23万元，占79.8%。</w:t>
      </w:r>
    </w:p>
    <w:p>
      <w:pPr>
        <w:pStyle w:val="4"/>
        <w:widowControl/>
        <w:adjustRightInd w:val="0"/>
        <w:snapToGrid w:val="0"/>
        <w:spacing w:beforeAutospacing="0" w:afterAutospacing="0" w:line="594" w:lineRule="exact"/>
        <w:ind w:right="75" w:firstLine="640" w:firstLineChars="200"/>
        <w:rPr>
          <w:rStyle w:val="7"/>
          <w:rFonts w:ascii="方正仿宋_GBK" w:hAnsi="方正仿宋_GBK" w:eastAsia="方正仿宋_GBK" w:cs="方正仿宋_GBK"/>
          <w:b w:val="0"/>
          <w:color w:val="000000" w:themeColor="text1"/>
          <w:sz w:val="32"/>
          <w:szCs w:val="32"/>
          <w:shd w:val="clear" w:color="auto" w:fill="FFFFFF"/>
          <w14:textFill>
            <w14:solidFill>
              <w14:schemeClr w14:val="tx1"/>
            </w14:solidFill>
          </w14:textFill>
        </w:rPr>
      </w:pP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4.结转结余情况。2022年度年末结转和结余0.00元，与上年决算数持平。</w:t>
      </w:r>
    </w:p>
    <w:p>
      <w:pPr>
        <w:pStyle w:val="4"/>
        <w:widowControl/>
        <w:adjustRightInd w:val="0"/>
        <w:snapToGrid w:val="0"/>
        <w:spacing w:beforeAutospacing="0" w:afterAutospacing="0" w:line="594" w:lineRule="exact"/>
        <w:ind w:right="75"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（二）财政拨款收入支出决算总体情况说明</w:t>
      </w:r>
    </w:p>
    <w:p>
      <w:pPr>
        <w:pStyle w:val="4"/>
        <w:widowControl/>
        <w:adjustRightInd w:val="0"/>
        <w:snapToGrid w:val="0"/>
        <w:spacing w:beforeAutospacing="0" w:afterAutospacing="0" w:line="594" w:lineRule="exact"/>
        <w:ind w:right="75"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2022年度财政拨款收、支总计7,577.85万元。与2021年相比，财政拨款收、支总计各减少5,075.66万元，下降40.1%。主要原因是2022年下达专项项目经费减少。</w:t>
      </w:r>
    </w:p>
    <w:p>
      <w:pPr>
        <w:pStyle w:val="4"/>
        <w:widowControl/>
        <w:adjustRightInd w:val="0"/>
        <w:snapToGrid w:val="0"/>
        <w:spacing w:beforeAutospacing="0" w:afterAutospacing="0" w:line="594" w:lineRule="exact"/>
        <w:ind w:right="75" w:firstLine="640" w:firstLineChars="200"/>
        <w:rPr>
          <w:rStyle w:val="7"/>
          <w:rFonts w:ascii="方正楷体_GBK" w:hAnsi="方正楷体_GBK" w:eastAsia="方正楷体_GBK" w:cs="方正楷体_GBK"/>
          <w:b w:val="0"/>
          <w:color w:val="000000" w:themeColor="text1"/>
          <w:sz w:val="32"/>
          <w:szCs w:val="32"/>
          <w:shd w:val="clear" w:color="auto" w:fill="FFFFFF"/>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（三）一般公共预算财政拨款收入支出决算情况说明</w:t>
      </w:r>
    </w:p>
    <w:p>
      <w:pPr>
        <w:pStyle w:val="4"/>
        <w:widowControl/>
        <w:adjustRightInd w:val="0"/>
        <w:snapToGrid w:val="0"/>
        <w:spacing w:beforeAutospacing="0" w:afterAutospacing="0" w:line="594" w:lineRule="exact"/>
        <w:ind w:right="75"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1.收入情况。</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2022年度一般公共预算财政拨款收入7,284.82万元，较上年决算数减少4,592.83万元，下降38.7%。主要原因是2022年下达专项项目经费减少，较年初预算数增加5,694.37万元，增长358%。主要原因是年中追加项目经费，主要包括地质灾害防治专项经费445.57万元，2022年市财政衔接推进乡村振兴补助资金400万元等专项经费收入。此外，年初财政拨款结转和结余0.00元。</w:t>
      </w:r>
    </w:p>
    <w:p>
      <w:pPr>
        <w:pStyle w:val="4"/>
        <w:widowControl/>
        <w:adjustRightInd w:val="0"/>
        <w:snapToGrid w:val="0"/>
        <w:spacing w:beforeAutospacing="0" w:afterAutospacing="0" w:line="594" w:lineRule="exact"/>
        <w:ind w:right="75" w:firstLine="640" w:firstLineChars="200"/>
        <w:rPr>
          <w:rStyle w:val="7"/>
          <w:rFonts w:ascii="方正仿宋_GBK" w:hAnsi="方正仿宋_GBK" w:eastAsia="方正仿宋_GBK" w:cs="方正仿宋_GBK"/>
          <w:b w:val="0"/>
          <w:color w:val="000000" w:themeColor="text1"/>
          <w:sz w:val="32"/>
          <w:szCs w:val="32"/>
          <w:shd w:val="clear" w:color="auto" w:fill="FFFFFF"/>
          <w14:textFill>
            <w14:solidFill>
              <w14:schemeClr w14:val="tx1"/>
            </w14:solidFill>
          </w14:textFill>
        </w:rPr>
      </w:pP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2.支出情况。2022年度一般公共预算财政拨款支出7,284.82万元，较上年决算数减少4,592.83万元，下降38.7%。主要原因是</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2022年下达专项项目经费减少</w:t>
      </w: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。较年初预算数增加5,694.37万元，增长358%。主要原因是</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年中追加项目经费，主要包括：地质灾害防治专项经费445.57万元，2022年市财政衔接推进乡村振兴补助资金347万元等专项经费支出</w:t>
      </w:r>
    </w:p>
    <w:p>
      <w:pPr>
        <w:pStyle w:val="4"/>
        <w:widowControl/>
        <w:adjustRightInd w:val="0"/>
        <w:snapToGrid w:val="0"/>
        <w:spacing w:beforeAutospacing="0" w:afterAutospacing="0" w:line="594" w:lineRule="exact"/>
        <w:ind w:right="75" w:firstLine="640" w:firstLineChars="200"/>
        <w:rPr>
          <w:rStyle w:val="7"/>
          <w:rFonts w:ascii="方正仿宋_GBK" w:hAnsi="方正仿宋_GBK" w:eastAsia="方正仿宋_GBK" w:cs="方正仿宋_GBK"/>
          <w:b w:val="0"/>
          <w:color w:val="000000" w:themeColor="text1"/>
          <w:sz w:val="32"/>
          <w:szCs w:val="32"/>
          <w:shd w:val="clear" w:color="auto" w:fill="FFFFFF"/>
          <w14:textFill>
            <w14:solidFill>
              <w14:schemeClr w14:val="tx1"/>
            </w14:solidFill>
          </w14:textFill>
        </w:rPr>
      </w:pP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3.结转结余情况。2022年度年末一般公共预算财政拨款结转和结余0.00元，与上年决算数持平。</w:t>
      </w:r>
    </w:p>
    <w:p>
      <w:pPr>
        <w:pStyle w:val="4"/>
        <w:widowControl/>
        <w:adjustRightInd w:val="0"/>
        <w:snapToGrid w:val="0"/>
        <w:spacing w:beforeAutospacing="0" w:afterAutospacing="0" w:line="594" w:lineRule="exact"/>
        <w:ind w:right="75" w:firstLine="640" w:firstLineChars="200"/>
        <w:rPr>
          <w:color w:val="000000" w:themeColor="text1"/>
          <w:sz w:val="32"/>
          <w:szCs w:val="32"/>
          <w14:textFill>
            <w14:solidFill>
              <w14:schemeClr w14:val="tx1"/>
            </w14:solidFill>
          </w14:textFill>
        </w:rPr>
      </w:pP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4.比较情况。本部门2022年度一般公共预算财政拨款支出主要用于以下几个方面：</w:t>
      </w:r>
    </w:p>
    <w:p>
      <w:pPr>
        <w:pStyle w:val="4"/>
        <w:widowControl/>
        <w:adjustRightInd w:val="0"/>
        <w:snapToGrid w:val="0"/>
        <w:spacing w:beforeAutospacing="0" w:afterAutospacing="0" w:line="594" w:lineRule="exact"/>
        <w:ind w:right="75" w:firstLine="640" w:firstLineChars="200"/>
        <w:rPr>
          <w:rFonts w:ascii="Times New Roman" w:hAnsi="Times New Roman" w:eastAsia="方正仿宋_GBK"/>
          <w:color w:val="000000" w:themeColor="text1"/>
          <w:sz w:val="32"/>
          <w:szCs w:val="32"/>
          <w14:textFill>
            <w14:solidFill>
              <w14:schemeClr w14:val="tx1"/>
            </w14:solidFill>
          </w14:textFill>
        </w:rPr>
      </w:pP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（1）一般公共服务支出1,100.31万元，占15.1%，较年初预算数增加697.17万元，增长172.9%，主要原因是2022年调入新进职工</w:t>
      </w:r>
      <w:r>
        <w:rPr>
          <w:rFonts w:ascii="Times New Roman" w:hAnsi="方正仿宋_GBK" w:eastAsia="方正仿宋_GBK"/>
          <w:color w:val="000000" w:themeColor="text1"/>
          <w:sz w:val="32"/>
          <w:szCs w:val="32"/>
          <w14:textFill>
            <w14:solidFill>
              <w14:schemeClr w14:val="tx1"/>
            </w14:solidFill>
          </w14:textFill>
        </w:rPr>
        <w:t>以及部门划转的转移支付纳入决算</w:t>
      </w: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，例如</w:t>
      </w:r>
      <w:r>
        <w:rPr>
          <w:rFonts w:ascii="Times New Roman" w:hAnsi="方正仿宋_GBK" w:eastAsia="方正仿宋_GBK"/>
          <w:color w:val="000000" w:themeColor="text1"/>
          <w:sz w:val="32"/>
          <w:szCs w:val="32"/>
          <w14:textFill>
            <w14:solidFill>
              <w14:schemeClr w14:val="tx1"/>
            </w14:solidFill>
          </w14:textFill>
        </w:rPr>
        <w:t>夜巡队员工资、基层综治员工资等专项经费</w:t>
      </w:r>
      <w:r>
        <w:rPr>
          <w:rFonts w:hint="eastAsia" w:ascii="Times New Roman" w:hAnsi="方正仿宋_GBK" w:eastAsia="方正仿宋_GBK"/>
          <w:color w:val="000000" w:themeColor="text1"/>
          <w:sz w:val="32"/>
          <w:szCs w:val="32"/>
          <w14:textFill>
            <w14:solidFill>
              <w14:schemeClr w14:val="tx1"/>
            </w14:solidFill>
          </w14:textFill>
        </w:rPr>
        <w:t>。</w:t>
      </w:r>
    </w:p>
    <w:p>
      <w:pPr>
        <w:pStyle w:val="4"/>
        <w:widowControl/>
        <w:adjustRightInd w:val="0"/>
        <w:snapToGrid w:val="0"/>
        <w:spacing w:beforeAutospacing="0" w:afterAutospacing="0" w:line="594" w:lineRule="exact"/>
        <w:ind w:right="75" w:firstLine="640" w:firstLineChars="200"/>
        <w:rPr>
          <w:rStyle w:val="7"/>
          <w:rFonts w:ascii="方正仿宋_GBK" w:hAnsi="方正仿宋_GBK" w:eastAsia="方正仿宋_GBK" w:cs="方正仿宋_GBK"/>
          <w:b w:val="0"/>
          <w:color w:val="000000" w:themeColor="text1"/>
          <w:sz w:val="32"/>
          <w:szCs w:val="32"/>
          <w:shd w:val="clear" w:color="auto" w:fill="FFFFFF"/>
          <w14:textFill>
            <w14:solidFill>
              <w14:schemeClr w14:val="tx1"/>
            </w14:solidFill>
          </w14:textFill>
        </w:rPr>
      </w:pP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（2）公共安全支出57.28万元，占0.8%，较年初预算数增加57.28万元，增长%，主要原因是</w:t>
      </w:r>
      <w:r>
        <w:rPr>
          <w:rFonts w:ascii="Times New Roman" w:hAnsi="方正仿宋_GBK" w:eastAsia="方正仿宋_GBK"/>
          <w:color w:val="000000" w:themeColor="text1"/>
          <w:sz w:val="32"/>
          <w:szCs w:val="32"/>
          <w14:textFill>
            <w14:solidFill>
              <w14:schemeClr w14:val="tx1"/>
            </w14:solidFill>
          </w14:textFill>
        </w:rPr>
        <w:t>部门划转转移支付纳入决算，主要包括交通安全劝导员补贴等专项资金。</w:t>
      </w:r>
    </w:p>
    <w:p>
      <w:pPr>
        <w:pStyle w:val="4"/>
        <w:shd w:val="clear" w:color="auto" w:fill="FFFFFF"/>
        <w:adjustRightInd w:val="0"/>
        <w:snapToGrid w:val="0"/>
        <w:spacing w:beforeAutospacing="0" w:afterAutospacing="0" w:line="594" w:lineRule="exact"/>
        <w:ind w:firstLine="640" w:firstLineChars="200"/>
        <w:jc w:val="both"/>
        <w:rPr>
          <w:rStyle w:val="7"/>
          <w:rFonts w:ascii="方正仿宋_GBK" w:hAnsi="方正仿宋_GBK" w:eastAsia="方正仿宋_GBK" w:cs="方正仿宋_GBK"/>
          <w:b w:val="0"/>
          <w:color w:val="000000" w:themeColor="text1"/>
          <w:sz w:val="32"/>
          <w:szCs w:val="32"/>
          <w:shd w:val="clear" w:color="auto" w:fill="FFFFFF"/>
          <w14:textFill>
            <w14:solidFill>
              <w14:schemeClr w14:val="tx1"/>
            </w14:solidFill>
          </w14:textFill>
        </w:rPr>
      </w:pP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（3）文化旅游体育与传媒支出86.39万元，占1.2%，较年初预算数增加21.33万元，增长32.8%，</w:t>
      </w:r>
      <w:r>
        <w:rPr>
          <w:rFonts w:ascii="Times New Roman" w:hAnsi="Times New Roman" w:eastAsia="方正仿宋_GBK"/>
          <w:color w:val="000000" w:themeColor="text1"/>
          <w:sz w:val="32"/>
          <w:szCs w:val="32"/>
          <w14:textFill>
            <w14:solidFill>
              <w14:schemeClr w14:val="tx1"/>
            </w14:solidFill>
          </w14:textFill>
        </w:rPr>
        <w:t>主要原因是</w:t>
      </w:r>
      <w:r>
        <w:rPr>
          <w:rFonts w:hint="eastAsia" w:ascii="Times New Roman" w:hAnsi="Times New Roman" w:eastAsia="方正仿宋_GBK"/>
          <w:color w:val="000000" w:themeColor="text1"/>
          <w:sz w:val="32"/>
          <w:szCs w:val="32"/>
          <w14:textFill>
            <w14:solidFill>
              <w14:schemeClr w14:val="tx1"/>
            </w14:solidFill>
          </w14:textFill>
        </w:rPr>
        <w:t>追加事业单位人员经费以及</w:t>
      </w:r>
      <w:r>
        <w:rPr>
          <w:rFonts w:ascii="Times New Roman" w:hAnsi="方正仿宋_GBK" w:eastAsia="方正仿宋_GBK"/>
          <w:color w:val="000000" w:themeColor="text1"/>
          <w:sz w:val="32"/>
          <w:szCs w:val="32"/>
          <w14:textFill>
            <w14:solidFill>
              <w14:schemeClr w14:val="tx1"/>
            </w14:solidFill>
          </w14:textFill>
        </w:rPr>
        <w:t>部门划转的转移支付纳入决算，主要包括</w:t>
      </w:r>
      <w:r>
        <w:rPr>
          <w:rFonts w:hint="eastAsia" w:ascii="Times New Roman" w:hAnsi="方正仿宋_GBK" w:eastAsia="方正仿宋_GBK"/>
          <w:color w:val="000000" w:themeColor="text1"/>
          <w:sz w:val="32"/>
          <w:szCs w:val="32"/>
          <w14:textFill>
            <w14:solidFill>
              <w14:schemeClr w14:val="tx1"/>
            </w14:solidFill>
          </w14:textFill>
        </w:rPr>
        <w:t>公共文化活动</w:t>
      </w:r>
      <w:r>
        <w:rPr>
          <w:rFonts w:ascii="Times New Roman" w:hAnsi="方正仿宋_GBK" w:eastAsia="方正仿宋_GBK"/>
          <w:color w:val="000000" w:themeColor="text1"/>
          <w:sz w:val="32"/>
          <w:szCs w:val="32"/>
          <w14:textFill>
            <w14:solidFill>
              <w14:schemeClr w14:val="tx1"/>
            </w14:solidFill>
          </w14:textFill>
        </w:rPr>
        <w:t>等专项资金。</w:t>
      </w:r>
    </w:p>
    <w:p>
      <w:pPr>
        <w:pStyle w:val="4"/>
        <w:shd w:val="clear" w:color="auto" w:fill="FFFFFF"/>
        <w:adjustRightInd w:val="0"/>
        <w:snapToGrid w:val="0"/>
        <w:spacing w:beforeAutospacing="0" w:afterAutospacing="0" w:line="594" w:lineRule="exact"/>
        <w:ind w:firstLine="640" w:firstLineChars="200"/>
        <w:jc w:val="both"/>
        <w:rPr>
          <w:rStyle w:val="7"/>
          <w:rFonts w:ascii="方正仿宋_GBK" w:hAnsi="方正仿宋_GBK" w:eastAsia="方正仿宋_GBK" w:cs="方正仿宋_GBK"/>
          <w:b w:val="0"/>
          <w:color w:val="000000" w:themeColor="text1"/>
          <w:sz w:val="32"/>
          <w:szCs w:val="32"/>
          <w:shd w:val="clear" w:color="auto" w:fill="FFFFFF"/>
          <w14:textFill>
            <w14:solidFill>
              <w14:schemeClr w14:val="tx1"/>
            </w14:solidFill>
          </w14:textFill>
        </w:rPr>
      </w:pP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（4）社会保障与就业支出987.93万元，占13.6%，较年初预算数增加693.53万元，增长235.6%，主要原因是追加事业人员经费以及部门划转的转移支付纳入决算，主要包括村社干部补贴、低保员工作补贴、优抚对象慰问等</w:t>
      </w:r>
    </w:p>
    <w:p>
      <w:pPr>
        <w:pStyle w:val="4"/>
        <w:shd w:val="clear" w:color="auto" w:fill="FFFFFF"/>
        <w:adjustRightInd w:val="0"/>
        <w:snapToGrid w:val="0"/>
        <w:spacing w:beforeAutospacing="0" w:afterAutospacing="0" w:line="594" w:lineRule="exact"/>
        <w:ind w:firstLine="640" w:firstLineChars="200"/>
        <w:jc w:val="both"/>
        <w:rPr>
          <w:rStyle w:val="7"/>
          <w:rFonts w:ascii="方正仿宋_GBK" w:hAnsi="方正仿宋_GBK" w:eastAsia="方正仿宋_GBK" w:cs="方正仿宋_GBK"/>
          <w:b w:val="0"/>
          <w:color w:val="000000" w:themeColor="text1"/>
          <w:sz w:val="32"/>
          <w:szCs w:val="32"/>
          <w:shd w:val="clear" w:color="auto" w:fill="FFFFFF"/>
          <w14:textFill>
            <w14:solidFill>
              <w14:schemeClr w14:val="tx1"/>
            </w14:solidFill>
          </w14:textFill>
        </w:rPr>
      </w:pP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（5）卫生健康支出111.44万元，占1.5%，较年初预算数增加60.12万元，增长117.1%，</w:t>
      </w:r>
      <w:r>
        <w:rPr>
          <w:rFonts w:ascii="Times New Roman" w:hAnsi="Times New Roman" w:eastAsia="方正仿宋_GBK"/>
          <w:color w:val="000000" w:themeColor="text1"/>
          <w:sz w:val="32"/>
          <w:szCs w:val="32"/>
          <w14:textFill>
            <w14:solidFill>
              <w14:schemeClr w14:val="tx1"/>
            </w14:solidFill>
          </w14:textFill>
        </w:rPr>
        <w:t>主要原因是</w:t>
      </w:r>
      <w:r>
        <w:rPr>
          <w:rFonts w:ascii="Times New Roman" w:hAnsi="方正仿宋_GBK" w:eastAsia="方正仿宋_GBK"/>
          <w:color w:val="000000" w:themeColor="text1"/>
          <w:sz w:val="32"/>
          <w:szCs w:val="32"/>
          <w14:textFill>
            <w14:solidFill>
              <w14:schemeClr w14:val="tx1"/>
            </w14:solidFill>
          </w14:textFill>
        </w:rPr>
        <w:t>部门划转的转移支付纳入决算，主要包括防范新型冠状病毒、</w:t>
      </w:r>
      <w:r>
        <w:rPr>
          <w:rFonts w:hint="eastAsia" w:ascii="Times New Roman" w:hAnsi="方正仿宋_GBK" w:eastAsia="方正仿宋_GBK"/>
          <w:color w:val="000000" w:themeColor="text1"/>
          <w:sz w:val="32"/>
          <w:szCs w:val="32"/>
          <w14:textFill>
            <w14:solidFill>
              <w14:schemeClr w14:val="tx1"/>
            </w14:solidFill>
          </w14:textFill>
        </w:rPr>
        <w:t>计划生育事务</w:t>
      </w:r>
      <w:r>
        <w:rPr>
          <w:rFonts w:ascii="Times New Roman" w:hAnsi="方正仿宋_GBK" w:eastAsia="方正仿宋_GBK"/>
          <w:color w:val="000000" w:themeColor="text1"/>
          <w:sz w:val="32"/>
          <w:szCs w:val="32"/>
          <w14:textFill>
            <w14:solidFill>
              <w14:schemeClr w14:val="tx1"/>
            </w14:solidFill>
          </w14:textFill>
        </w:rPr>
        <w:t>等专项资金。</w:t>
      </w:r>
    </w:p>
    <w:p>
      <w:pPr>
        <w:pStyle w:val="4"/>
        <w:shd w:val="clear" w:color="auto" w:fill="FFFFFF"/>
        <w:adjustRightInd w:val="0"/>
        <w:snapToGrid w:val="0"/>
        <w:spacing w:beforeAutospacing="0" w:afterAutospacing="0" w:line="594" w:lineRule="exact"/>
        <w:ind w:firstLine="640" w:firstLineChars="200"/>
        <w:jc w:val="both"/>
        <w:rPr>
          <w:rStyle w:val="7"/>
          <w:rFonts w:ascii="方正仿宋_GBK" w:hAnsi="方正仿宋_GBK" w:eastAsia="方正仿宋_GBK" w:cs="方正仿宋_GBK"/>
          <w:b w:val="0"/>
          <w:color w:val="000000" w:themeColor="text1"/>
          <w:sz w:val="32"/>
          <w:szCs w:val="32"/>
          <w:shd w:val="clear" w:color="auto" w:fill="FFFFFF"/>
          <w14:textFill>
            <w14:solidFill>
              <w14:schemeClr w14:val="tx1"/>
            </w14:solidFill>
          </w14:textFill>
        </w:rPr>
      </w:pP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（6）节能环保支出126.75万元，占1.7%，较年初预算数增加126.75万元，增长100%，主要原因是</w:t>
      </w:r>
      <w:r>
        <w:rPr>
          <w:rFonts w:ascii="Times New Roman" w:hAnsi="方正仿宋_GBK" w:eastAsia="方正仿宋_GBK"/>
          <w:color w:val="000000" w:themeColor="text1"/>
          <w:sz w:val="32"/>
          <w:szCs w:val="32"/>
          <w14:textFill>
            <w14:solidFill>
              <w14:schemeClr w14:val="tx1"/>
            </w14:solidFill>
          </w14:textFill>
        </w:rPr>
        <w:t>部门划转的转移支付纳入决算，主要包括</w:t>
      </w:r>
      <w:r>
        <w:rPr>
          <w:rFonts w:hint="eastAsia" w:ascii="Times New Roman" w:hAnsi="方正仿宋_GBK" w:eastAsia="方正仿宋_GBK"/>
          <w:color w:val="000000" w:themeColor="text1"/>
          <w:sz w:val="32"/>
          <w:szCs w:val="32"/>
          <w14:textFill>
            <w14:solidFill>
              <w14:schemeClr w14:val="tx1"/>
            </w14:solidFill>
          </w14:textFill>
        </w:rPr>
        <w:t>污水管网治理</w:t>
      </w:r>
      <w:r>
        <w:rPr>
          <w:rFonts w:ascii="Times New Roman" w:hAnsi="方正仿宋_GBK" w:eastAsia="方正仿宋_GBK"/>
          <w:color w:val="000000" w:themeColor="text1"/>
          <w:sz w:val="32"/>
          <w:szCs w:val="32"/>
          <w14:textFill>
            <w14:solidFill>
              <w14:schemeClr w14:val="tx1"/>
            </w14:solidFill>
          </w14:textFill>
        </w:rPr>
        <w:t>等专项资金</w:t>
      </w:r>
      <w:r>
        <w:rPr>
          <w:rFonts w:hint="eastAsia" w:ascii="Times New Roman" w:hAnsi="方正仿宋_GBK" w:eastAsia="方正仿宋_GBK"/>
          <w:color w:val="000000" w:themeColor="text1"/>
          <w:sz w:val="32"/>
          <w:szCs w:val="32"/>
          <w14:textFill>
            <w14:solidFill>
              <w14:schemeClr w14:val="tx1"/>
            </w14:solidFill>
          </w14:textFill>
        </w:rPr>
        <w:t>。</w:t>
      </w:r>
    </w:p>
    <w:p>
      <w:pPr>
        <w:pStyle w:val="4"/>
        <w:widowControl/>
        <w:adjustRightInd w:val="0"/>
        <w:snapToGrid w:val="0"/>
        <w:spacing w:beforeAutospacing="0" w:afterAutospacing="0" w:line="594" w:lineRule="exact"/>
        <w:ind w:right="75" w:firstLine="640" w:firstLineChars="200"/>
        <w:rPr>
          <w:rFonts w:eastAsia="方正仿宋_GBK"/>
          <w:color w:val="000000" w:themeColor="text1"/>
          <w:sz w:val="32"/>
          <w:szCs w:val="32"/>
          <w14:textFill>
            <w14:solidFill>
              <w14:schemeClr w14:val="tx1"/>
            </w14:solidFill>
          </w14:textFill>
        </w:rPr>
      </w:pP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（7）城乡社区支出480.88万元，占6.6%，较年初预算数减少91.38万元，下降16%，主要原因是城区环卫管护等支出2023年支付。</w:t>
      </w:r>
    </w:p>
    <w:p>
      <w:pPr>
        <w:pStyle w:val="4"/>
        <w:widowControl/>
        <w:adjustRightInd w:val="0"/>
        <w:snapToGrid w:val="0"/>
        <w:spacing w:beforeAutospacing="0" w:afterAutospacing="0" w:line="594" w:lineRule="exact"/>
        <w:ind w:right="75" w:firstLine="640" w:firstLineChars="200"/>
        <w:rPr>
          <w:color w:val="000000" w:themeColor="text1"/>
          <w:sz w:val="32"/>
          <w:szCs w:val="32"/>
          <w14:textFill>
            <w14:solidFill>
              <w14:schemeClr w14:val="tx1"/>
            </w14:solidFill>
          </w14:textFill>
        </w:rPr>
      </w:pP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（8）农林水支出3,394.41万元，占46.6%，较年初预算数增加3,259.44万元，增长2414.9%，主要原因是</w:t>
      </w:r>
      <w:r>
        <w:rPr>
          <w:rFonts w:ascii="Times New Roman" w:hAnsi="方正仿宋_GBK" w:eastAsia="方正仿宋_GBK"/>
          <w:color w:val="000000" w:themeColor="text1"/>
          <w:sz w:val="32"/>
          <w:szCs w:val="32"/>
          <w14:textFill>
            <w14:solidFill>
              <w14:schemeClr w14:val="tx1"/>
            </w14:solidFill>
          </w14:textFill>
        </w:rPr>
        <w:t>部门划转的转移支付纳入决算，主要包括</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2022年市财政衔接推进乡村振兴补助资金、2022年农村综合改革</w:t>
      </w:r>
      <w:r>
        <w:rPr>
          <w:rFonts w:ascii="Times New Roman" w:hAnsi="方正仿宋_GBK" w:eastAsia="方正仿宋_GBK"/>
          <w:color w:val="000000" w:themeColor="text1"/>
          <w:sz w:val="32"/>
          <w:szCs w:val="32"/>
          <w14:textFill>
            <w14:solidFill>
              <w14:schemeClr w14:val="tx1"/>
            </w14:solidFill>
          </w14:textFill>
        </w:rPr>
        <w:t>等专项资金</w:t>
      </w:r>
      <w:r>
        <w:rPr>
          <w:rFonts w:hint="eastAsia" w:ascii="Times New Roman" w:hAnsi="方正仿宋_GBK" w:eastAsia="方正仿宋_GBK"/>
          <w:color w:val="000000" w:themeColor="text1"/>
          <w:sz w:val="32"/>
          <w:szCs w:val="32"/>
          <w14:textFill>
            <w14:solidFill>
              <w14:schemeClr w14:val="tx1"/>
            </w14:solidFill>
          </w14:textFill>
        </w:rPr>
        <w:t>。</w:t>
      </w:r>
    </w:p>
    <w:p>
      <w:pPr>
        <w:pStyle w:val="4"/>
        <w:widowControl/>
        <w:adjustRightInd w:val="0"/>
        <w:snapToGrid w:val="0"/>
        <w:spacing w:beforeAutospacing="0" w:afterAutospacing="0" w:line="594" w:lineRule="exact"/>
        <w:ind w:right="75" w:firstLine="640" w:firstLineChars="200"/>
        <w:rPr>
          <w:rStyle w:val="7"/>
          <w:rFonts w:ascii="方正仿宋_GBK" w:hAnsi="方正仿宋_GBK" w:eastAsia="方正仿宋_GBK" w:cs="方正仿宋_GBK"/>
          <w:b w:val="0"/>
          <w:color w:val="000000" w:themeColor="text1"/>
          <w:sz w:val="32"/>
          <w:szCs w:val="32"/>
          <w:shd w:val="clear" w:color="auto" w:fill="FFFFFF"/>
          <w14:textFill>
            <w14:solidFill>
              <w14:schemeClr w14:val="tx1"/>
            </w14:solidFill>
          </w14:textFill>
        </w:rPr>
      </w:pP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（9）交通运输支出377.40万元，占5.2%，较年初预算数增加377.40万元，增长100%，主要原因是</w:t>
      </w:r>
      <w:r>
        <w:rPr>
          <w:rFonts w:ascii="Times New Roman" w:hAnsi="方正仿宋_GBK" w:eastAsia="方正仿宋_GBK"/>
          <w:color w:val="000000" w:themeColor="text1"/>
          <w:sz w:val="32"/>
          <w:szCs w:val="32"/>
          <w14:textFill>
            <w14:solidFill>
              <w14:schemeClr w14:val="tx1"/>
            </w14:solidFill>
          </w14:textFill>
        </w:rPr>
        <w:t>部门划转的转移支付纳入决算，</w:t>
      </w:r>
      <w:r>
        <w:rPr>
          <w:rFonts w:hint="eastAsia" w:ascii="Times New Roman" w:hAnsi="方正仿宋_GBK" w:eastAsia="方正仿宋_GBK"/>
          <w:color w:val="000000" w:themeColor="text1"/>
          <w:sz w:val="32"/>
          <w:szCs w:val="32"/>
          <w14:textFill>
            <w14:solidFill>
              <w14:schemeClr w14:val="tx1"/>
            </w14:solidFill>
          </w14:textFill>
        </w:rPr>
        <w:t>主要包括四好农村公路项目专项资金。</w:t>
      </w:r>
    </w:p>
    <w:p>
      <w:pPr>
        <w:pStyle w:val="4"/>
        <w:widowControl/>
        <w:adjustRightInd w:val="0"/>
        <w:snapToGrid w:val="0"/>
        <w:spacing w:beforeAutospacing="0" w:afterAutospacing="0" w:line="594" w:lineRule="exact"/>
        <w:ind w:right="75" w:firstLine="640" w:firstLineChars="200"/>
        <w:rPr>
          <w:rStyle w:val="7"/>
          <w:rFonts w:ascii="方正仿宋_GBK" w:hAnsi="方正仿宋_GBK" w:eastAsia="方正仿宋_GBK" w:cs="方正仿宋_GBK"/>
          <w:b w:val="0"/>
          <w:color w:val="000000" w:themeColor="text1"/>
          <w:sz w:val="32"/>
          <w:szCs w:val="32"/>
          <w:shd w:val="clear" w:color="auto" w:fill="FFFFFF"/>
          <w14:textFill>
            <w14:solidFill>
              <w14:schemeClr w14:val="tx1"/>
            </w14:solidFill>
          </w14:textFill>
        </w:rPr>
      </w:pP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（10）自然资源海洋气象等支出11.45万元，占0.2%，较年初预算数增加11.45万元，增长100%，</w:t>
      </w:r>
      <w:r>
        <w:rPr>
          <w:rFonts w:ascii="Times New Roman" w:hAnsi="Times New Roman" w:eastAsia="方正仿宋_GBK"/>
          <w:color w:val="000000" w:themeColor="text1"/>
          <w:sz w:val="32"/>
          <w:szCs w:val="32"/>
          <w14:textFill>
            <w14:solidFill>
              <w14:schemeClr w14:val="tx1"/>
            </w14:solidFill>
          </w14:textFill>
        </w:rPr>
        <w:t>主要原因是</w:t>
      </w:r>
      <w:r>
        <w:rPr>
          <w:rFonts w:ascii="Times New Roman" w:hAnsi="方正仿宋_GBK" w:eastAsia="方正仿宋_GBK"/>
          <w:color w:val="000000" w:themeColor="text1"/>
          <w:sz w:val="32"/>
          <w:szCs w:val="32"/>
          <w14:textFill>
            <w14:solidFill>
              <w14:schemeClr w14:val="tx1"/>
            </w14:solidFill>
          </w14:textFill>
        </w:rPr>
        <w:t>部门划转的转移支付纳入决算，例如矿山生态修复专项资金等。</w:t>
      </w:r>
    </w:p>
    <w:p>
      <w:pPr>
        <w:pStyle w:val="4"/>
        <w:widowControl/>
        <w:adjustRightInd w:val="0"/>
        <w:snapToGrid w:val="0"/>
        <w:spacing w:beforeAutospacing="0" w:afterAutospacing="0" w:line="594" w:lineRule="exact"/>
        <w:ind w:right="75" w:firstLine="640" w:firstLineChars="200"/>
        <w:rPr>
          <w:rStyle w:val="7"/>
          <w:rFonts w:ascii="方正仿宋_GBK" w:hAnsi="方正仿宋_GBK" w:eastAsia="方正仿宋_GBK" w:cs="方正仿宋_GBK"/>
          <w:b w:val="0"/>
          <w:color w:val="000000" w:themeColor="text1"/>
          <w:sz w:val="32"/>
          <w:szCs w:val="32"/>
          <w:shd w:val="clear" w:color="auto" w:fill="FFFFFF"/>
          <w14:textFill>
            <w14:solidFill>
              <w14:schemeClr w14:val="tx1"/>
            </w14:solidFill>
          </w14:textFill>
        </w:rPr>
      </w:pP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（11）住房保障支出88.83万元，占1.2%，较年初预算数增加44.83万元，增长101.9%，主要原因是增加新进职工公积金和住房公积金基数调整后补缴。</w:t>
      </w:r>
    </w:p>
    <w:p>
      <w:pPr>
        <w:pStyle w:val="4"/>
        <w:widowControl/>
        <w:adjustRightInd w:val="0"/>
        <w:snapToGrid w:val="0"/>
        <w:spacing w:beforeAutospacing="0" w:afterAutospacing="0" w:line="594" w:lineRule="exact"/>
        <w:ind w:right="75" w:firstLine="640" w:firstLineChars="200"/>
        <w:rPr>
          <w:rStyle w:val="7"/>
          <w:rFonts w:ascii="方正仿宋_GBK" w:hAnsi="方正仿宋_GBK" w:eastAsia="方正仿宋_GBK" w:cs="方正仿宋_GBK"/>
          <w:b w:val="0"/>
          <w:color w:val="000000" w:themeColor="text1"/>
          <w:sz w:val="32"/>
          <w:szCs w:val="32"/>
          <w:shd w:val="clear" w:color="auto" w:fill="FFFFFF"/>
          <w14:textFill>
            <w14:solidFill>
              <w14:schemeClr w14:val="tx1"/>
            </w14:solidFill>
          </w14:textFill>
        </w:rPr>
      </w:pP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（12）灾害防治及应急管理支出461.75万元，占6.3%，较年初预算数增加436.45万元，增长1725.1%，主要原因是</w:t>
      </w:r>
      <w:r>
        <w:rPr>
          <w:rFonts w:ascii="Times New Roman" w:hAnsi="方正仿宋_GBK" w:eastAsia="方正仿宋_GBK"/>
          <w:color w:val="000000" w:themeColor="text1"/>
          <w:sz w:val="32"/>
          <w:szCs w:val="32"/>
          <w14:textFill>
            <w14:solidFill>
              <w14:schemeClr w14:val="tx1"/>
            </w14:solidFill>
          </w14:textFill>
        </w:rPr>
        <w:t>部门划转的转移支付纳入决算，例如地质灾害</w:t>
      </w:r>
      <w:r>
        <w:rPr>
          <w:rFonts w:hint="eastAsia" w:ascii="Times New Roman" w:hAnsi="方正仿宋_GBK" w:eastAsia="方正仿宋_GBK"/>
          <w:color w:val="000000" w:themeColor="text1"/>
          <w:sz w:val="32"/>
          <w:szCs w:val="32"/>
          <w14:textFill>
            <w14:solidFill>
              <w14:schemeClr w14:val="tx1"/>
            </w14:solidFill>
          </w14:textFill>
        </w:rPr>
        <w:t>补助</w:t>
      </w:r>
      <w:r>
        <w:rPr>
          <w:rFonts w:ascii="Times New Roman" w:hAnsi="方正仿宋_GBK" w:eastAsia="方正仿宋_GBK"/>
          <w:color w:val="000000" w:themeColor="text1"/>
          <w:sz w:val="32"/>
          <w:szCs w:val="32"/>
          <w14:textFill>
            <w14:solidFill>
              <w14:schemeClr w14:val="tx1"/>
            </w14:solidFill>
          </w14:textFill>
        </w:rPr>
        <w:t>专项资金。</w:t>
      </w:r>
    </w:p>
    <w:p>
      <w:pPr>
        <w:pStyle w:val="4"/>
        <w:widowControl/>
        <w:adjustRightInd w:val="0"/>
        <w:snapToGrid w:val="0"/>
        <w:spacing w:beforeAutospacing="0" w:afterAutospacing="0" w:line="594" w:lineRule="exact"/>
        <w:ind w:right="75"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（四）一般公共预算财政拨款基本支出决算情况说明</w:t>
      </w:r>
    </w:p>
    <w:p>
      <w:pPr>
        <w:pStyle w:val="4"/>
        <w:shd w:val="clear" w:color="auto" w:fill="FFFFFF"/>
        <w:adjustRightInd w:val="0"/>
        <w:snapToGrid w:val="0"/>
        <w:spacing w:beforeAutospacing="0" w:afterAutospacing="0" w:line="594" w:lineRule="exact"/>
        <w:ind w:firstLine="640" w:firstLineChars="200"/>
        <w:jc w:val="both"/>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2022年度一般公共预算财政拨款基本支出1,532.62万元。其中：人员经费1,151.85万元，较上年决算数增加71.35万元，增长6.6%，主要原因是2022年人员调整新进职工较多。人员经费用途主要包括</w:t>
      </w:r>
      <w:r>
        <w:rPr>
          <w:rFonts w:ascii="Times New Roman" w:hAnsi="方正仿宋_GBK" w:eastAsia="方正仿宋_GBK"/>
          <w:color w:val="000000" w:themeColor="text1"/>
          <w:sz w:val="32"/>
          <w:szCs w:val="32"/>
          <w14:textFill>
            <w14:solidFill>
              <w14:schemeClr w14:val="tx1"/>
            </w14:solidFill>
          </w14:textFill>
        </w:rPr>
        <w:t>基本工资、津贴补贴、奖金、社会保障缴费、职业年金、机关事业单位基本养老保险缴费、其他工资福利</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。公用经费380.77万元，较上年决算数减少97.32万元，下降20.4%，主要原因是疫情原因，减少培训费、会议费等公用经费支出。公用经费用途主要包括</w:t>
      </w:r>
      <w:r>
        <w:rPr>
          <w:rFonts w:ascii="Times New Roman" w:hAnsi="方正仿宋_GBK" w:eastAsia="方正仿宋_GBK"/>
          <w:color w:val="000000" w:themeColor="text1"/>
          <w:sz w:val="32"/>
          <w:szCs w:val="32"/>
          <w14:textFill>
            <w14:solidFill>
              <w14:schemeClr w14:val="tx1"/>
            </w14:solidFill>
          </w14:textFill>
        </w:rPr>
        <w:t>办公费、印刷费、咨询费、手续费、水费、电费、邮电费、差旅费、维修费、租赁费、会议费、培训费、劳务费、公务接待费、公务用车运行维护费、其他交通费、其他商品服务支出。</w:t>
      </w:r>
    </w:p>
    <w:p>
      <w:pPr>
        <w:pStyle w:val="4"/>
        <w:widowControl/>
        <w:adjustRightInd w:val="0"/>
        <w:snapToGrid w:val="0"/>
        <w:spacing w:beforeAutospacing="0" w:afterAutospacing="0" w:line="594" w:lineRule="exact"/>
        <w:ind w:firstLine="640" w:firstLineChars="200"/>
        <w:rPr>
          <w:rStyle w:val="7"/>
          <w:rFonts w:ascii="方正仿宋_GBK" w:hAnsi="方正楷体_GBK" w:eastAsia="方正仿宋_GBK" w:cs="方正楷体_GBK"/>
          <w:b w:val="0"/>
          <w:color w:val="000000" w:themeColor="text1"/>
          <w:sz w:val="32"/>
          <w:szCs w:val="32"/>
          <w:shd w:val="clear" w:color="auto" w:fill="FFFFFF"/>
          <w14:textFill>
            <w14:solidFill>
              <w14:schemeClr w14:val="tx1"/>
            </w14:solidFill>
          </w14:textFill>
        </w:rPr>
      </w:pPr>
      <w:r>
        <w:rPr>
          <w:rStyle w:val="7"/>
          <w:rFonts w:hint="eastAsia" w:ascii="方正仿宋_GBK" w:hAnsi="方正楷体_GBK" w:eastAsia="方正仿宋_GBK" w:cs="方正楷体_GBK"/>
          <w:b w:val="0"/>
          <w:color w:val="000000" w:themeColor="text1"/>
          <w:sz w:val="32"/>
          <w:szCs w:val="32"/>
          <w:shd w:val="clear" w:color="auto" w:fill="FFFFFF"/>
          <w14:textFill>
            <w14:solidFill>
              <w14:schemeClr w14:val="tx1"/>
            </w14:solidFill>
          </w14:textFill>
        </w:rPr>
        <w:t>（五）政府性基金预算收支决算情况说明。</w:t>
      </w:r>
    </w:p>
    <w:p>
      <w:pPr>
        <w:pStyle w:val="4"/>
        <w:widowControl/>
        <w:adjustRightInd w:val="0"/>
        <w:snapToGrid w:val="0"/>
        <w:spacing w:beforeAutospacing="0" w:afterAutospacing="0" w:line="594"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2022年度政府性基金预算财政拨款年初结转结余0.00万元，年末结转结余0.00万元。本年收入293.02万元，较上年决算数减少482.84万元，下降62.2%，主要原因是上级部门划转的专项经费减少。本年支出293.02万元，较上年决算数减少482.84万元，下降62.2%，主要原因是上级部门划转的专项经费减少。</w:t>
      </w:r>
    </w:p>
    <w:p>
      <w:pPr>
        <w:pStyle w:val="4"/>
        <w:widowControl/>
        <w:adjustRightInd w:val="0"/>
        <w:snapToGrid w:val="0"/>
        <w:spacing w:beforeAutospacing="0" w:afterAutospacing="0" w:line="594" w:lineRule="exact"/>
        <w:ind w:firstLine="640" w:firstLineChars="200"/>
        <w:rPr>
          <w:rStyle w:val="7"/>
          <w:rFonts w:ascii="方正楷体_GBK" w:hAnsi="方正楷体_GBK" w:eastAsia="方正楷体_GBK" w:cs="方正楷体_GBK"/>
          <w:b w:val="0"/>
          <w:color w:val="000000" w:themeColor="text1"/>
          <w:sz w:val="32"/>
          <w:szCs w:val="32"/>
          <w:shd w:val="clear" w:color="auto" w:fill="FFFFFF"/>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（六）国有资本经营预算财政拨款支出决算情况说明。</w:t>
      </w:r>
    </w:p>
    <w:p>
      <w:pPr>
        <w:pStyle w:val="4"/>
        <w:widowControl/>
        <w:adjustRightInd w:val="0"/>
        <w:snapToGrid w:val="0"/>
        <w:spacing w:beforeAutospacing="0" w:afterAutospacing="0" w:line="594" w:lineRule="exact"/>
        <w:ind w:firstLine="640" w:firstLineChars="200"/>
        <w:rPr>
          <w:rFonts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本部门2022年度无国有资本经营预算财政拨款支出。</w:t>
      </w:r>
    </w:p>
    <w:p>
      <w:pPr>
        <w:pStyle w:val="4"/>
        <w:widowControl/>
        <w:adjustRightInd w:val="0"/>
        <w:snapToGrid w:val="0"/>
        <w:spacing w:beforeAutospacing="0" w:afterAutospacing="0" w:line="594"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Style w:val="7"/>
          <w:rFonts w:hint="eastAsia" w:ascii="方正黑体_GBK" w:hAnsi="方正黑体_GBK" w:eastAsia="方正黑体_GBK" w:cs="方正黑体_GBK"/>
          <w:b w:val="0"/>
          <w:color w:val="000000" w:themeColor="text1"/>
          <w:sz w:val="32"/>
          <w:szCs w:val="32"/>
          <w:shd w:val="clear" w:color="auto" w:fill="FFFFFF"/>
          <w14:textFill>
            <w14:solidFill>
              <w14:schemeClr w14:val="tx1"/>
            </w14:solidFill>
          </w14:textFill>
        </w:rPr>
        <w:t>三、“三公”经费情况说明</w:t>
      </w:r>
    </w:p>
    <w:p>
      <w:pPr>
        <w:pStyle w:val="4"/>
        <w:widowControl/>
        <w:adjustRightInd w:val="0"/>
        <w:snapToGrid w:val="0"/>
        <w:spacing w:beforeAutospacing="0" w:afterAutospacing="0" w:line="594"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（一）“三公”经费支出总体情况说明</w:t>
      </w:r>
    </w:p>
    <w:p>
      <w:pPr>
        <w:pStyle w:val="4"/>
        <w:widowControl/>
        <w:adjustRightInd w:val="0"/>
        <w:snapToGrid w:val="0"/>
        <w:spacing w:beforeAutospacing="0" w:afterAutospacing="0" w:line="594"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2022年度“三公”经费支出共计14.37万元，较年初预算数减少2.03万元，下降12.4%，主要原因是疫情原因，减少公务接待等支出。较上年支出数增加1.32万元，增长10.1%，主要原因是2022年司法编制车辆1辆纳入我单位公务用车核算，造成公务用车维护费增加。</w:t>
      </w:r>
    </w:p>
    <w:p>
      <w:pPr>
        <w:pStyle w:val="4"/>
        <w:widowControl/>
        <w:adjustRightInd w:val="0"/>
        <w:snapToGrid w:val="0"/>
        <w:spacing w:beforeAutospacing="0" w:afterAutospacing="0" w:line="594" w:lineRule="exact"/>
        <w:ind w:right="75" w:firstLine="640" w:firstLineChars="200"/>
        <w:rPr>
          <w:rStyle w:val="7"/>
          <w:rFonts w:ascii="方正楷体_GBK" w:hAnsi="方正楷体_GBK" w:eastAsia="方正楷体_GBK" w:cs="方正楷体_GBK"/>
          <w:b w:val="0"/>
          <w:color w:val="000000" w:themeColor="text1"/>
          <w:sz w:val="32"/>
          <w:szCs w:val="32"/>
          <w:shd w:val="clear" w:color="auto" w:fill="FFFFFF"/>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（二）“三公”经费分项支出情况</w:t>
      </w:r>
    </w:p>
    <w:p>
      <w:pPr>
        <w:pStyle w:val="4"/>
        <w:widowControl/>
        <w:adjustRightInd w:val="0"/>
        <w:snapToGrid w:val="0"/>
        <w:spacing w:beforeAutospacing="0" w:afterAutospacing="0" w:line="594" w:lineRule="exact"/>
        <w:ind w:right="75"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2022年度本部门因公出国（境）费用0.00万元，与上年支出和本年年初预算一致。原因是2021年、2022年均未发生因公出国（境）活动。</w:t>
      </w:r>
    </w:p>
    <w:p>
      <w:pPr>
        <w:pStyle w:val="4"/>
        <w:widowControl/>
        <w:adjustRightInd w:val="0"/>
        <w:snapToGrid w:val="0"/>
        <w:spacing w:beforeAutospacing="0" w:afterAutospacing="0" w:line="594" w:lineRule="exact"/>
        <w:ind w:right="75"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2022年度本部门公务车购置费0.00万元，与上年支出和本年年初预算一致。原因是2021年、2022年均未购置公务车。</w:t>
      </w:r>
    </w:p>
    <w:p>
      <w:pPr>
        <w:pStyle w:val="4"/>
        <w:widowControl/>
        <w:adjustRightInd w:val="0"/>
        <w:snapToGrid w:val="0"/>
        <w:spacing w:beforeAutospacing="0" w:afterAutospacing="0" w:line="594" w:lineRule="exact"/>
        <w:ind w:right="75"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公务车运行维护费14.37万元，主要用于</w:t>
      </w:r>
      <w:r>
        <w:rPr>
          <w:rFonts w:ascii="Times New Roman" w:hAnsi="方正仿宋_GBK" w:eastAsia="方正仿宋_GBK"/>
          <w:color w:val="000000" w:themeColor="text1"/>
          <w:sz w:val="32"/>
          <w:szCs w:val="32"/>
          <w:shd w:val="clear" w:color="auto" w:fill="FFFFFF"/>
          <w14:textFill>
            <w14:solidFill>
              <w14:schemeClr w14:val="tx1"/>
            </w14:solidFill>
          </w14:textFill>
        </w:rPr>
        <w:t>机要文件交换</w:t>
      </w:r>
      <w:r>
        <w:rPr>
          <w:rFonts w:hint="eastAsia" w:ascii="Times New Roman" w:hAnsi="方正仿宋_GBK" w:eastAsia="方正仿宋_GBK"/>
          <w:color w:val="000000" w:themeColor="text1"/>
          <w:sz w:val="32"/>
          <w:szCs w:val="32"/>
          <w:shd w:val="clear" w:color="auto" w:fill="FFFFFF"/>
          <w14:textFill>
            <w14:solidFill>
              <w14:schemeClr w14:val="tx1"/>
            </w14:solidFill>
          </w14:textFill>
        </w:rPr>
        <w:t>，</w:t>
      </w:r>
      <w:r>
        <w:rPr>
          <w:rFonts w:ascii="Times New Roman" w:hAnsi="方正仿宋_GBK" w:eastAsia="方正仿宋_GBK"/>
          <w:color w:val="000000" w:themeColor="text1"/>
          <w:sz w:val="32"/>
          <w:szCs w:val="32"/>
          <w:shd w:val="clear" w:color="auto" w:fill="FFFFFF"/>
          <w14:textFill>
            <w14:solidFill>
              <w14:schemeClr w14:val="tx1"/>
            </w14:solidFill>
          </w14:textFill>
        </w:rPr>
        <w:t>市、区内因公出行、</w:t>
      </w:r>
      <w:r>
        <w:rPr>
          <w:rFonts w:hint="eastAsia" w:ascii="Times New Roman" w:hAnsi="方正仿宋_GBK" w:eastAsia="方正仿宋_GBK"/>
          <w:color w:val="000000" w:themeColor="text1"/>
          <w:sz w:val="32"/>
          <w:szCs w:val="32"/>
          <w:shd w:val="clear" w:color="auto" w:fill="FFFFFF"/>
          <w14:textFill>
            <w14:solidFill>
              <w14:schemeClr w14:val="tx1"/>
            </w14:solidFill>
          </w14:textFill>
        </w:rPr>
        <w:t>森林防火巡查</w:t>
      </w:r>
      <w:r>
        <w:rPr>
          <w:rFonts w:ascii="Times New Roman" w:hAnsi="方正仿宋_GBK" w:eastAsia="方正仿宋_GBK"/>
          <w:color w:val="000000" w:themeColor="text1"/>
          <w:sz w:val="32"/>
          <w:szCs w:val="32"/>
          <w:shd w:val="clear" w:color="auto" w:fill="FFFFFF"/>
          <w14:textFill>
            <w14:solidFill>
              <w14:schemeClr w14:val="tx1"/>
            </w14:solidFill>
          </w14:textFill>
        </w:rPr>
        <w:t>等工作所需车辆的燃料费、维修费、过桥过路费、保险费等</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。费用支出较年初预算数减少0.03万元，下降0.2%，主要原因是</w:t>
      </w:r>
      <w:r>
        <w:rPr>
          <w:rFonts w:ascii="Times New Roman" w:hAnsi="方正仿宋_GBK" w:eastAsia="方正仿宋_GBK"/>
          <w:color w:val="000000" w:themeColor="text1"/>
          <w:sz w:val="32"/>
          <w:szCs w:val="32"/>
          <w14:textFill>
            <w14:solidFill>
              <w14:schemeClr w14:val="tx1"/>
            </w14:solidFill>
          </w14:textFill>
        </w:rPr>
        <w:t>进一步落实规范公务车管理要求，</w:t>
      </w:r>
      <w:r>
        <w:rPr>
          <w:rFonts w:ascii="Times New Roman" w:hAnsi="方正仿宋_GBK" w:eastAsia="方正仿宋_GBK"/>
          <w:color w:val="000000" w:themeColor="text1"/>
          <w:sz w:val="32"/>
          <w:szCs w:val="32"/>
          <w:shd w:val="clear" w:color="auto" w:fill="FFFFFF"/>
          <w14:textFill>
            <w14:solidFill>
              <w14:schemeClr w14:val="tx1"/>
            </w14:solidFill>
          </w14:textFill>
        </w:rPr>
        <w:t>公车运行维护成本下降</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。较上年支出数增加3.00万元，增长26.4%，主要原因是2022年司法编制车辆1辆纳入我单位公务用车核算，造成公务用车维护费增加。</w:t>
      </w:r>
    </w:p>
    <w:p>
      <w:pPr>
        <w:pStyle w:val="4"/>
        <w:widowControl/>
        <w:adjustRightInd w:val="0"/>
        <w:snapToGrid w:val="0"/>
        <w:spacing w:beforeAutospacing="0" w:afterAutospacing="0" w:line="594" w:lineRule="exact"/>
        <w:ind w:right="75"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公务接待费0.00万元，费用支出较年初预算数减少2.00万元，下降100%，主要原因是疫情原因，2022年未发生公务接待事项。较上年支出数减少1.68万元，下降100%，主要是因为疫情原因，2022年未发生公务接待事项。</w:t>
      </w:r>
    </w:p>
    <w:p>
      <w:pPr>
        <w:pStyle w:val="4"/>
        <w:widowControl/>
        <w:adjustRightInd w:val="0"/>
        <w:snapToGrid w:val="0"/>
        <w:spacing w:beforeAutospacing="0" w:afterAutospacing="0" w:line="594" w:lineRule="exact"/>
        <w:ind w:right="75"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（三）“三公”经费实物量情况</w:t>
      </w:r>
    </w:p>
    <w:p>
      <w:pPr>
        <w:pStyle w:val="4"/>
        <w:widowControl/>
        <w:adjustRightInd w:val="0"/>
        <w:snapToGrid w:val="0"/>
        <w:spacing w:beforeAutospacing="0" w:afterAutospacing="0" w:line="594" w:lineRule="exact"/>
        <w:ind w:right="75"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2022年度本部门因公出国（境）共计0个团组，0人；公务用车购置0辆，公务车保有量为6辆；国内公务接待0批次0人，其中：国内外事接待0批次，0人；国（境）外公务接待0批次，0人。2022年本部门人均接待费0.00元，车均购置费0.00万元，车均维护费2.40万元。</w:t>
      </w:r>
    </w:p>
    <w:p>
      <w:pPr>
        <w:pStyle w:val="4"/>
        <w:widowControl/>
        <w:adjustRightInd w:val="0"/>
        <w:snapToGrid w:val="0"/>
        <w:spacing w:beforeAutospacing="0" w:afterAutospacing="0" w:line="594" w:lineRule="exact"/>
        <w:ind w:right="75"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Style w:val="7"/>
          <w:rFonts w:hint="eastAsia" w:ascii="方正黑体_GBK" w:hAnsi="方正黑体_GBK" w:eastAsia="方正黑体_GBK" w:cs="方正黑体_GBK"/>
          <w:b w:val="0"/>
          <w:color w:val="000000" w:themeColor="text1"/>
          <w:sz w:val="32"/>
          <w:szCs w:val="32"/>
          <w:shd w:val="clear" w:color="auto" w:fill="FFFFFF"/>
          <w14:textFill>
            <w14:solidFill>
              <w14:schemeClr w14:val="tx1"/>
            </w14:solidFill>
          </w14:textFill>
        </w:rPr>
        <w:t>四、其他需要说明的事项</w:t>
      </w:r>
    </w:p>
    <w:p>
      <w:pPr>
        <w:pStyle w:val="4"/>
        <w:widowControl/>
        <w:adjustRightInd w:val="0"/>
        <w:snapToGrid w:val="0"/>
        <w:spacing w:beforeAutospacing="0" w:afterAutospacing="0" w:line="594" w:lineRule="exact"/>
        <w:ind w:right="75"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（一）财政拨款会议费和培训费情况说明</w:t>
      </w:r>
    </w:p>
    <w:p>
      <w:pPr>
        <w:pStyle w:val="4"/>
        <w:widowControl/>
        <w:adjustRightInd w:val="0"/>
        <w:snapToGrid w:val="0"/>
        <w:spacing w:beforeAutospacing="0" w:afterAutospacing="0" w:line="594" w:lineRule="exact"/>
        <w:ind w:right="75" w:firstLine="640" w:firstLineChars="200"/>
        <w:rPr>
          <w:rFonts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本年度会议费支出3.11万元，较上年决算数减少9.02万元，下降74.4%，主要原因是疫情原因，提倡线上会议，减少线下会议。本年度培训费支出0.49万元，较上年决算数减少1.68万元，下降77.4%，主要原因是疫情原因，减少线下培训。</w:t>
      </w:r>
    </w:p>
    <w:p>
      <w:pPr>
        <w:pStyle w:val="4"/>
        <w:widowControl/>
        <w:adjustRightInd w:val="0"/>
        <w:snapToGrid w:val="0"/>
        <w:spacing w:beforeAutospacing="0" w:afterAutospacing="0" w:line="594" w:lineRule="exact"/>
        <w:ind w:right="75" w:firstLine="640" w:firstLineChars="200"/>
        <w:rPr>
          <w:rStyle w:val="7"/>
          <w:rFonts w:ascii="方正楷体_GBK" w:hAnsi="方正楷体_GBK" w:eastAsia="方正楷体_GBK" w:cs="方正楷体_GBK"/>
          <w:b w:val="0"/>
          <w:color w:val="000000" w:themeColor="text1"/>
          <w:sz w:val="32"/>
          <w:szCs w:val="32"/>
          <w:shd w:val="clear" w:color="auto" w:fill="FFFFFF"/>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（二）机关运行经费支出情况说明</w:t>
      </w:r>
    </w:p>
    <w:p>
      <w:pPr>
        <w:pStyle w:val="4"/>
        <w:widowControl/>
        <w:adjustRightInd w:val="0"/>
        <w:snapToGrid w:val="0"/>
        <w:spacing w:beforeAutospacing="0" w:afterAutospacing="0" w:line="594" w:lineRule="exact"/>
        <w:ind w:right="75" w:firstLine="640" w:firstLineChars="200"/>
        <w:rPr>
          <w:rFonts w:ascii="Times New Roman" w:hAnsi="方正仿宋_GBK" w:eastAsia="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2022年度本部门机关运行经费支出378.06万元，主要用于开支办公费、印刷费、咨询费、手续费、水费、电费、邮电费、差旅费、维修费、租赁费、会议费、培训费、劳务费、公务</w:t>
      </w:r>
      <w:r>
        <w:rPr>
          <w:rFonts w:ascii="Times New Roman" w:hAnsi="方正仿宋_GBK" w:eastAsia="方正仿宋_GBK"/>
          <w:color w:val="000000" w:themeColor="text1"/>
          <w:sz w:val="32"/>
          <w:szCs w:val="32"/>
          <w:shd w:val="clear" w:color="auto" w:fill="FFFFFF"/>
          <w14:textFill>
            <w14:solidFill>
              <w14:schemeClr w14:val="tx1"/>
            </w14:solidFill>
          </w14:textFill>
        </w:rPr>
        <w:t>接待费、公务用车运行维护费、其他交通费、其他商品服务支出。机关运行经费较上年决算数减少32.40万元，下降7.9%，主要原因</w:t>
      </w:r>
      <w:r>
        <w:rPr>
          <w:rFonts w:hint="eastAsia" w:ascii="Times New Roman" w:hAnsi="方正仿宋_GBK" w:eastAsia="方正仿宋_GBK"/>
          <w:color w:val="000000" w:themeColor="text1"/>
          <w:sz w:val="32"/>
          <w:szCs w:val="32"/>
          <w:shd w:val="clear" w:color="auto" w:fill="FFFFFF"/>
          <w14:textFill>
            <w14:solidFill>
              <w14:schemeClr w14:val="tx1"/>
            </w14:solidFill>
          </w14:textFill>
        </w:rPr>
        <w:t>：</w:t>
      </w:r>
      <w:r>
        <w:rPr>
          <w:rFonts w:ascii="Times New Roman" w:hAnsi="方正仿宋_GBK" w:eastAsia="方正仿宋_GBK"/>
          <w:color w:val="000000" w:themeColor="text1"/>
          <w:sz w:val="32"/>
          <w:szCs w:val="32"/>
          <w14:textFill>
            <w14:solidFill>
              <w14:schemeClr w14:val="tx1"/>
            </w14:solidFill>
          </w14:textFill>
        </w:rPr>
        <w:t>一是认真贯彻落实中央八项规定精神和厉行节约要求，按照只减不增的要求从严控制三公经费，全年实际支出较预算和上年均有所下降；二是严格落实公车使用规定，严禁公车私用，公车运行维护成本大幅下降；三是强化公务接待支出管理，严格遵守公务接待开支范围和开支标准，严格控制陪餐人数，对应由接待对象承担的费用一律由接待对象自行支付，公务接待费大幅下降；四是进一步规范因公出国（境）活动，</w:t>
      </w:r>
      <w:r>
        <w:rPr>
          <w:rFonts w:ascii="Times New Roman" w:hAnsi="Times New Roman" w:eastAsia="方正仿宋_GBK"/>
          <w:color w:val="000000" w:themeColor="text1"/>
          <w:sz w:val="32"/>
          <w:szCs w:val="32"/>
          <w14:textFill>
            <w14:solidFill>
              <w14:schemeClr w14:val="tx1"/>
            </w14:solidFill>
          </w14:textFill>
        </w:rPr>
        <w:t>202</w:t>
      </w:r>
      <w:r>
        <w:rPr>
          <w:rFonts w:hint="eastAsia" w:ascii="Times New Roman" w:hAnsi="Times New Roman" w:eastAsia="方正仿宋_GBK"/>
          <w:color w:val="000000" w:themeColor="text1"/>
          <w:sz w:val="32"/>
          <w:szCs w:val="32"/>
          <w14:textFill>
            <w14:solidFill>
              <w14:schemeClr w14:val="tx1"/>
            </w14:solidFill>
          </w14:textFill>
        </w:rPr>
        <w:t>2</w:t>
      </w:r>
      <w:r>
        <w:rPr>
          <w:rFonts w:ascii="Times New Roman" w:hAnsi="方正仿宋_GBK" w:eastAsia="方正仿宋_GBK"/>
          <w:color w:val="000000" w:themeColor="text1"/>
          <w:sz w:val="32"/>
          <w:szCs w:val="32"/>
          <w14:textFill>
            <w14:solidFill>
              <w14:schemeClr w14:val="tx1"/>
            </w14:solidFill>
          </w14:textFill>
        </w:rPr>
        <w:t>年没有因公出国（境）活动</w:t>
      </w:r>
      <w:r>
        <w:rPr>
          <w:rFonts w:hint="eastAsia" w:ascii="Times New Roman" w:hAnsi="方正仿宋_GBK" w:eastAsia="方正仿宋_GBK"/>
          <w:color w:val="000000" w:themeColor="text1"/>
          <w:sz w:val="32"/>
          <w:szCs w:val="32"/>
          <w14:textFill>
            <w14:solidFill>
              <w14:schemeClr w14:val="tx1"/>
            </w14:solidFill>
          </w14:textFill>
        </w:rPr>
        <w:t>；五是疫情期间，严格按照疫情有关规定，取消线下会议、培训等</w:t>
      </w:r>
      <w:r>
        <w:rPr>
          <w:rFonts w:ascii="Times New Roman" w:hAnsi="方正仿宋_GBK" w:eastAsia="方正仿宋_GBK"/>
          <w:color w:val="000000" w:themeColor="text1"/>
          <w:sz w:val="32"/>
          <w:szCs w:val="32"/>
          <w:shd w:val="clear" w:color="auto" w:fill="FFFFFF"/>
          <w14:textFill>
            <w14:solidFill>
              <w14:schemeClr w14:val="tx1"/>
            </w14:solidFill>
          </w14:textFill>
        </w:rPr>
        <w:t>。</w:t>
      </w:r>
    </w:p>
    <w:p>
      <w:pPr>
        <w:pStyle w:val="4"/>
        <w:widowControl/>
        <w:adjustRightInd w:val="0"/>
        <w:snapToGrid w:val="0"/>
        <w:spacing w:beforeAutospacing="0" w:afterAutospacing="0" w:line="594" w:lineRule="exact"/>
        <w:ind w:right="75"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（三）国有资产占用情况说明</w:t>
      </w:r>
    </w:p>
    <w:p>
      <w:pPr>
        <w:pStyle w:val="4"/>
        <w:widowControl/>
        <w:adjustRightInd w:val="0"/>
        <w:snapToGrid w:val="0"/>
        <w:spacing w:beforeAutospacing="0" w:afterAutospacing="0" w:line="594" w:lineRule="exact"/>
        <w:ind w:right="75"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截至2022年12月31日，本部门共有车辆6辆，其中，副部（省）级及以上领导用车0辆、主要领导干部用车0辆、机要通信用车1辆、应急保障用车3辆、执法执勤用车0辆，特种专业技术用车2辆，离退休干部用车0辆，其他用车0辆。单价100万元（含）以上设备（不含车辆）0台（套）。</w:t>
      </w:r>
    </w:p>
    <w:p>
      <w:pPr>
        <w:pStyle w:val="4"/>
        <w:widowControl/>
        <w:adjustRightInd w:val="0"/>
        <w:snapToGrid w:val="0"/>
        <w:spacing w:beforeAutospacing="0" w:afterAutospacing="0" w:line="594" w:lineRule="exact"/>
        <w:ind w:right="75" w:firstLine="640" w:firstLineChars="200"/>
        <w:rPr>
          <w:rStyle w:val="7"/>
          <w:rFonts w:ascii="方正楷体_GBK" w:hAnsi="方正楷体_GBK" w:eastAsia="方正楷体_GBK" w:cs="方正楷体_GBK"/>
          <w:b w:val="0"/>
          <w:color w:val="000000" w:themeColor="text1"/>
          <w:sz w:val="32"/>
          <w:szCs w:val="32"/>
          <w:shd w:val="clear" w:color="auto" w:fill="FFFFFF"/>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（四）政府采购支出说明</w:t>
      </w:r>
    </w:p>
    <w:p>
      <w:pPr>
        <w:pStyle w:val="4"/>
        <w:widowControl/>
        <w:adjustRightInd w:val="0"/>
        <w:snapToGrid w:val="0"/>
        <w:spacing w:beforeAutospacing="0" w:afterAutospacing="0" w:line="594" w:lineRule="exact"/>
        <w:ind w:right="75" w:firstLine="640" w:firstLineChars="200"/>
        <w:rPr>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2022年度本部门政府采购支出总额162.87万元，其中：政府采购货物支出15.99万元、政府采购工程支出0.00万元、政府采购服务支出146.87万元。授予中小企业合同金额148.22万元，占政府采购支出总额的91%，其中：授予小微企业合同金额148.22万元，占政府采购支出总额的91%。主要用于采购辖区环卫管护、办公设备等。</w:t>
      </w:r>
    </w:p>
    <w:p>
      <w:pPr>
        <w:pStyle w:val="4"/>
        <w:widowControl/>
        <w:adjustRightInd w:val="0"/>
        <w:snapToGrid w:val="0"/>
        <w:spacing w:beforeAutospacing="0" w:afterAutospacing="0" w:line="594" w:lineRule="exact"/>
        <w:ind w:right="75" w:firstLine="640" w:firstLineChars="200"/>
        <w:rPr>
          <w:rStyle w:val="7"/>
          <w:rFonts w:ascii="方正黑体_GBK" w:hAnsi="方正黑体_GBK" w:eastAsia="方正黑体_GBK" w:cs="方正黑体_GBK"/>
          <w:b w:val="0"/>
          <w:color w:val="000000" w:themeColor="text1"/>
          <w:sz w:val="32"/>
          <w:szCs w:val="32"/>
          <w:shd w:val="clear" w:color="auto" w:fill="FFFFFF"/>
          <w14:textFill>
            <w14:solidFill>
              <w14:schemeClr w14:val="tx1"/>
            </w14:solidFill>
          </w14:textFill>
        </w:rPr>
      </w:pPr>
      <w:r>
        <w:rPr>
          <w:rStyle w:val="7"/>
          <w:rFonts w:hint="eastAsia" w:ascii="方正黑体_GBK" w:hAnsi="方正黑体_GBK" w:eastAsia="方正黑体_GBK" w:cs="方正黑体_GBK"/>
          <w:b w:val="0"/>
          <w:color w:val="000000" w:themeColor="text1"/>
          <w:sz w:val="32"/>
          <w:szCs w:val="32"/>
          <w:shd w:val="clear" w:color="auto" w:fill="FFFFFF"/>
          <w14:textFill>
            <w14:solidFill>
              <w14:schemeClr w14:val="tx1"/>
            </w14:solidFill>
          </w14:textFill>
        </w:rPr>
        <w:t>五、预算绩效管理情况说明</w:t>
      </w:r>
    </w:p>
    <w:p>
      <w:pPr>
        <w:pStyle w:val="4"/>
        <w:widowControl/>
        <w:adjustRightInd w:val="0"/>
        <w:snapToGrid w:val="0"/>
        <w:spacing w:beforeAutospacing="0" w:afterAutospacing="0" w:line="594" w:lineRule="exact"/>
        <w:ind w:right="75" w:firstLine="640" w:firstLineChars="200"/>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（一）预算绩效管理工作开展情况</w:t>
      </w: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根据预算绩效管理要求，我单位对部门整体和107个项目开展了绩效自评，其中，以填报自评表形式开展自评107项，涉及资金7577.85万元；以委托第三方出具报告的方式开展绩效评价0项，涉及资金0万元。</w:t>
      </w:r>
    </w:p>
    <w:p>
      <w:pPr>
        <w:pStyle w:val="4"/>
        <w:widowControl/>
        <w:adjustRightInd w:val="0"/>
        <w:snapToGrid w:val="0"/>
        <w:spacing w:beforeAutospacing="0" w:afterAutospacing="0" w:line="594" w:lineRule="exact"/>
        <w:ind w:right="75" w:firstLine="640" w:firstLineChars="200"/>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p>
    <w:p>
      <w:pPr>
        <w:pStyle w:val="4"/>
        <w:widowControl/>
        <w:adjustRightInd w:val="0"/>
        <w:snapToGrid w:val="0"/>
        <w:spacing w:beforeAutospacing="0" w:afterAutospacing="0" w:line="594" w:lineRule="exact"/>
        <w:ind w:right="75" w:firstLine="640" w:firstLineChars="200"/>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p>
    <w:p>
      <w:pPr>
        <w:pStyle w:val="4"/>
        <w:widowControl/>
        <w:adjustRightInd w:val="0"/>
        <w:snapToGrid w:val="0"/>
        <w:spacing w:beforeAutospacing="0" w:afterAutospacing="0" w:line="594" w:lineRule="exact"/>
        <w:ind w:right="75" w:firstLine="640" w:firstLineChars="200"/>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p>
    <w:p>
      <w:pPr>
        <w:pStyle w:val="4"/>
        <w:widowControl/>
        <w:adjustRightInd w:val="0"/>
        <w:snapToGrid w:val="0"/>
        <w:spacing w:beforeAutospacing="0" w:afterAutospacing="0" w:line="594" w:lineRule="exact"/>
        <w:ind w:right="75" w:firstLine="640" w:firstLineChars="200"/>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p>
    <w:p>
      <w:pPr>
        <w:pStyle w:val="4"/>
        <w:widowControl/>
        <w:adjustRightInd w:val="0"/>
        <w:snapToGrid w:val="0"/>
        <w:spacing w:beforeAutospacing="0" w:afterAutospacing="0" w:line="594" w:lineRule="exact"/>
        <w:ind w:right="75" w:firstLine="640" w:firstLineChars="200"/>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p>
    <w:p>
      <w:pPr>
        <w:pStyle w:val="4"/>
        <w:widowControl/>
        <w:adjustRightInd w:val="0"/>
        <w:snapToGrid w:val="0"/>
        <w:spacing w:beforeAutospacing="0" w:afterAutospacing="0" w:line="594" w:lineRule="exact"/>
        <w:ind w:right="75" w:firstLine="640" w:firstLineChars="200"/>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p>
    <w:p>
      <w:pPr>
        <w:pStyle w:val="4"/>
        <w:widowControl/>
        <w:adjustRightInd w:val="0"/>
        <w:snapToGrid w:val="0"/>
        <w:spacing w:beforeAutospacing="0" w:afterAutospacing="0" w:line="594" w:lineRule="exact"/>
        <w:ind w:right="75" w:firstLine="640" w:firstLineChars="200"/>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p>
    <w:p>
      <w:pPr>
        <w:pStyle w:val="4"/>
        <w:widowControl/>
        <w:adjustRightInd w:val="0"/>
        <w:snapToGrid w:val="0"/>
        <w:spacing w:beforeAutospacing="0" w:afterAutospacing="0" w:line="594" w:lineRule="exact"/>
        <w:ind w:right="75" w:firstLine="640" w:firstLineChars="200"/>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p>
    <w:p>
      <w:pPr>
        <w:pStyle w:val="4"/>
        <w:widowControl/>
        <w:adjustRightInd w:val="0"/>
        <w:snapToGrid w:val="0"/>
        <w:spacing w:beforeAutospacing="0" w:afterAutospacing="0" w:line="594" w:lineRule="exact"/>
        <w:ind w:right="75" w:firstLine="640" w:firstLineChars="200"/>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p>
    <w:tbl>
      <w:tblPr>
        <w:tblStyle w:val="5"/>
        <w:tblW w:w="9044" w:type="dxa"/>
        <w:tblInd w:w="0" w:type="dxa"/>
        <w:tblLayout w:type="fixed"/>
        <w:tblCellMar>
          <w:top w:w="15" w:type="dxa"/>
          <w:left w:w="15" w:type="dxa"/>
          <w:bottom w:w="15" w:type="dxa"/>
          <w:right w:w="15" w:type="dxa"/>
        </w:tblCellMar>
      </w:tblPr>
      <w:tblGrid>
        <w:gridCol w:w="1024"/>
        <w:gridCol w:w="73"/>
        <w:gridCol w:w="85"/>
        <w:gridCol w:w="631"/>
        <w:gridCol w:w="500"/>
        <w:gridCol w:w="189"/>
        <w:gridCol w:w="194"/>
        <w:gridCol w:w="526"/>
        <w:gridCol w:w="625"/>
        <w:gridCol w:w="290"/>
        <w:gridCol w:w="560"/>
        <w:gridCol w:w="221"/>
        <w:gridCol w:w="329"/>
        <w:gridCol w:w="506"/>
        <w:gridCol w:w="305"/>
        <w:gridCol w:w="314"/>
        <w:gridCol w:w="141"/>
        <w:gridCol w:w="77"/>
        <w:gridCol w:w="382"/>
        <w:gridCol w:w="91"/>
        <w:gridCol w:w="483"/>
        <w:gridCol w:w="501"/>
        <w:gridCol w:w="291"/>
        <w:gridCol w:w="706"/>
      </w:tblGrid>
      <w:tr>
        <w:tblPrEx>
          <w:tblCellMar>
            <w:top w:w="15" w:type="dxa"/>
            <w:left w:w="15" w:type="dxa"/>
            <w:bottom w:w="15" w:type="dxa"/>
            <w:right w:w="15" w:type="dxa"/>
          </w:tblCellMar>
        </w:tblPrEx>
        <w:trPr>
          <w:trHeight w:val="795" w:hRule="atLeast"/>
        </w:trPr>
        <w:tc>
          <w:tcPr>
            <w:tcW w:w="9044" w:type="dxa"/>
            <w:gridSpan w:val="2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center"/>
              <w:outlineLvl w:val="9"/>
              <w:rPr>
                <w:rFonts w:ascii="微软雅黑" w:hAnsi="微软雅黑" w:eastAsia="微软雅黑" w:cs="微软雅黑"/>
                <w:b/>
                <w:color w:val="000000" w:themeColor="text1"/>
                <w:kern w:val="0"/>
                <w:sz w:val="40"/>
                <w:szCs w:val="40"/>
                <w14:textFill>
                  <w14:solidFill>
                    <w14:schemeClr w14:val="tx1"/>
                  </w14:solidFill>
                </w14:textFill>
              </w:rPr>
            </w:pPr>
            <w:r>
              <w:rPr>
                <w:rFonts w:hint="eastAsia" w:ascii="微软雅黑" w:hAnsi="微软雅黑" w:eastAsia="微软雅黑" w:cs="微软雅黑"/>
                <w:b/>
                <w:color w:val="000000" w:themeColor="text1"/>
                <w:kern w:val="0"/>
                <w:sz w:val="40"/>
                <w:szCs w:val="40"/>
                <w:lang w:bidi="ar"/>
                <w14:textFill>
                  <w14:solidFill>
                    <w14:schemeClr w14:val="tx1"/>
                  </w14:solidFill>
                </w14:textFill>
              </w:rPr>
              <w:t>2022年度部门整体绩效自评表</w:t>
            </w:r>
          </w:p>
        </w:tc>
      </w:tr>
      <w:tr>
        <w:tblPrEx>
          <w:tblCellMar>
            <w:top w:w="15" w:type="dxa"/>
            <w:left w:w="15" w:type="dxa"/>
            <w:bottom w:w="15" w:type="dxa"/>
            <w:right w:w="15" w:type="dxa"/>
          </w:tblCellMar>
        </w:tblPrEx>
        <w:trPr>
          <w:trHeight w:val="495" w:hRule="atLeast"/>
        </w:trPr>
        <w:tc>
          <w:tcPr>
            <w:tcW w:w="10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项目名称</w:t>
            </w:r>
          </w:p>
        </w:tc>
        <w:tc>
          <w:tcPr>
            <w:tcW w:w="12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重庆市沙坪坝区中梁镇整体自评</w:t>
            </w:r>
          </w:p>
        </w:tc>
        <w:tc>
          <w:tcPr>
            <w:tcW w:w="15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项目编码</w:t>
            </w:r>
          </w:p>
        </w:tc>
        <w:tc>
          <w:tcPr>
            <w:tcW w:w="14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50010600022P000091</w:t>
            </w:r>
          </w:p>
        </w:tc>
        <w:tc>
          <w:tcPr>
            <w:tcW w:w="8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自评总分</w:t>
            </w:r>
          </w:p>
        </w:tc>
        <w:tc>
          <w:tcPr>
            <w:tcW w:w="9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98.60</w:t>
            </w:r>
          </w:p>
        </w:tc>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b/>
                <w:color w:val="000000" w:themeColor="text1"/>
                <w:kern w:val="0"/>
                <w:sz w:val="22"/>
                <w:szCs w:val="22"/>
                <w14:textFill>
                  <w14:solidFill>
                    <w14:schemeClr w14:val="tx1"/>
                  </w14:solidFill>
                </w14:textFill>
              </w:rPr>
            </w:pPr>
          </w:p>
        </w:tc>
        <w:tc>
          <w:tcPr>
            <w:tcW w:w="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kern w:val="0"/>
                <w:sz w:val="22"/>
                <w:szCs w:val="22"/>
                <w14:textFill>
                  <w14:solidFill>
                    <w14:schemeClr w14:val="tx1"/>
                  </w14:solidFill>
                </w14:textFill>
              </w:rPr>
            </w:pPr>
          </w:p>
        </w:tc>
      </w:tr>
      <w:tr>
        <w:tblPrEx>
          <w:tblCellMar>
            <w:top w:w="15" w:type="dxa"/>
            <w:left w:w="15" w:type="dxa"/>
            <w:bottom w:w="15" w:type="dxa"/>
            <w:right w:w="15" w:type="dxa"/>
          </w:tblCellMar>
        </w:tblPrEx>
        <w:trPr>
          <w:trHeight w:val="495" w:hRule="atLeast"/>
        </w:trPr>
        <w:tc>
          <w:tcPr>
            <w:tcW w:w="10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项目主管部门</w:t>
            </w:r>
          </w:p>
        </w:tc>
        <w:tc>
          <w:tcPr>
            <w:tcW w:w="12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902-重庆市沙坪坝区中梁镇</w:t>
            </w:r>
          </w:p>
        </w:tc>
        <w:tc>
          <w:tcPr>
            <w:tcW w:w="15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财政归口处室</w:t>
            </w:r>
          </w:p>
        </w:tc>
        <w:tc>
          <w:tcPr>
            <w:tcW w:w="14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003-预算科</w:t>
            </w:r>
          </w:p>
        </w:tc>
        <w:tc>
          <w:tcPr>
            <w:tcW w:w="8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部门联系人</w:t>
            </w:r>
          </w:p>
        </w:tc>
        <w:tc>
          <w:tcPr>
            <w:tcW w:w="9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邱广诗</w:t>
            </w:r>
          </w:p>
        </w:tc>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联系电话：</w:t>
            </w:r>
          </w:p>
        </w:tc>
        <w:tc>
          <w:tcPr>
            <w:tcW w:w="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15823822182</w:t>
            </w:r>
          </w:p>
        </w:tc>
      </w:tr>
      <w:tr>
        <w:tblPrEx>
          <w:tblCellMar>
            <w:top w:w="15" w:type="dxa"/>
            <w:left w:w="15" w:type="dxa"/>
            <w:bottom w:w="15" w:type="dxa"/>
            <w:right w:w="15" w:type="dxa"/>
          </w:tblCellMar>
        </w:tblPrEx>
        <w:trPr>
          <w:trHeight w:val="600" w:hRule="atLeast"/>
        </w:trPr>
        <w:tc>
          <w:tcPr>
            <w:tcW w:w="9044" w:type="dxa"/>
            <w:gridSpan w:val="2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微软雅黑" w:hAnsi="微软雅黑" w:eastAsia="微软雅黑" w:cs="微软雅黑"/>
                <w:b/>
                <w:color w:val="000000" w:themeColor="text1"/>
                <w:kern w:val="0"/>
                <w:sz w:val="28"/>
                <w:szCs w:val="28"/>
                <w14:textFill>
                  <w14:solidFill>
                    <w14:schemeClr w14:val="tx1"/>
                  </w14:solidFill>
                </w14:textFill>
              </w:rPr>
            </w:pPr>
            <w:r>
              <w:rPr>
                <w:rFonts w:hint="eastAsia" w:ascii="微软雅黑" w:hAnsi="微软雅黑" w:eastAsia="微软雅黑" w:cs="微软雅黑"/>
                <w:b/>
                <w:color w:val="000000" w:themeColor="text1"/>
                <w:kern w:val="0"/>
                <w:sz w:val="28"/>
                <w:szCs w:val="28"/>
                <w:lang w:bidi="ar"/>
                <w14:textFill>
                  <w14:solidFill>
                    <w14:schemeClr w14:val="tx1"/>
                  </w14:solidFill>
                </w14:textFill>
              </w:rPr>
              <w:t>资金情况</w:t>
            </w:r>
          </w:p>
        </w:tc>
      </w:tr>
      <w:tr>
        <w:tblPrEx>
          <w:tblCellMar>
            <w:top w:w="15" w:type="dxa"/>
            <w:left w:w="15" w:type="dxa"/>
            <w:bottom w:w="15" w:type="dxa"/>
            <w:right w:w="15" w:type="dxa"/>
          </w:tblCellMar>
        </w:tblPrEx>
        <w:trPr>
          <w:trHeight w:val="495" w:hRule="atLeast"/>
        </w:trPr>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kern w:val="0"/>
                <w:sz w:val="22"/>
                <w:szCs w:val="22"/>
                <w14:textFill>
                  <w14:solidFill>
                    <w14:schemeClr w14:val="tx1"/>
                  </w14:solidFill>
                </w14:textFill>
              </w:rPr>
            </w:pPr>
          </w:p>
        </w:tc>
        <w:tc>
          <w:tcPr>
            <w:tcW w:w="167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年初预算数</w:t>
            </w:r>
          </w:p>
        </w:tc>
        <w:tc>
          <w:tcPr>
            <w:tcW w:w="20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全年（调整）预算数</w:t>
            </w:r>
          </w:p>
        </w:tc>
        <w:tc>
          <w:tcPr>
            <w:tcW w:w="181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全年执行数</w:t>
            </w:r>
          </w:p>
        </w:tc>
        <w:tc>
          <w:tcPr>
            <w:tcW w:w="10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执行率</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执行率权重</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执行率得分</w:t>
            </w:r>
          </w:p>
        </w:tc>
      </w:tr>
      <w:tr>
        <w:tblPrEx>
          <w:tblCellMar>
            <w:top w:w="15" w:type="dxa"/>
            <w:left w:w="15" w:type="dxa"/>
            <w:bottom w:w="15" w:type="dxa"/>
            <w:right w:w="15" w:type="dxa"/>
          </w:tblCellMar>
        </w:tblPrEx>
        <w:trPr>
          <w:trHeight w:val="495" w:hRule="atLeast"/>
        </w:trPr>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年度总金额</w:t>
            </w:r>
          </w:p>
        </w:tc>
        <w:tc>
          <w:tcPr>
            <w:tcW w:w="167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38,524,647.61</w:t>
            </w:r>
          </w:p>
        </w:tc>
        <w:tc>
          <w:tcPr>
            <w:tcW w:w="20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88,149,944.28</w:t>
            </w:r>
          </w:p>
        </w:tc>
        <w:tc>
          <w:tcPr>
            <w:tcW w:w="181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75,778,466.50</w:t>
            </w:r>
          </w:p>
        </w:tc>
        <w:tc>
          <w:tcPr>
            <w:tcW w:w="10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kern w:val="0"/>
                <w:sz w:val="22"/>
                <w:szCs w:val="22"/>
                <w14:textFill>
                  <w14:solidFill>
                    <w14:schemeClr w14:val="tx1"/>
                  </w14:solidFill>
                </w14:textFill>
              </w:rPr>
            </w:pP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kern w:val="0"/>
                <w:sz w:val="22"/>
                <w:szCs w:val="22"/>
                <w14:textFill>
                  <w14:solidFill>
                    <w14:schemeClr w14:val="tx1"/>
                  </w14:solidFill>
                </w14:textFill>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kern w:val="0"/>
                <w:sz w:val="22"/>
                <w:szCs w:val="22"/>
                <w14:textFill>
                  <w14:solidFill>
                    <w14:schemeClr w14:val="tx1"/>
                  </w14:solidFill>
                </w14:textFill>
              </w:rPr>
            </w:pPr>
          </w:p>
        </w:tc>
      </w:tr>
      <w:tr>
        <w:tblPrEx>
          <w:tblCellMar>
            <w:top w:w="15" w:type="dxa"/>
            <w:left w:w="15" w:type="dxa"/>
            <w:bottom w:w="15" w:type="dxa"/>
            <w:right w:w="15" w:type="dxa"/>
          </w:tblCellMar>
        </w:tblPrEx>
        <w:trPr>
          <w:trHeight w:val="495" w:hRule="atLeast"/>
        </w:trPr>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其中：财政拨款</w:t>
            </w:r>
          </w:p>
        </w:tc>
        <w:tc>
          <w:tcPr>
            <w:tcW w:w="167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38,524,647.61</w:t>
            </w:r>
          </w:p>
        </w:tc>
        <w:tc>
          <w:tcPr>
            <w:tcW w:w="20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88,149,944.28</w:t>
            </w:r>
          </w:p>
        </w:tc>
        <w:tc>
          <w:tcPr>
            <w:tcW w:w="181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75,778,466.50</w:t>
            </w:r>
          </w:p>
        </w:tc>
        <w:tc>
          <w:tcPr>
            <w:tcW w:w="10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86</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8.60</w:t>
            </w:r>
          </w:p>
        </w:tc>
      </w:tr>
      <w:tr>
        <w:tblPrEx>
          <w:tblCellMar>
            <w:top w:w="15" w:type="dxa"/>
            <w:left w:w="15" w:type="dxa"/>
            <w:bottom w:w="15" w:type="dxa"/>
            <w:right w:w="15" w:type="dxa"/>
          </w:tblCellMar>
        </w:tblPrEx>
        <w:trPr>
          <w:trHeight w:val="600" w:hRule="atLeast"/>
        </w:trPr>
        <w:tc>
          <w:tcPr>
            <w:tcW w:w="9044" w:type="dxa"/>
            <w:gridSpan w:val="2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微软雅黑" w:hAnsi="微软雅黑" w:eastAsia="微软雅黑" w:cs="微软雅黑"/>
                <w:b/>
                <w:color w:val="000000" w:themeColor="text1"/>
                <w:kern w:val="0"/>
                <w:sz w:val="28"/>
                <w:szCs w:val="28"/>
                <w14:textFill>
                  <w14:solidFill>
                    <w14:schemeClr w14:val="tx1"/>
                  </w14:solidFill>
                </w14:textFill>
              </w:rPr>
            </w:pPr>
            <w:r>
              <w:rPr>
                <w:rFonts w:hint="eastAsia" w:ascii="微软雅黑" w:hAnsi="微软雅黑" w:eastAsia="微软雅黑" w:cs="微软雅黑"/>
                <w:b/>
                <w:color w:val="000000" w:themeColor="text1"/>
                <w:kern w:val="0"/>
                <w:sz w:val="28"/>
                <w:szCs w:val="28"/>
                <w:lang w:bidi="ar"/>
                <w14:textFill>
                  <w14:solidFill>
                    <w14:schemeClr w14:val="tx1"/>
                  </w14:solidFill>
                </w14:textFill>
              </w:rPr>
              <w:t>绩效目标</w:t>
            </w:r>
          </w:p>
        </w:tc>
      </w:tr>
      <w:tr>
        <w:tblPrEx>
          <w:tblCellMar>
            <w:top w:w="15" w:type="dxa"/>
            <w:left w:w="15" w:type="dxa"/>
            <w:bottom w:w="15" w:type="dxa"/>
            <w:right w:w="15" w:type="dxa"/>
          </w:tblCellMar>
        </w:tblPrEx>
        <w:trPr>
          <w:trHeight w:val="495" w:hRule="atLeast"/>
        </w:trPr>
        <w:tc>
          <w:tcPr>
            <w:tcW w:w="269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年初绩效目标</w:t>
            </w:r>
          </w:p>
        </w:tc>
        <w:tc>
          <w:tcPr>
            <w:tcW w:w="389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全年（调整）绩效目标</w:t>
            </w:r>
          </w:p>
        </w:tc>
        <w:tc>
          <w:tcPr>
            <w:tcW w:w="245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全年目标实际完成情况</w:t>
            </w:r>
          </w:p>
        </w:tc>
      </w:tr>
      <w:tr>
        <w:tblPrEx>
          <w:tblCellMar>
            <w:top w:w="15" w:type="dxa"/>
            <w:left w:w="15" w:type="dxa"/>
            <w:bottom w:w="15" w:type="dxa"/>
            <w:right w:w="15" w:type="dxa"/>
          </w:tblCellMar>
        </w:tblPrEx>
        <w:trPr>
          <w:trHeight w:val="1590" w:hRule="atLeast"/>
        </w:trPr>
        <w:tc>
          <w:tcPr>
            <w:tcW w:w="269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top"/>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强化公共管理职能，维护公共基础设施，做好城区环卫管护、市政管护、园林绿化、公厕管护、农村环卫管护等市政维护项目，逐步减少存量违法建筑，促进市政设施精细化管理，不断提高市政服务品质，助力乡村振兴，满足辖区人民群众日益增长的美好生活需要；2.推进基层民主，加强基层组织建设，建立党群工作站，促进党建带群建工作机制。3.强化公共服务职能，完善社会救助、优抚安置、医疗救助等社会保障体系，加强镇对村社区的监督管理，帮助村社区完成两委换届后的培训等工作。4.维护农村和谐稳定，改善农村人居环境，建设美丽宜居村庄，开展“一化二改三不见”专项行动，扎实推进农村人居环境整治，通过持续深入的治理改善，打造农村群众家门口的风景；5.夯实安全工作基础，加强森林防火、生态建设等安全监督管理，建立健全隐患排查治理体系和安全预防控制体系。我镇将厉行节约,项目专款专用，发挥财政资金的最大效益。助力乡村振兴的实现，打造整洁、舒适、宜居的新农村新形象新画卷，进一步增强人民群众的获得感和幸福感。</w:t>
            </w:r>
          </w:p>
        </w:tc>
        <w:tc>
          <w:tcPr>
            <w:tcW w:w="389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top"/>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公共管理职能不断强化，维护辖区公共基础设施，城区环卫管护、市政管护、园林绿化、公厕管护、农村环卫管护等市政维护项目较好开展，减少存量违法建筑，促进市政设施精细化管理，不断提高市政服务品质，助力乡村振兴，满足辖区人民群众日益增长的美好生活需要；2.推进基层民主，加强基层组织建设，建立了党群工作站，促进党建带群建工作机制。3.强化公了共服务职能，完善社会救助、优抚安置、医疗救助等社会保障体系，加强镇对村社区的监督管理，帮助村社区完成两委换届后的培训等工作。4.维护农村和谐稳定，改善农村人居环境，建设美丽宜居村庄，开展“一化二改三不见”专项行动，扎实推进农村人居环境整治，通过持续深入的治理改善，打造农村群众家门口的风景；5.夯实安全工作基础，加强森林防火、生态建设等安全监督管理，建立健全隐患排查治理体系和安全预防控制体系。我镇将厉行节约,项目专款专用，发挥财政资金的最大效益。助力乡村振兴的实现，打造整洁、舒适、宜居的新农村新形象新画卷，进一步增强人民群众的获得感和幸福感。</w:t>
            </w:r>
          </w:p>
        </w:tc>
        <w:tc>
          <w:tcPr>
            <w:tcW w:w="245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top"/>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公共管理职能不断强化，维护辖区公共基础设施，城区环卫管护、市政管护、园林绿化、公厕管护、农村环卫管护等市政维护项目较好开展，减少存量违法建筑，促进市政设施精细化管理，不断提高市政服务品质，助力乡村振兴，满足辖区人民群众日益增长的美好生活需要；2.推进基层民主，加强基层组织建设，建立了党群工作站，促进党建带群建工作机制。3.强化公了共服务职能，完善社会救助、优抚安置、医疗救助等社会保障体系，加强镇对村社区的监督管理，帮助村社区完成两委换届后的培训等工作。4.维护农村和谐稳定，改善农村人居环境，建设美丽宜居村庄，开展“一化二改三不见”专项行动，扎实推进农村人居环境整治，通过持续深入的治理改善，打造农村群众家门口的风景；5.夯实安全工作基础，加强森林防火、生态建设等安全监督管理，建立健全隐患排查治理体系和安全预防控制体系。我镇将厉行节约,项目专款专用，发挥财政资金的最大效益。助力乡村振兴的实现，打造整洁、舒适、宜居的新农村新形象新画卷，进一步增强人民群众的获得感和幸福感。</w:t>
            </w:r>
          </w:p>
        </w:tc>
      </w:tr>
      <w:tr>
        <w:tblPrEx>
          <w:tblCellMar>
            <w:top w:w="15" w:type="dxa"/>
            <w:left w:w="15" w:type="dxa"/>
            <w:bottom w:w="15" w:type="dxa"/>
            <w:right w:w="15" w:type="dxa"/>
          </w:tblCellMar>
        </w:tblPrEx>
        <w:trPr>
          <w:trHeight w:val="600" w:hRule="atLeast"/>
        </w:trPr>
        <w:tc>
          <w:tcPr>
            <w:tcW w:w="9044" w:type="dxa"/>
            <w:gridSpan w:val="2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微软雅黑" w:hAnsi="微软雅黑" w:eastAsia="微软雅黑" w:cs="微软雅黑"/>
                <w:b/>
                <w:color w:val="000000" w:themeColor="text1"/>
                <w:kern w:val="0"/>
                <w:sz w:val="28"/>
                <w:szCs w:val="28"/>
                <w14:textFill>
                  <w14:solidFill>
                    <w14:schemeClr w14:val="tx1"/>
                  </w14:solidFill>
                </w14:textFill>
              </w:rPr>
            </w:pPr>
            <w:r>
              <w:rPr>
                <w:rFonts w:hint="eastAsia" w:ascii="微软雅黑" w:hAnsi="微软雅黑" w:eastAsia="微软雅黑" w:cs="微软雅黑"/>
                <w:b/>
                <w:color w:val="000000" w:themeColor="text1"/>
                <w:kern w:val="0"/>
                <w:sz w:val="28"/>
                <w:szCs w:val="28"/>
                <w:lang w:bidi="ar"/>
                <w14:textFill>
                  <w14:solidFill>
                    <w14:schemeClr w14:val="tx1"/>
                  </w14:solidFill>
                </w14:textFill>
              </w:rPr>
              <w:t>绩效指标</w:t>
            </w:r>
          </w:p>
        </w:tc>
      </w:tr>
      <w:tr>
        <w:tblPrEx>
          <w:tblCellMar>
            <w:top w:w="15" w:type="dxa"/>
            <w:left w:w="15" w:type="dxa"/>
            <w:bottom w:w="15" w:type="dxa"/>
            <w:right w:w="15" w:type="dxa"/>
          </w:tblCellMar>
        </w:tblPrEx>
        <w:trPr>
          <w:trHeight w:val="495" w:hRule="atLeast"/>
        </w:trPr>
        <w:tc>
          <w:tcPr>
            <w:tcW w:w="11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指标名称</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计量单位</w:t>
            </w:r>
          </w:p>
        </w:tc>
        <w:tc>
          <w:tcPr>
            <w:tcW w:w="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指标性质</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指标值</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全年完成值</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偏离度（%）</w:t>
            </w:r>
          </w:p>
        </w:tc>
        <w:tc>
          <w:tcPr>
            <w:tcW w:w="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得分系数（%）</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指标权重</w:t>
            </w:r>
          </w:p>
        </w:tc>
        <w:tc>
          <w:tcPr>
            <w:tcW w:w="6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指标得分</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是否核心指标</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说明</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市财政局建议</w:t>
            </w:r>
          </w:p>
        </w:tc>
      </w:tr>
      <w:tr>
        <w:tblPrEx>
          <w:tblCellMar>
            <w:top w:w="15" w:type="dxa"/>
            <w:left w:w="15" w:type="dxa"/>
            <w:bottom w:w="15" w:type="dxa"/>
            <w:right w:w="15" w:type="dxa"/>
          </w:tblCellMar>
        </w:tblPrEx>
        <w:trPr>
          <w:trHeight w:val="495" w:hRule="atLeast"/>
        </w:trPr>
        <w:tc>
          <w:tcPr>
            <w:tcW w:w="11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安全事故发生次数</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次</w:t>
            </w:r>
          </w:p>
        </w:tc>
        <w:tc>
          <w:tcPr>
            <w:tcW w:w="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w:t>
            </w:r>
          </w:p>
        </w:tc>
        <w:tc>
          <w:tcPr>
            <w:tcW w:w="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w:t>
            </w:r>
          </w:p>
        </w:tc>
        <w:tc>
          <w:tcPr>
            <w:tcW w:w="6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kern w:val="0"/>
                <w:sz w:val="22"/>
                <w:szCs w:val="22"/>
                <w14:textFill>
                  <w14:solidFill>
                    <w14:schemeClr w14:val="tx1"/>
                  </w14:solidFill>
                </w14:textFill>
              </w:rPr>
            </w:pP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kern w:val="0"/>
                <w:sz w:val="22"/>
                <w:szCs w:val="22"/>
                <w14:textFill>
                  <w14:solidFill>
                    <w14:schemeClr w14:val="tx1"/>
                  </w14:solidFill>
                </w14:textFill>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kern w:val="0"/>
                <w:sz w:val="22"/>
                <w:szCs w:val="22"/>
                <w14:textFill>
                  <w14:solidFill>
                    <w14:schemeClr w14:val="tx1"/>
                  </w14:solidFill>
                </w14:textFill>
              </w:rPr>
            </w:pPr>
          </w:p>
        </w:tc>
      </w:tr>
      <w:tr>
        <w:tblPrEx>
          <w:tblCellMar>
            <w:top w:w="15" w:type="dxa"/>
            <w:left w:w="15" w:type="dxa"/>
            <w:bottom w:w="15" w:type="dxa"/>
            <w:right w:w="15" w:type="dxa"/>
          </w:tblCellMar>
        </w:tblPrEx>
        <w:trPr>
          <w:trHeight w:val="495" w:hRule="atLeast"/>
        </w:trPr>
        <w:tc>
          <w:tcPr>
            <w:tcW w:w="11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公共设施完好率</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90</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w:t>
            </w:r>
          </w:p>
        </w:tc>
        <w:tc>
          <w:tcPr>
            <w:tcW w:w="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20</w:t>
            </w:r>
          </w:p>
        </w:tc>
        <w:tc>
          <w:tcPr>
            <w:tcW w:w="6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20</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kern w:val="0"/>
                <w:sz w:val="22"/>
                <w:szCs w:val="22"/>
                <w14:textFill>
                  <w14:solidFill>
                    <w14:schemeClr w14:val="tx1"/>
                  </w14:solidFill>
                </w14:textFill>
              </w:rPr>
            </w:pP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kern w:val="0"/>
                <w:sz w:val="22"/>
                <w:szCs w:val="22"/>
                <w14:textFill>
                  <w14:solidFill>
                    <w14:schemeClr w14:val="tx1"/>
                  </w14:solidFill>
                </w14:textFill>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kern w:val="0"/>
                <w:sz w:val="22"/>
                <w:szCs w:val="22"/>
                <w14:textFill>
                  <w14:solidFill>
                    <w14:schemeClr w14:val="tx1"/>
                  </w14:solidFill>
                </w14:textFill>
              </w:rPr>
            </w:pPr>
          </w:p>
        </w:tc>
      </w:tr>
      <w:tr>
        <w:tblPrEx>
          <w:tblCellMar>
            <w:top w:w="15" w:type="dxa"/>
            <w:left w:w="15" w:type="dxa"/>
            <w:bottom w:w="15" w:type="dxa"/>
            <w:right w:w="15" w:type="dxa"/>
          </w:tblCellMar>
        </w:tblPrEx>
        <w:trPr>
          <w:trHeight w:val="495" w:hRule="atLeast"/>
        </w:trPr>
        <w:tc>
          <w:tcPr>
            <w:tcW w:w="11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整体目标完成率</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90</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w:t>
            </w:r>
          </w:p>
        </w:tc>
        <w:tc>
          <w:tcPr>
            <w:tcW w:w="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20</w:t>
            </w:r>
          </w:p>
        </w:tc>
        <w:tc>
          <w:tcPr>
            <w:tcW w:w="6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20</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kern w:val="0"/>
                <w:sz w:val="22"/>
                <w:szCs w:val="22"/>
                <w14:textFill>
                  <w14:solidFill>
                    <w14:schemeClr w14:val="tx1"/>
                  </w14:solidFill>
                </w14:textFill>
              </w:rPr>
            </w:pP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kern w:val="0"/>
                <w:sz w:val="22"/>
                <w:szCs w:val="22"/>
                <w14:textFill>
                  <w14:solidFill>
                    <w14:schemeClr w14:val="tx1"/>
                  </w14:solidFill>
                </w14:textFill>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kern w:val="0"/>
                <w:sz w:val="22"/>
                <w:szCs w:val="22"/>
                <w14:textFill>
                  <w14:solidFill>
                    <w14:schemeClr w14:val="tx1"/>
                  </w14:solidFill>
                </w14:textFill>
              </w:rPr>
            </w:pPr>
          </w:p>
        </w:tc>
      </w:tr>
      <w:tr>
        <w:tblPrEx>
          <w:tblCellMar>
            <w:top w:w="15" w:type="dxa"/>
            <w:left w:w="15" w:type="dxa"/>
            <w:bottom w:w="15" w:type="dxa"/>
            <w:right w:w="15" w:type="dxa"/>
          </w:tblCellMar>
        </w:tblPrEx>
        <w:trPr>
          <w:trHeight w:val="495" w:hRule="atLeast"/>
        </w:trPr>
        <w:tc>
          <w:tcPr>
            <w:tcW w:w="11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公共设施维护及时率</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90</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w:t>
            </w:r>
          </w:p>
        </w:tc>
        <w:tc>
          <w:tcPr>
            <w:tcW w:w="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w:t>
            </w:r>
          </w:p>
        </w:tc>
        <w:tc>
          <w:tcPr>
            <w:tcW w:w="6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kern w:val="0"/>
                <w:sz w:val="22"/>
                <w:szCs w:val="22"/>
                <w14:textFill>
                  <w14:solidFill>
                    <w14:schemeClr w14:val="tx1"/>
                  </w14:solidFill>
                </w14:textFill>
              </w:rPr>
            </w:pP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kern w:val="0"/>
                <w:sz w:val="22"/>
                <w:szCs w:val="22"/>
                <w14:textFill>
                  <w14:solidFill>
                    <w14:schemeClr w14:val="tx1"/>
                  </w14:solidFill>
                </w14:textFill>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kern w:val="0"/>
                <w:sz w:val="22"/>
                <w:szCs w:val="22"/>
                <w14:textFill>
                  <w14:solidFill>
                    <w14:schemeClr w14:val="tx1"/>
                  </w14:solidFill>
                </w14:textFill>
              </w:rPr>
            </w:pPr>
          </w:p>
        </w:tc>
      </w:tr>
      <w:tr>
        <w:tblPrEx>
          <w:tblCellMar>
            <w:top w:w="15" w:type="dxa"/>
            <w:left w:w="15" w:type="dxa"/>
            <w:bottom w:w="15" w:type="dxa"/>
            <w:right w:w="15" w:type="dxa"/>
          </w:tblCellMar>
        </w:tblPrEx>
        <w:trPr>
          <w:trHeight w:val="495" w:hRule="atLeast"/>
        </w:trPr>
        <w:tc>
          <w:tcPr>
            <w:tcW w:w="11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社会救助及时率</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90</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w:t>
            </w:r>
          </w:p>
        </w:tc>
        <w:tc>
          <w:tcPr>
            <w:tcW w:w="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20</w:t>
            </w:r>
          </w:p>
        </w:tc>
        <w:tc>
          <w:tcPr>
            <w:tcW w:w="6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20</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kern w:val="0"/>
                <w:sz w:val="22"/>
                <w:szCs w:val="22"/>
                <w14:textFill>
                  <w14:solidFill>
                    <w14:schemeClr w14:val="tx1"/>
                  </w14:solidFill>
                </w14:textFill>
              </w:rPr>
            </w:pP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kern w:val="0"/>
                <w:sz w:val="22"/>
                <w:szCs w:val="22"/>
                <w14:textFill>
                  <w14:solidFill>
                    <w14:schemeClr w14:val="tx1"/>
                  </w14:solidFill>
                </w14:textFill>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kern w:val="0"/>
                <w:sz w:val="22"/>
                <w:szCs w:val="22"/>
                <w14:textFill>
                  <w14:solidFill>
                    <w14:schemeClr w14:val="tx1"/>
                  </w14:solidFill>
                </w14:textFill>
              </w:rPr>
            </w:pPr>
          </w:p>
        </w:tc>
      </w:tr>
      <w:tr>
        <w:tblPrEx>
          <w:tblCellMar>
            <w:top w:w="15" w:type="dxa"/>
            <w:left w:w="15" w:type="dxa"/>
            <w:bottom w:w="15" w:type="dxa"/>
            <w:right w:w="15" w:type="dxa"/>
          </w:tblCellMar>
        </w:tblPrEx>
        <w:trPr>
          <w:trHeight w:val="495" w:hRule="atLeast"/>
        </w:trPr>
        <w:tc>
          <w:tcPr>
            <w:tcW w:w="11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辖区居民满意度</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90</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w:t>
            </w:r>
          </w:p>
        </w:tc>
        <w:tc>
          <w:tcPr>
            <w:tcW w:w="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20</w:t>
            </w:r>
          </w:p>
        </w:tc>
        <w:tc>
          <w:tcPr>
            <w:tcW w:w="6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20</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kern w:val="0"/>
                <w:sz w:val="22"/>
                <w:szCs w:val="22"/>
                <w14:textFill>
                  <w14:solidFill>
                    <w14:schemeClr w14:val="tx1"/>
                  </w14:solidFill>
                </w14:textFill>
              </w:rPr>
            </w:pP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kern w:val="0"/>
                <w:sz w:val="22"/>
                <w:szCs w:val="22"/>
                <w14:textFill>
                  <w14:solidFill>
                    <w14:schemeClr w14:val="tx1"/>
                  </w14:solidFill>
                </w14:textFill>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kern w:val="0"/>
                <w:sz w:val="22"/>
                <w:szCs w:val="22"/>
                <w14:textFill>
                  <w14:solidFill>
                    <w14:schemeClr w14:val="tx1"/>
                  </w14:solidFill>
                </w14:textFill>
              </w:rPr>
            </w:pPr>
          </w:p>
        </w:tc>
      </w:tr>
    </w:tbl>
    <w:p>
      <w:pPr>
        <w:pStyle w:val="4"/>
        <w:widowControl/>
        <w:adjustRightInd w:val="0"/>
        <w:snapToGrid w:val="0"/>
        <w:spacing w:beforeAutospacing="0" w:afterAutospacing="0" w:line="594" w:lineRule="exact"/>
        <w:ind w:right="75" w:firstLine="643" w:firstLineChars="200"/>
        <w:rPr>
          <w:rStyle w:val="7"/>
          <w:rFonts w:ascii="方正仿宋_GBK" w:hAnsi="方正仿宋_GBK" w:eastAsia="方正仿宋_GBK" w:cs="方正仿宋_GBK"/>
          <w:b w:val="0"/>
          <w:shd w:val="clear" w:color="auto" w:fill="FFFFFF"/>
        </w:rPr>
      </w:pPr>
      <w:r>
        <w:rPr>
          <w:rStyle w:val="7"/>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（二）绩效自评结果。</w:t>
      </w:r>
    </w:p>
    <w:p>
      <w:pPr>
        <w:pStyle w:val="4"/>
        <w:widowControl/>
        <w:adjustRightInd w:val="0"/>
        <w:snapToGrid w:val="0"/>
        <w:spacing w:beforeAutospacing="0" w:afterAutospacing="0" w:line="594" w:lineRule="exact"/>
        <w:ind w:right="75" w:firstLine="643" w:firstLineChars="200"/>
        <w:rPr>
          <w:rStyle w:val="7"/>
          <w:rFonts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Style w:val="7"/>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1.绩效目标自评表。</w:t>
      </w:r>
    </w:p>
    <w:p>
      <w:pPr>
        <w:pStyle w:val="4"/>
        <w:widowControl/>
        <w:adjustRightInd w:val="0"/>
        <w:snapToGrid w:val="0"/>
        <w:spacing w:beforeAutospacing="0" w:afterAutospacing="0" w:line="594" w:lineRule="exact"/>
        <w:ind w:right="75" w:firstLine="643" w:firstLineChars="200"/>
        <w:rPr>
          <w:rStyle w:val="7"/>
          <w:rFonts w:ascii="方正仿宋_GBK" w:hAnsi="方正仿宋_GBK" w:eastAsia="方正仿宋_GBK" w:cs="方正仿宋_GBK"/>
          <w:b w:val="0"/>
          <w:color w:val="000000" w:themeColor="text1"/>
          <w:sz w:val="32"/>
          <w:szCs w:val="32"/>
          <w:shd w:val="clear" w:color="auto" w:fill="FFFFFF"/>
          <w14:textFill>
            <w14:solidFill>
              <w14:schemeClr w14:val="tx1"/>
            </w14:solidFill>
          </w14:textFill>
        </w:rPr>
      </w:pPr>
      <w:r>
        <w:rPr>
          <w:rStyle w:val="7"/>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（1）地质灾害防治专项。</w:t>
      </w: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2022年我部门对地质灾害防治专项项目开展了绩效评价，涉及财政拨款项目资金445.57万元，执行率100%，自评总分100分。项目提供中梁镇17户56人住房重建安置补偿，使其得到有效安置。</w:t>
      </w:r>
    </w:p>
    <w:tbl>
      <w:tblPr>
        <w:tblStyle w:val="5"/>
        <w:tblW w:w="9044" w:type="dxa"/>
        <w:tblInd w:w="0" w:type="dxa"/>
        <w:tblLayout w:type="fixed"/>
        <w:tblCellMar>
          <w:top w:w="15" w:type="dxa"/>
          <w:left w:w="15" w:type="dxa"/>
          <w:bottom w:w="15" w:type="dxa"/>
          <w:right w:w="15" w:type="dxa"/>
        </w:tblCellMar>
      </w:tblPr>
      <w:tblGrid>
        <w:gridCol w:w="858"/>
        <w:gridCol w:w="108"/>
        <w:gridCol w:w="240"/>
        <w:gridCol w:w="451"/>
        <w:gridCol w:w="451"/>
        <w:gridCol w:w="72"/>
        <w:gridCol w:w="125"/>
        <w:gridCol w:w="442"/>
        <w:gridCol w:w="444"/>
        <w:gridCol w:w="390"/>
        <w:gridCol w:w="922"/>
        <w:gridCol w:w="354"/>
        <w:gridCol w:w="34"/>
        <w:gridCol w:w="747"/>
        <w:gridCol w:w="275"/>
        <w:gridCol w:w="295"/>
        <w:gridCol w:w="211"/>
        <w:gridCol w:w="492"/>
        <w:gridCol w:w="501"/>
        <w:gridCol w:w="696"/>
        <w:gridCol w:w="96"/>
        <w:gridCol w:w="840"/>
      </w:tblGrid>
      <w:tr>
        <w:tblPrEx>
          <w:tblCellMar>
            <w:top w:w="15" w:type="dxa"/>
            <w:left w:w="15" w:type="dxa"/>
            <w:bottom w:w="15" w:type="dxa"/>
            <w:right w:w="15" w:type="dxa"/>
          </w:tblCellMar>
        </w:tblPrEx>
        <w:trPr>
          <w:trHeight w:val="795" w:hRule="atLeast"/>
        </w:trPr>
        <w:tc>
          <w:tcPr>
            <w:tcW w:w="9044"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center"/>
              <w:outlineLvl w:val="9"/>
              <w:rPr>
                <w:rFonts w:ascii="微软雅黑" w:hAnsi="微软雅黑" w:eastAsia="微软雅黑" w:cs="微软雅黑"/>
                <w:b/>
                <w:color w:val="000000" w:themeColor="text1"/>
                <w:sz w:val="40"/>
                <w:szCs w:val="40"/>
                <w14:textFill>
                  <w14:solidFill>
                    <w14:schemeClr w14:val="tx1"/>
                  </w14:solidFill>
                </w14:textFill>
              </w:rPr>
            </w:pPr>
            <w:r>
              <w:rPr>
                <w:rFonts w:hint="eastAsia" w:ascii="微软雅黑" w:hAnsi="微软雅黑" w:eastAsia="微软雅黑" w:cs="微软雅黑"/>
                <w:b/>
                <w:color w:val="000000" w:themeColor="text1"/>
                <w:kern w:val="0"/>
                <w:sz w:val="40"/>
                <w:szCs w:val="40"/>
                <w:lang w:bidi="ar"/>
                <w14:textFill>
                  <w14:solidFill>
                    <w14:schemeClr w14:val="tx1"/>
                  </w14:solidFill>
                </w14:textFill>
              </w:rPr>
              <w:t>2022年度二级项目绩效自评表</w:t>
            </w:r>
          </w:p>
        </w:tc>
      </w:tr>
      <w:tr>
        <w:tblPrEx>
          <w:tblCellMar>
            <w:top w:w="15" w:type="dxa"/>
            <w:left w:w="15" w:type="dxa"/>
            <w:bottom w:w="15" w:type="dxa"/>
            <w:right w:w="15" w:type="dxa"/>
          </w:tblCellMar>
        </w:tblPrEx>
        <w:trPr>
          <w:trHeight w:val="49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项目名称</w:t>
            </w:r>
          </w:p>
        </w:tc>
        <w:tc>
          <w:tcPr>
            <w:tcW w:w="12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地质灾害防治专项</w:t>
            </w:r>
          </w:p>
        </w:tc>
        <w:tc>
          <w:tcPr>
            <w:tcW w:w="10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项目编码</w:t>
            </w:r>
          </w:p>
        </w:tc>
        <w:tc>
          <w:tcPr>
            <w:tcW w:w="1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50010622T000000126774</w:t>
            </w:r>
          </w:p>
        </w:tc>
        <w:tc>
          <w:tcPr>
            <w:tcW w:w="13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自评总分</w:t>
            </w:r>
          </w:p>
        </w:tc>
        <w:tc>
          <w:tcPr>
            <w:tcW w:w="7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100.00</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b/>
                <w:color w:val="000000" w:themeColor="text1"/>
                <w:sz w:val="22"/>
                <w:szCs w:val="22"/>
                <w14:textFill>
                  <w14:solidFill>
                    <w14:schemeClr w14:val="tx1"/>
                  </w14:solidFill>
                </w14:textFill>
              </w:rPr>
            </w:pP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495" w:hRule="atLeast"/>
        </w:trPr>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项目主管部门</w:t>
            </w:r>
          </w:p>
        </w:tc>
        <w:tc>
          <w:tcPr>
            <w:tcW w:w="12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902-重庆市沙坪坝区中梁镇</w:t>
            </w:r>
          </w:p>
        </w:tc>
        <w:tc>
          <w:tcPr>
            <w:tcW w:w="10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财政归口处室</w:t>
            </w:r>
          </w:p>
        </w:tc>
        <w:tc>
          <w:tcPr>
            <w:tcW w:w="17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003-预算科</w:t>
            </w:r>
          </w:p>
        </w:tc>
        <w:tc>
          <w:tcPr>
            <w:tcW w:w="13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部门联系人</w:t>
            </w:r>
          </w:p>
        </w:tc>
        <w:tc>
          <w:tcPr>
            <w:tcW w:w="7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杨海波</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联系电话</w:t>
            </w:r>
          </w:p>
        </w:tc>
        <w:tc>
          <w:tcPr>
            <w:tcW w:w="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15123319410</w:t>
            </w:r>
          </w:p>
        </w:tc>
      </w:tr>
      <w:tr>
        <w:tblPrEx>
          <w:tblCellMar>
            <w:top w:w="15" w:type="dxa"/>
            <w:left w:w="15" w:type="dxa"/>
            <w:bottom w:w="15" w:type="dxa"/>
            <w:right w:w="15" w:type="dxa"/>
          </w:tblCellMar>
        </w:tblPrEx>
        <w:trPr>
          <w:trHeight w:val="600" w:hRule="atLeast"/>
        </w:trPr>
        <w:tc>
          <w:tcPr>
            <w:tcW w:w="9044"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微软雅黑" w:hAnsi="微软雅黑" w:eastAsia="微软雅黑" w:cs="微软雅黑"/>
                <w:b/>
                <w:color w:val="000000" w:themeColor="text1"/>
                <w:sz w:val="28"/>
                <w:szCs w:val="28"/>
                <w14:textFill>
                  <w14:solidFill>
                    <w14:schemeClr w14:val="tx1"/>
                  </w14:solidFill>
                </w14:textFill>
              </w:rPr>
            </w:pPr>
            <w:r>
              <w:rPr>
                <w:rFonts w:hint="eastAsia" w:ascii="微软雅黑" w:hAnsi="微软雅黑" w:eastAsia="微软雅黑" w:cs="微软雅黑"/>
                <w:b/>
                <w:color w:val="000000" w:themeColor="text1"/>
                <w:kern w:val="0"/>
                <w:sz w:val="28"/>
                <w:szCs w:val="28"/>
                <w:lang w:bidi="ar"/>
                <w14:textFill>
                  <w14:solidFill>
                    <w14:schemeClr w14:val="tx1"/>
                  </w14:solidFill>
                </w14:textFill>
              </w:rPr>
              <w:t>资金情况</w:t>
            </w:r>
          </w:p>
        </w:tc>
      </w:tr>
      <w:tr>
        <w:tblPrEx>
          <w:tblCellMar>
            <w:top w:w="15" w:type="dxa"/>
            <w:left w:w="15" w:type="dxa"/>
            <w:bottom w:w="15" w:type="dxa"/>
            <w:right w:w="15" w:type="dxa"/>
          </w:tblCellMar>
        </w:tblPrEx>
        <w:trPr>
          <w:trHeight w:val="495" w:hRule="atLeast"/>
        </w:trPr>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10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年初预算数</w:t>
            </w:r>
          </w:p>
        </w:tc>
        <w:tc>
          <w:tcPr>
            <w:tcW w:w="21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全年（调整）预算数</w:t>
            </w:r>
          </w:p>
        </w:tc>
        <w:tc>
          <w:tcPr>
            <w:tcW w:w="191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全年执行数</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执行率</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执行率权重</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执行率得分</w:t>
            </w:r>
          </w:p>
        </w:tc>
      </w:tr>
      <w:tr>
        <w:tblPrEx>
          <w:tblCellMar>
            <w:top w:w="15" w:type="dxa"/>
            <w:left w:w="15" w:type="dxa"/>
            <w:bottom w:w="15" w:type="dxa"/>
            <w:right w:w="15" w:type="dxa"/>
          </w:tblCellMar>
        </w:tblPrEx>
        <w:trPr>
          <w:trHeight w:val="495" w:hRule="atLeast"/>
        </w:trPr>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年度总金额</w:t>
            </w:r>
          </w:p>
        </w:tc>
        <w:tc>
          <w:tcPr>
            <w:tcW w:w="10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0.00</w:t>
            </w:r>
          </w:p>
        </w:tc>
        <w:tc>
          <w:tcPr>
            <w:tcW w:w="21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4,455,700.00</w:t>
            </w:r>
          </w:p>
        </w:tc>
        <w:tc>
          <w:tcPr>
            <w:tcW w:w="191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4,455,700.00</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464" w:hRule="atLeast"/>
        </w:trPr>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其中：财政拨款</w:t>
            </w:r>
          </w:p>
        </w:tc>
        <w:tc>
          <w:tcPr>
            <w:tcW w:w="10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0.00</w:t>
            </w:r>
          </w:p>
        </w:tc>
        <w:tc>
          <w:tcPr>
            <w:tcW w:w="21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4,455,700.00</w:t>
            </w:r>
          </w:p>
        </w:tc>
        <w:tc>
          <w:tcPr>
            <w:tcW w:w="191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4,455,700.00</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10.00</w:t>
            </w:r>
          </w:p>
        </w:tc>
      </w:tr>
      <w:tr>
        <w:tblPrEx>
          <w:tblCellMar>
            <w:top w:w="15" w:type="dxa"/>
            <w:left w:w="15" w:type="dxa"/>
            <w:bottom w:w="15" w:type="dxa"/>
            <w:right w:w="15" w:type="dxa"/>
          </w:tblCellMar>
        </w:tblPrEx>
        <w:trPr>
          <w:trHeight w:val="524" w:hRule="atLeast"/>
        </w:trPr>
        <w:tc>
          <w:tcPr>
            <w:tcW w:w="9044"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微软雅黑" w:hAnsi="微软雅黑" w:eastAsia="微软雅黑" w:cs="微软雅黑"/>
                <w:b/>
                <w:color w:val="000000" w:themeColor="text1"/>
                <w:sz w:val="28"/>
                <w:szCs w:val="28"/>
                <w14:textFill>
                  <w14:solidFill>
                    <w14:schemeClr w14:val="tx1"/>
                  </w14:solidFill>
                </w14:textFill>
              </w:rPr>
            </w:pPr>
            <w:r>
              <w:rPr>
                <w:rFonts w:hint="eastAsia" w:ascii="微软雅黑" w:hAnsi="微软雅黑" w:eastAsia="微软雅黑" w:cs="微软雅黑"/>
                <w:b/>
                <w:color w:val="000000" w:themeColor="text1"/>
                <w:kern w:val="0"/>
                <w:sz w:val="28"/>
                <w:szCs w:val="28"/>
                <w:lang w:bidi="ar"/>
                <w14:textFill>
                  <w14:solidFill>
                    <w14:schemeClr w14:val="tx1"/>
                  </w14:solidFill>
                </w14:textFill>
              </w:rPr>
              <w:t>绩效目标</w:t>
            </w:r>
          </w:p>
        </w:tc>
      </w:tr>
      <w:tr>
        <w:tblPrEx>
          <w:tblCellMar>
            <w:top w:w="15" w:type="dxa"/>
            <w:left w:w="15" w:type="dxa"/>
            <w:bottom w:w="15" w:type="dxa"/>
            <w:right w:w="15" w:type="dxa"/>
          </w:tblCellMar>
        </w:tblPrEx>
        <w:trPr>
          <w:trHeight w:val="495" w:hRule="atLeast"/>
        </w:trPr>
        <w:tc>
          <w:tcPr>
            <w:tcW w:w="230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年初绩效目标</w:t>
            </w:r>
          </w:p>
        </w:tc>
        <w:tc>
          <w:tcPr>
            <w:tcW w:w="360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全年（调整）绩效目标</w:t>
            </w:r>
          </w:p>
        </w:tc>
        <w:tc>
          <w:tcPr>
            <w:tcW w:w="31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全年目标实际完成情况</w:t>
            </w:r>
          </w:p>
        </w:tc>
      </w:tr>
      <w:tr>
        <w:tblPrEx>
          <w:tblCellMar>
            <w:top w:w="15" w:type="dxa"/>
            <w:left w:w="15" w:type="dxa"/>
            <w:bottom w:w="15" w:type="dxa"/>
            <w:right w:w="15" w:type="dxa"/>
          </w:tblCellMar>
        </w:tblPrEx>
        <w:trPr>
          <w:trHeight w:val="1949" w:hRule="atLeast"/>
        </w:trPr>
        <w:tc>
          <w:tcPr>
            <w:tcW w:w="230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360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top"/>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保证中梁镇新发村地面塌陷治理工程正常实施，对新发村、永宁寺村11处地面塌陷得到有效治理，排除安全隐患；二是对歇马隧道搬迁避让户17户56人实施住房重建安置补偿，使其得到有效安置。</w:t>
            </w:r>
          </w:p>
        </w:tc>
        <w:tc>
          <w:tcPr>
            <w:tcW w:w="31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top"/>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中梁镇新发村地面塌陷治理工程正常实施，新发村、永宁寺村11处地面塌陷得到有效治理，排除安全隐患；歇马隧道搬迁避让户17户56人实施住房重建安置补偿，得到有效安置。</w:t>
            </w:r>
          </w:p>
        </w:tc>
      </w:tr>
      <w:tr>
        <w:tblPrEx>
          <w:tblCellMar>
            <w:top w:w="15" w:type="dxa"/>
            <w:left w:w="15" w:type="dxa"/>
            <w:bottom w:w="15" w:type="dxa"/>
            <w:right w:w="15" w:type="dxa"/>
          </w:tblCellMar>
        </w:tblPrEx>
        <w:trPr>
          <w:trHeight w:val="600" w:hRule="atLeast"/>
        </w:trPr>
        <w:tc>
          <w:tcPr>
            <w:tcW w:w="9044"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微软雅黑" w:hAnsi="微软雅黑" w:eastAsia="微软雅黑" w:cs="微软雅黑"/>
                <w:b/>
                <w:color w:val="000000" w:themeColor="text1"/>
                <w:sz w:val="28"/>
                <w:szCs w:val="28"/>
                <w14:textFill>
                  <w14:solidFill>
                    <w14:schemeClr w14:val="tx1"/>
                  </w14:solidFill>
                </w14:textFill>
              </w:rPr>
            </w:pPr>
            <w:bookmarkStart w:id="0" w:name="_GoBack"/>
            <w:bookmarkEnd w:id="0"/>
            <w:r>
              <w:rPr>
                <w:rFonts w:hint="eastAsia" w:ascii="微软雅黑" w:hAnsi="微软雅黑" w:eastAsia="微软雅黑" w:cs="微软雅黑"/>
                <w:b/>
                <w:color w:val="000000" w:themeColor="text1"/>
                <w:kern w:val="0"/>
                <w:sz w:val="28"/>
                <w:szCs w:val="28"/>
                <w:lang w:bidi="ar"/>
                <w14:textFill>
                  <w14:solidFill>
                    <w14:schemeClr w14:val="tx1"/>
                  </w14:solidFill>
                </w14:textFill>
              </w:rPr>
              <w:t>绩效指标</w:t>
            </w:r>
          </w:p>
        </w:tc>
      </w:tr>
      <w:tr>
        <w:tblPrEx>
          <w:tblCellMar>
            <w:top w:w="15" w:type="dxa"/>
            <w:left w:w="15" w:type="dxa"/>
            <w:bottom w:w="15" w:type="dxa"/>
            <w:right w:w="15" w:type="dxa"/>
          </w:tblCellMar>
        </w:tblPrEx>
        <w:trPr>
          <w:trHeight w:val="495" w:hRule="atLeast"/>
        </w:trPr>
        <w:tc>
          <w:tcPr>
            <w:tcW w:w="9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指标名称</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计量单位</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指标性质</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指标值</w:t>
            </w:r>
          </w:p>
        </w:tc>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全年完成值</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偏离度（%）</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得分系数（%）</w:t>
            </w:r>
          </w:p>
        </w:tc>
        <w:tc>
          <w:tcPr>
            <w:tcW w:w="7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指标权重</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指标得分</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是否核心指标</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说明</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市财政局建议</w:t>
            </w:r>
          </w:p>
        </w:tc>
      </w:tr>
      <w:tr>
        <w:tblPrEx>
          <w:tblCellMar>
            <w:top w:w="15" w:type="dxa"/>
            <w:left w:w="15" w:type="dxa"/>
            <w:bottom w:w="15" w:type="dxa"/>
            <w:right w:w="15" w:type="dxa"/>
          </w:tblCellMar>
        </w:tblPrEx>
        <w:trPr>
          <w:trHeight w:val="495" w:hRule="atLeast"/>
        </w:trPr>
        <w:tc>
          <w:tcPr>
            <w:tcW w:w="9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搬迁避让户安置户数</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户</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17</w:t>
            </w:r>
          </w:p>
        </w:tc>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17</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w:t>
            </w:r>
          </w:p>
        </w:tc>
        <w:tc>
          <w:tcPr>
            <w:tcW w:w="7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30</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30</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495" w:hRule="atLeast"/>
        </w:trPr>
        <w:tc>
          <w:tcPr>
            <w:tcW w:w="9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治理塌陷处数</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处</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11</w:t>
            </w:r>
          </w:p>
        </w:tc>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11</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w:t>
            </w:r>
          </w:p>
        </w:tc>
        <w:tc>
          <w:tcPr>
            <w:tcW w:w="7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30</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30</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495" w:hRule="atLeast"/>
        </w:trPr>
        <w:tc>
          <w:tcPr>
            <w:tcW w:w="9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地面塌陷治理成效</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处</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定性</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良</w:t>
            </w:r>
          </w:p>
        </w:tc>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w:t>
            </w:r>
          </w:p>
        </w:tc>
        <w:tc>
          <w:tcPr>
            <w:tcW w:w="7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20</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20</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495" w:hRule="atLeast"/>
        </w:trPr>
        <w:tc>
          <w:tcPr>
            <w:tcW w:w="9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搬迁避让户对安置工作的满意情况</w:t>
            </w:r>
          </w:p>
        </w:tc>
        <w:tc>
          <w:tcPr>
            <w:tcW w:w="6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90</w:t>
            </w:r>
          </w:p>
        </w:tc>
        <w:tc>
          <w:tcPr>
            <w:tcW w:w="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w:t>
            </w:r>
          </w:p>
        </w:tc>
        <w:tc>
          <w:tcPr>
            <w:tcW w:w="7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r>
    </w:tbl>
    <w:p>
      <w:pPr>
        <w:pStyle w:val="4"/>
        <w:widowControl/>
        <w:adjustRightInd w:val="0"/>
        <w:snapToGrid w:val="0"/>
        <w:spacing w:beforeAutospacing="0" w:afterAutospacing="0" w:line="594" w:lineRule="exact"/>
        <w:ind w:right="75" w:firstLine="640" w:firstLineChars="200"/>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pPr>
    </w:p>
    <w:p>
      <w:pPr>
        <w:pStyle w:val="4"/>
        <w:widowControl/>
        <w:adjustRightInd w:val="0"/>
        <w:snapToGrid w:val="0"/>
        <w:spacing w:beforeAutospacing="0" w:afterAutospacing="0" w:line="594" w:lineRule="exact"/>
        <w:ind w:right="75" w:firstLine="640" w:firstLineChars="200"/>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pPr>
    </w:p>
    <w:p>
      <w:pPr>
        <w:pStyle w:val="4"/>
        <w:widowControl/>
        <w:adjustRightInd w:val="0"/>
        <w:snapToGrid w:val="0"/>
        <w:spacing w:beforeAutospacing="0" w:afterAutospacing="0" w:line="594" w:lineRule="exact"/>
        <w:ind w:right="75" w:firstLine="640" w:firstLineChars="200"/>
        <w:rPr>
          <w:rStyle w:val="7"/>
          <w:b w:val="0"/>
          <w:color w:val="000000" w:themeColor="text1"/>
          <w:sz w:val="32"/>
          <w:szCs w:val="32"/>
          <w:shd w:val="clear" w:color="auto" w:fill="FFFFFF"/>
          <w14:textFill>
            <w14:solidFill>
              <w14:schemeClr w14:val="tx1"/>
            </w14:solidFill>
          </w14:textFill>
        </w:rPr>
      </w:pP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2）2022年车辆购置税收入补助地方资金（第一批）省道及农村公路项目。2022年我部门对2022年车辆购置税收入补助地方资金（第一批）省道及农村公路项目开展了绩效评价，涉及财政拨款项目资金361万元，执行率100%，自评总分100分。项目新改建农村道路4.8公里。</w:t>
      </w:r>
    </w:p>
    <w:tbl>
      <w:tblPr>
        <w:tblStyle w:val="5"/>
        <w:tblW w:w="9044" w:type="dxa"/>
        <w:tblInd w:w="0" w:type="dxa"/>
        <w:tblLayout w:type="fixed"/>
        <w:tblCellMar>
          <w:top w:w="15" w:type="dxa"/>
          <w:left w:w="15" w:type="dxa"/>
          <w:bottom w:w="15" w:type="dxa"/>
          <w:right w:w="15" w:type="dxa"/>
        </w:tblCellMar>
      </w:tblPr>
      <w:tblGrid>
        <w:gridCol w:w="585"/>
        <w:gridCol w:w="373"/>
        <w:gridCol w:w="204"/>
        <w:gridCol w:w="487"/>
        <w:gridCol w:w="663"/>
        <w:gridCol w:w="529"/>
        <w:gridCol w:w="747"/>
        <w:gridCol w:w="270"/>
        <w:gridCol w:w="1006"/>
        <w:gridCol w:w="160"/>
        <w:gridCol w:w="621"/>
        <w:gridCol w:w="129"/>
        <w:gridCol w:w="652"/>
        <w:gridCol w:w="315"/>
        <w:gridCol w:w="172"/>
        <w:gridCol w:w="428"/>
        <w:gridCol w:w="68"/>
        <w:gridCol w:w="792"/>
        <w:gridCol w:w="843"/>
      </w:tblGrid>
      <w:tr>
        <w:tblPrEx>
          <w:tblCellMar>
            <w:top w:w="15" w:type="dxa"/>
            <w:left w:w="15" w:type="dxa"/>
            <w:bottom w:w="15" w:type="dxa"/>
            <w:right w:w="15" w:type="dxa"/>
          </w:tblCellMar>
        </w:tblPrEx>
        <w:trPr>
          <w:trHeight w:val="795" w:hRule="atLeast"/>
        </w:trPr>
        <w:tc>
          <w:tcPr>
            <w:tcW w:w="9044"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center"/>
              <w:outlineLvl w:val="9"/>
              <w:rPr>
                <w:rFonts w:ascii="微软雅黑" w:hAnsi="微软雅黑" w:eastAsia="微软雅黑" w:cs="微软雅黑"/>
                <w:b/>
                <w:color w:val="000000" w:themeColor="text1"/>
                <w:sz w:val="40"/>
                <w:szCs w:val="40"/>
                <w14:textFill>
                  <w14:solidFill>
                    <w14:schemeClr w14:val="tx1"/>
                  </w14:solidFill>
                </w14:textFill>
              </w:rPr>
            </w:pPr>
            <w:r>
              <w:rPr>
                <w:rFonts w:hint="eastAsia" w:ascii="微软雅黑" w:hAnsi="微软雅黑" w:eastAsia="微软雅黑" w:cs="微软雅黑"/>
                <w:b/>
                <w:color w:val="000000" w:themeColor="text1"/>
                <w:kern w:val="0"/>
                <w:sz w:val="40"/>
                <w:szCs w:val="40"/>
                <w:lang w:bidi="ar"/>
                <w14:textFill>
                  <w14:solidFill>
                    <w14:schemeClr w14:val="tx1"/>
                  </w14:solidFill>
                </w14:textFill>
              </w:rPr>
              <w:t>2022年度二级项目绩效自评表</w:t>
            </w:r>
          </w:p>
        </w:tc>
      </w:tr>
      <w:tr>
        <w:tblPrEx>
          <w:tblCellMar>
            <w:top w:w="15" w:type="dxa"/>
            <w:left w:w="15" w:type="dxa"/>
            <w:bottom w:w="15" w:type="dxa"/>
            <w:right w:w="15" w:type="dxa"/>
          </w:tblCellMar>
        </w:tblPrEx>
        <w:trPr>
          <w:trHeight w:val="495" w:hRule="atLeast"/>
        </w:trPr>
        <w:tc>
          <w:tcPr>
            <w:tcW w:w="9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项目名称</w:t>
            </w:r>
          </w:p>
        </w:tc>
        <w:tc>
          <w:tcPr>
            <w:tcW w:w="18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2022年车辆购置税收入补助地方资金（第一批）省道及农村公路项目</w:t>
            </w: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项目编码</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50010622T000002425997</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自评总分</w:t>
            </w: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100.00</w:t>
            </w: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left"/>
              <w:outlineLvl w:val="9"/>
              <w:rPr>
                <w:rFonts w:ascii="宋体" w:hAnsi="宋体" w:eastAsia="宋体" w:cs="宋体"/>
                <w:b/>
                <w:color w:val="000000" w:themeColor="text1"/>
                <w:sz w:val="22"/>
                <w:szCs w:val="22"/>
                <w14:textFill>
                  <w14:solidFill>
                    <w14:schemeClr w14:val="tx1"/>
                  </w14:solidFill>
                </w14:textFill>
              </w:rPr>
            </w:pPr>
          </w:p>
        </w:tc>
        <w:tc>
          <w:tcPr>
            <w:tcW w:w="17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left"/>
              <w:outlineLvl w:val="9"/>
              <w:rPr>
                <w:rFonts w:ascii="宋体" w:hAnsi="宋体" w:eastAsia="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495" w:hRule="atLeast"/>
        </w:trPr>
        <w:tc>
          <w:tcPr>
            <w:tcW w:w="9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项目主管部门</w:t>
            </w:r>
          </w:p>
        </w:tc>
        <w:tc>
          <w:tcPr>
            <w:tcW w:w="18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902-重庆市沙坪坝区中梁镇</w:t>
            </w: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财政归口处室</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003-预算科</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部门联系人</w:t>
            </w: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罗勇</w:t>
            </w: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联系电话</w:t>
            </w:r>
          </w:p>
        </w:tc>
        <w:tc>
          <w:tcPr>
            <w:tcW w:w="17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17830667196</w:t>
            </w:r>
          </w:p>
        </w:tc>
      </w:tr>
      <w:tr>
        <w:tblPrEx>
          <w:tblCellMar>
            <w:top w:w="15" w:type="dxa"/>
            <w:left w:w="15" w:type="dxa"/>
            <w:bottom w:w="15" w:type="dxa"/>
            <w:right w:w="15" w:type="dxa"/>
          </w:tblCellMar>
        </w:tblPrEx>
        <w:trPr>
          <w:trHeight w:val="600" w:hRule="atLeast"/>
        </w:trPr>
        <w:tc>
          <w:tcPr>
            <w:tcW w:w="9044"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微软雅黑" w:hAnsi="微软雅黑" w:eastAsia="微软雅黑" w:cs="微软雅黑"/>
                <w:b/>
                <w:color w:val="000000" w:themeColor="text1"/>
                <w:sz w:val="28"/>
                <w:szCs w:val="28"/>
                <w14:textFill>
                  <w14:solidFill>
                    <w14:schemeClr w14:val="tx1"/>
                  </w14:solidFill>
                </w14:textFill>
              </w:rPr>
            </w:pPr>
            <w:r>
              <w:rPr>
                <w:rFonts w:hint="eastAsia" w:ascii="微软雅黑" w:hAnsi="微软雅黑" w:eastAsia="微软雅黑" w:cs="微软雅黑"/>
                <w:b/>
                <w:color w:val="000000" w:themeColor="text1"/>
                <w:kern w:val="0"/>
                <w:sz w:val="28"/>
                <w:szCs w:val="28"/>
                <w:lang w:bidi="ar"/>
                <w14:textFill>
                  <w14:solidFill>
                    <w14:schemeClr w14:val="tx1"/>
                  </w14:solidFill>
                </w14:textFill>
              </w:rPr>
              <w:t>资金情况</w:t>
            </w:r>
          </w:p>
        </w:tc>
      </w:tr>
      <w:tr>
        <w:tblPrEx>
          <w:tblCellMar>
            <w:top w:w="15" w:type="dxa"/>
            <w:left w:w="15" w:type="dxa"/>
            <w:bottom w:w="15" w:type="dxa"/>
            <w:right w:w="15" w:type="dxa"/>
          </w:tblCellMar>
        </w:tblPrEx>
        <w:trPr>
          <w:trHeight w:val="495" w:hRule="atLeast"/>
        </w:trPr>
        <w:tc>
          <w:tcPr>
            <w:tcW w:w="11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11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年初预算数</w:t>
            </w:r>
          </w:p>
        </w:tc>
        <w:tc>
          <w:tcPr>
            <w:tcW w:w="25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全年（调整）预算数</w:t>
            </w:r>
          </w:p>
        </w:tc>
        <w:tc>
          <w:tcPr>
            <w:tcW w:w="15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全年执行数</w:t>
            </w:r>
          </w:p>
        </w:tc>
        <w:tc>
          <w:tcPr>
            <w:tcW w:w="9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执行率</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执行率权重</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执行率得分</w:t>
            </w:r>
          </w:p>
        </w:tc>
      </w:tr>
      <w:tr>
        <w:tblPrEx>
          <w:tblCellMar>
            <w:top w:w="15" w:type="dxa"/>
            <w:left w:w="15" w:type="dxa"/>
            <w:bottom w:w="15" w:type="dxa"/>
            <w:right w:w="15" w:type="dxa"/>
          </w:tblCellMar>
        </w:tblPrEx>
        <w:trPr>
          <w:trHeight w:val="495" w:hRule="atLeast"/>
        </w:trPr>
        <w:tc>
          <w:tcPr>
            <w:tcW w:w="11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年度总金额</w:t>
            </w:r>
          </w:p>
        </w:tc>
        <w:tc>
          <w:tcPr>
            <w:tcW w:w="11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0.00</w:t>
            </w:r>
          </w:p>
        </w:tc>
        <w:tc>
          <w:tcPr>
            <w:tcW w:w="25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3,610,000.00</w:t>
            </w:r>
          </w:p>
        </w:tc>
        <w:tc>
          <w:tcPr>
            <w:tcW w:w="15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3,610,000.00</w:t>
            </w:r>
          </w:p>
        </w:tc>
        <w:tc>
          <w:tcPr>
            <w:tcW w:w="9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495" w:hRule="atLeast"/>
        </w:trPr>
        <w:tc>
          <w:tcPr>
            <w:tcW w:w="11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其中：财政拨款</w:t>
            </w:r>
          </w:p>
        </w:tc>
        <w:tc>
          <w:tcPr>
            <w:tcW w:w="11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0.00</w:t>
            </w:r>
          </w:p>
        </w:tc>
        <w:tc>
          <w:tcPr>
            <w:tcW w:w="25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3,610,000.00</w:t>
            </w:r>
          </w:p>
        </w:tc>
        <w:tc>
          <w:tcPr>
            <w:tcW w:w="15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3,610,000.00</w:t>
            </w:r>
          </w:p>
        </w:tc>
        <w:tc>
          <w:tcPr>
            <w:tcW w:w="9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10.00</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10.00</w:t>
            </w:r>
          </w:p>
        </w:tc>
      </w:tr>
      <w:tr>
        <w:tblPrEx>
          <w:tblCellMar>
            <w:top w:w="15" w:type="dxa"/>
            <w:left w:w="15" w:type="dxa"/>
            <w:bottom w:w="15" w:type="dxa"/>
            <w:right w:w="15" w:type="dxa"/>
          </w:tblCellMar>
        </w:tblPrEx>
        <w:trPr>
          <w:trHeight w:val="600" w:hRule="atLeast"/>
        </w:trPr>
        <w:tc>
          <w:tcPr>
            <w:tcW w:w="9044"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微软雅黑" w:hAnsi="微软雅黑" w:eastAsia="微软雅黑" w:cs="微软雅黑"/>
                <w:b/>
                <w:color w:val="000000" w:themeColor="text1"/>
                <w:sz w:val="28"/>
                <w:szCs w:val="28"/>
                <w14:textFill>
                  <w14:solidFill>
                    <w14:schemeClr w14:val="tx1"/>
                  </w14:solidFill>
                </w14:textFill>
              </w:rPr>
            </w:pPr>
            <w:r>
              <w:rPr>
                <w:rFonts w:hint="eastAsia" w:ascii="微软雅黑" w:hAnsi="微软雅黑" w:eastAsia="微软雅黑" w:cs="微软雅黑"/>
                <w:b/>
                <w:color w:val="000000" w:themeColor="text1"/>
                <w:kern w:val="0"/>
                <w:sz w:val="28"/>
                <w:szCs w:val="28"/>
                <w:lang w:bidi="ar"/>
                <w14:textFill>
                  <w14:solidFill>
                    <w14:schemeClr w14:val="tx1"/>
                  </w14:solidFill>
                </w14:textFill>
              </w:rPr>
              <w:t>绩效目标</w:t>
            </w:r>
          </w:p>
        </w:tc>
      </w:tr>
      <w:tr>
        <w:tblPrEx>
          <w:tblCellMar>
            <w:top w:w="15" w:type="dxa"/>
            <w:left w:w="15" w:type="dxa"/>
            <w:bottom w:w="15" w:type="dxa"/>
            <w:right w:w="15" w:type="dxa"/>
          </w:tblCellMar>
        </w:tblPrEx>
        <w:trPr>
          <w:trHeight w:val="495" w:hRule="atLeast"/>
        </w:trPr>
        <w:tc>
          <w:tcPr>
            <w:tcW w:w="23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年初绩效目标</w:t>
            </w:r>
          </w:p>
        </w:tc>
        <w:tc>
          <w:tcPr>
            <w:tcW w:w="411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全年（调整）绩效目标</w:t>
            </w:r>
          </w:p>
        </w:tc>
        <w:tc>
          <w:tcPr>
            <w:tcW w:w="2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全年目标实际完成情况</w:t>
            </w:r>
          </w:p>
        </w:tc>
      </w:tr>
      <w:tr>
        <w:tblPrEx>
          <w:tblCellMar>
            <w:top w:w="15" w:type="dxa"/>
            <w:left w:w="15" w:type="dxa"/>
            <w:bottom w:w="15" w:type="dxa"/>
            <w:right w:w="15" w:type="dxa"/>
          </w:tblCellMar>
        </w:tblPrEx>
        <w:trPr>
          <w:trHeight w:val="1590" w:hRule="atLeast"/>
        </w:trPr>
        <w:tc>
          <w:tcPr>
            <w:tcW w:w="23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411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top"/>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新改建农村道路4.8公里，主要位于茅山峡仙米山，庆丰斐然湖区域。项目建成后极大地改善了村民出行环境，增强了群众幸福感。</w:t>
            </w:r>
          </w:p>
        </w:tc>
        <w:tc>
          <w:tcPr>
            <w:tcW w:w="2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top"/>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2022年我镇新改建农村道路4.8公里，主要位于茅山峡仙米山，庆丰斐然湖区域。项目建成后极大地改善了村民出行环境，增强了群众幸福感。</w:t>
            </w:r>
          </w:p>
        </w:tc>
      </w:tr>
      <w:tr>
        <w:tblPrEx>
          <w:tblCellMar>
            <w:top w:w="15" w:type="dxa"/>
            <w:left w:w="15" w:type="dxa"/>
            <w:bottom w:w="15" w:type="dxa"/>
            <w:right w:w="15" w:type="dxa"/>
          </w:tblCellMar>
        </w:tblPrEx>
        <w:trPr>
          <w:trHeight w:val="600" w:hRule="atLeast"/>
        </w:trPr>
        <w:tc>
          <w:tcPr>
            <w:tcW w:w="9044"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微软雅黑" w:hAnsi="微软雅黑" w:eastAsia="微软雅黑" w:cs="微软雅黑"/>
                <w:b/>
                <w:color w:val="000000" w:themeColor="text1"/>
                <w:sz w:val="28"/>
                <w:szCs w:val="28"/>
                <w14:textFill>
                  <w14:solidFill>
                    <w14:schemeClr w14:val="tx1"/>
                  </w14:solidFill>
                </w14:textFill>
              </w:rPr>
            </w:pPr>
            <w:r>
              <w:rPr>
                <w:rFonts w:hint="eastAsia" w:ascii="微软雅黑" w:hAnsi="微软雅黑" w:eastAsia="微软雅黑" w:cs="微软雅黑"/>
                <w:b/>
                <w:color w:val="000000" w:themeColor="text1"/>
                <w:kern w:val="0"/>
                <w:sz w:val="28"/>
                <w:szCs w:val="28"/>
                <w:lang w:bidi="ar"/>
                <w14:textFill>
                  <w14:solidFill>
                    <w14:schemeClr w14:val="tx1"/>
                  </w14:solidFill>
                </w14:textFill>
              </w:rPr>
              <w:t>绩效指标</w:t>
            </w:r>
          </w:p>
        </w:tc>
      </w:tr>
      <w:tr>
        <w:tblPrEx>
          <w:tblCellMar>
            <w:top w:w="15" w:type="dxa"/>
            <w:left w:w="15" w:type="dxa"/>
            <w:bottom w:w="15" w:type="dxa"/>
            <w:right w:w="15" w:type="dxa"/>
          </w:tblCellMar>
        </w:tblPrEx>
        <w:trPr>
          <w:trHeight w:val="49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指标名称</w:t>
            </w:r>
          </w:p>
        </w:tc>
        <w:tc>
          <w:tcPr>
            <w:tcW w:w="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计量单位</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指标性质</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指标值</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全年完成值</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偏离度（%）</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得分系数（%）</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指标权重</w:t>
            </w:r>
          </w:p>
        </w:tc>
        <w:tc>
          <w:tcPr>
            <w:tcW w:w="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指标得分</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是否核心指标</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说明</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市财政局建议</w:t>
            </w:r>
          </w:p>
        </w:tc>
      </w:tr>
      <w:tr>
        <w:tblPrEx>
          <w:tblCellMar>
            <w:top w:w="15" w:type="dxa"/>
            <w:left w:w="15" w:type="dxa"/>
            <w:bottom w:w="15" w:type="dxa"/>
            <w:right w:w="15" w:type="dxa"/>
          </w:tblCellMar>
        </w:tblPrEx>
        <w:trPr>
          <w:trHeight w:val="49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新改建公路公里数</w:t>
            </w:r>
          </w:p>
        </w:tc>
        <w:tc>
          <w:tcPr>
            <w:tcW w:w="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公里</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4.8</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4.8</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40</w:t>
            </w:r>
          </w:p>
        </w:tc>
        <w:tc>
          <w:tcPr>
            <w:tcW w:w="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40</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49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资金到位率</w:t>
            </w:r>
          </w:p>
        </w:tc>
        <w:tc>
          <w:tcPr>
            <w:tcW w:w="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w:t>
            </w:r>
          </w:p>
        </w:tc>
        <w:tc>
          <w:tcPr>
            <w:tcW w:w="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49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出行幸福感</w:t>
            </w:r>
          </w:p>
        </w:tc>
        <w:tc>
          <w:tcPr>
            <w:tcW w:w="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92</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30</w:t>
            </w:r>
          </w:p>
        </w:tc>
        <w:tc>
          <w:tcPr>
            <w:tcW w:w="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30</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49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村民满意度</w:t>
            </w:r>
          </w:p>
        </w:tc>
        <w:tc>
          <w:tcPr>
            <w:tcW w:w="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90</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92</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w:t>
            </w:r>
          </w:p>
        </w:tc>
        <w:tc>
          <w:tcPr>
            <w:tcW w:w="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w:t>
            </w: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r>
    </w:tbl>
    <w:p>
      <w:pPr>
        <w:pStyle w:val="4"/>
        <w:widowControl/>
        <w:adjustRightInd w:val="0"/>
        <w:snapToGrid w:val="0"/>
        <w:spacing w:beforeAutospacing="0" w:afterAutospacing="0" w:line="594" w:lineRule="exact"/>
        <w:ind w:right="75" w:firstLine="640" w:firstLineChars="200"/>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pPr>
    </w:p>
    <w:p>
      <w:pPr>
        <w:pStyle w:val="4"/>
        <w:widowControl/>
        <w:adjustRightInd w:val="0"/>
        <w:snapToGrid w:val="0"/>
        <w:spacing w:beforeAutospacing="0" w:afterAutospacing="0" w:line="594" w:lineRule="exact"/>
        <w:ind w:right="75" w:firstLine="640" w:firstLineChars="200"/>
        <w:rPr>
          <w:rStyle w:val="7"/>
          <w:b w:val="0"/>
          <w:color w:val="000000" w:themeColor="text1"/>
          <w:sz w:val="32"/>
          <w:szCs w:val="32"/>
          <w:shd w:val="clear" w:color="auto" w:fill="FFFFFF"/>
          <w14:textFill>
            <w14:solidFill>
              <w14:schemeClr w14:val="tx1"/>
            </w14:solidFill>
          </w14:textFill>
        </w:rPr>
      </w:pP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（3）农业农村工作支出。2022年我部门对农业农村工作支出项目开展了绩效评价，涉及年初预算项目资金104万元，执行率100%，自评总分100分。项目推进辖区农村人居环境整治，实现“一化二改三不见”。</w:t>
      </w:r>
    </w:p>
    <w:tbl>
      <w:tblPr>
        <w:tblStyle w:val="5"/>
        <w:tblW w:w="9036" w:type="dxa"/>
        <w:tblInd w:w="0" w:type="dxa"/>
        <w:tblLayout w:type="fixed"/>
        <w:tblCellMar>
          <w:top w:w="15" w:type="dxa"/>
          <w:left w:w="15" w:type="dxa"/>
          <w:bottom w:w="15" w:type="dxa"/>
          <w:right w:w="15" w:type="dxa"/>
        </w:tblCellMar>
      </w:tblPr>
      <w:tblGrid>
        <w:gridCol w:w="580"/>
        <w:gridCol w:w="345"/>
        <w:gridCol w:w="116"/>
        <w:gridCol w:w="456"/>
        <w:gridCol w:w="27"/>
        <w:gridCol w:w="667"/>
        <w:gridCol w:w="280"/>
        <w:gridCol w:w="391"/>
        <w:gridCol w:w="872"/>
        <w:gridCol w:w="1263"/>
        <w:gridCol w:w="773"/>
        <w:gridCol w:w="773"/>
        <w:gridCol w:w="457"/>
        <w:gridCol w:w="167"/>
        <w:gridCol w:w="301"/>
        <w:gridCol w:w="194"/>
        <w:gridCol w:w="1"/>
        <w:gridCol w:w="589"/>
        <w:gridCol w:w="784"/>
      </w:tblGrid>
      <w:tr>
        <w:tblPrEx>
          <w:tblCellMar>
            <w:top w:w="15" w:type="dxa"/>
            <w:left w:w="15" w:type="dxa"/>
            <w:bottom w:w="15" w:type="dxa"/>
            <w:right w:w="15" w:type="dxa"/>
          </w:tblCellMar>
        </w:tblPrEx>
        <w:trPr>
          <w:trHeight w:val="795" w:hRule="atLeast"/>
        </w:trPr>
        <w:tc>
          <w:tcPr>
            <w:tcW w:w="90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center"/>
              <w:outlineLvl w:val="9"/>
              <w:rPr>
                <w:rFonts w:ascii="微软雅黑" w:hAnsi="微软雅黑" w:eastAsia="微软雅黑" w:cs="微软雅黑"/>
                <w:b/>
                <w:color w:val="000000" w:themeColor="text1"/>
                <w:sz w:val="40"/>
                <w:szCs w:val="40"/>
                <w14:textFill>
                  <w14:solidFill>
                    <w14:schemeClr w14:val="tx1"/>
                  </w14:solidFill>
                </w14:textFill>
              </w:rPr>
            </w:pPr>
            <w:r>
              <w:rPr>
                <w:rFonts w:hint="eastAsia" w:ascii="微软雅黑" w:hAnsi="微软雅黑" w:eastAsia="微软雅黑" w:cs="微软雅黑"/>
                <w:b/>
                <w:color w:val="000000" w:themeColor="text1"/>
                <w:kern w:val="0"/>
                <w:sz w:val="40"/>
                <w:szCs w:val="40"/>
                <w:lang w:bidi="ar"/>
                <w14:textFill>
                  <w14:solidFill>
                    <w14:schemeClr w14:val="tx1"/>
                  </w14:solidFill>
                </w14:textFill>
              </w:rPr>
              <w:t>2022年度二级项目绩效自评表</w:t>
            </w:r>
          </w:p>
        </w:tc>
      </w:tr>
      <w:tr>
        <w:tblPrEx>
          <w:tblCellMar>
            <w:top w:w="15" w:type="dxa"/>
            <w:left w:w="15" w:type="dxa"/>
            <w:bottom w:w="15" w:type="dxa"/>
            <w:right w:w="15" w:type="dxa"/>
          </w:tblCellMar>
        </w:tblPrEx>
        <w:trPr>
          <w:trHeight w:val="495"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项目名称</w:t>
            </w:r>
          </w:p>
        </w:tc>
        <w:tc>
          <w:tcPr>
            <w:tcW w:w="9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农业农村工作支出</w:t>
            </w:r>
          </w:p>
        </w:tc>
        <w:tc>
          <w:tcPr>
            <w:tcW w:w="9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项目编码</w:t>
            </w:r>
          </w:p>
        </w:tc>
        <w:tc>
          <w:tcPr>
            <w:tcW w:w="25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50010621T000000040788</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自评总分</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100.00</w:t>
            </w:r>
          </w:p>
        </w:tc>
        <w:tc>
          <w:tcPr>
            <w:tcW w:w="6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left"/>
              <w:outlineLvl w:val="9"/>
              <w:rPr>
                <w:rFonts w:ascii="宋体" w:hAnsi="宋体" w:eastAsia="宋体" w:cs="宋体"/>
                <w:b/>
                <w:color w:val="000000" w:themeColor="text1"/>
                <w:sz w:val="22"/>
                <w:szCs w:val="22"/>
                <w14:textFill>
                  <w14:solidFill>
                    <w14:schemeClr w14:val="tx1"/>
                  </w14:solidFill>
                </w14:textFill>
              </w:rPr>
            </w:pPr>
          </w:p>
        </w:tc>
        <w:tc>
          <w:tcPr>
            <w:tcW w:w="13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left"/>
              <w:outlineLvl w:val="9"/>
              <w:rPr>
                <w:rFonts w:ascii="宋体" w:hAnsi="宋体" w:eastAsia="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495"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项目主管部门</w:t>
            </w:r>
          </w:p>
        </w:tc>
        <w:tc>
          <w:tcPr>
            <w:tcW w:w="9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902-重庆市沙坪坝区中梁镇</w:t>
            </w:r>
          </w:p>
        </w:tc>
        <w:tc>
          <w:tcPr>
            <w:tcW w:w="9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财政归口处室</w:t>
            </w:r>
          </w:p>
        </w:tc>
        <w:tc>
          <w:tcPr>
            <w:tcW w:w="25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003-预算科</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部门联系人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杨桃</w:t>
            </w:r>
          </w:p>
        </w:tc>
        <w:tc>
          <w:tcPr>
            <w:tcW w:w="6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联系电话</w:t>
            </w:r>
          </w:p>
        </w:tc>
        <w:tc>
          <w:tcPr>
            <w:tcW w:w="13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15023697682</w:t>
            </w:r>
          </w:p>
        </w:tc>
      </w:tr>
      <w:tr>
        <w:tblPrEx>
          <w:tblCellMar>
            <w:top w:w="15" w:type="dxa"/>
            <w:left w:w="15" w:type="dxa"/>
            <w:bottom w:w="15" w:type="dxa"/>
            <w:right w:w="15" w:type="dxa"/>
          </w:tblCellMar>
        </w:tblPrEx>
        <w:trPr>
          <w:trHeight w:val="600" w:hRule="atLeast"/>
        </w:trPr>
        <w:tc>
          <w:tcPr>
            <w:tcW w:w="90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微软雅黑" w:hAnsi="微软雅黑" w:eastAsia="微软雅黑" w:cs="微软雅黑"/>
                <w:b/>
                <w:color w:val="000000" w:themeColor="text1"/>
                <w:sz w:val="28"/>
                <w:szCs w:val="28"/>
                <w14:textFill>
                  <w14:solidFill>
                    <w14:schemeClr w14:val="tx1"/>
                  </w14:solidFill>
                </w14:textFill>
              </w:rPr>
            </w:pPr>
            <w:r>
              <w:rPr>
                <w:rFonts w:hint="eastAsia" w:ascii="微软雅黑" w:hAnsi="微软雅黑" w:eastAsia="微软雅黑" w:cs="微软雅黑"/>
                <w:b/>
                <w:color w:val="000000" w:themeColor="text1"/>
                <w:kern w:val="0"/>
                <w:sz w:val="28"/>
                <w:szCs w:val="28"/>
                <w:lang w:bidi="ar"/>
                <w14:textFill>
                  <w14:solidFill>
                    <w14:schemeClr w14:val="tx1"/>
                  </w14:solidFill>
                </w14:textFill>
              </w:rPr>
              <w:t>资金情况</w:t>
            </w:r>
          </w:p>
        </w:tc>
      </w:tr>
      <w:tr>
        <w:tblPrEx>
          <w:tblCellMar>
            <w:top w:w="15" w:type="dxa"/>
            <w:left w:w="15" w:type="dxa"/>
            <w:bottom w:w="15" w:type="dxa"/>
            <w:right w:w="15" w:type="dxa"/>
          </w:tblCellMar>
        </w:tblPrEx>
        <w:trPr>
          <w:trHeight w:val="495" w:hRule="atLeast"/>
        </w:trPr>
        <w:tc>
          <w:tcPr>
            <w:tcW w:w="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15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年初预算数</w:t>
            </w:r>
          </w:p>
        </w:tc>
        <w:tc>
          <w:tcPr>
            <w:tcW w:w="25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全年（调整）预算数</w:t>
            </w:r>
          </w:p>
        </w:tc>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全年执行数</w:t>
            </w:r>
          </w:p>
        </w:tc>
        <w:tc>
          <w:tcPr>
            <w:tcW w:w="9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执行率</w:t>
            </w:r>
          </w:p>
        </w:tc>
        <w:tc>
          <w:tcPr>
            <w:tcW w:w="7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执行率权重</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执行率得分</w:t>
            </w:r>
          </w:p>
        </w:tc>
      </w:tr>
      <w:tr>
        <w:tblPrEx>
          <w:tblCellMar>
            <w:top w:w="15" w:type="dxa"/>
            <w:left w:w="15" w:type="dxa"/>
            <w:bottom w:w="15" w:type="dxa"/>
            <w:right w:w="15" w:type="dxa"/>
          </w:tblCellMar>
        </w:tblPrEx>
        <w:trPr>
          <w:trHeight w:val="495" w:hRule="atLeast"/>
        </w:trPr>
        <w:tc>
          <w:tcPr>
            <w:tcW w:w="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年度总金额</w:t>
            </w:r>
          </w:p>
        </w:tc>
        <w:tc>
          <w:tcPr>
            <w:tcW w:w="15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1,040,000.00</w:t>
            </w:r>
          </w:p>
        </w:tc>
        <w:tc>
          <w:tcPr>
            <w:tcW w:w="25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1,040,000.00</w:t>
            </w:r>
          </w:p>
        </w:tc>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1,040,000.00</w:t>
            </w:r>
          </w:p>
        </w:tc>
        <w:tc>
          <w:tcPr>
            <w:tcW w:w="9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7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495" w:hRule="atLeast"/>
        </w:trPr>
        <w:tc>
          <w:tcPr>
            <w:tcW w:w="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其中：财政拨款</w:t>
            </w:r>
          </w:p>
        </w:tc>
        <w:tc>
          <w:tcPr>
            <w:tcW w:w="15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1,040,000.00</w:t>
            </w:r>
          </w:p>
        </w:tc>
        <w:tc>
          <w:tcPr>
            <w:tcW w:w="25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1,040,000.00</w:t>
            </w:r>
          </w:p>
        </w:tc>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1,040,000.00</w:t>
            </w:r>
          </w:p>
        </w:tc>
        <w:tc>
          <w:tcPr>
            <w:tcW w:w="9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w:t>
            </w:r>
          </w:p>
        </w:tc>
        <w:tc>
          <w:tcPr>
            <w:tcW w:w="7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10.00</w:t>
            </w:r>
          </w:p>
        </w:tc>
      </w:tr>
      <w:tr>
        <w:tblPrEx>
          <w:tblCellMar>
            <w:top w:w="15" w:type="dxa"/>
            <w:left w:w="15" w:type="dxa"/>
            <w:bottom w:w="15" w:type="dxa"/>
            <w:right w:w="15" w:type="dxa"/>
          </w:tblCellMar>
        </w:tblPrEx>
        <w:trPr>
          <w:trHeight w:val="600" w:hRule="atLeast"/>
        </w:trPr>
        <w:tc>
          <w:tcPr>
            <w:tcW w:w="90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微软雅黑" w:hAnsi="微软雅黑" w:eastAsia="微软雅黑" w:cs="微软雅黑"/>
                <w:b/>
                <w:color w:val="000000" w:themeColor="text1"/>
                <w:sz w:val="28"/>
                <w:szCs w:val="28"/>
                <w14:textFill>
                  <w14:solidFill>
                    <w14:schemeClr w14:val="tx1"/>
                  </w14:solidFill>
                </w14:textFill>
              </w:rPr>
            </w:pPr>
            <w:r>
              <w:rPr>
                <w:rFonts w:hint="eastAsia" w:ascii="微软雅黑" w:hAnsi="微软雅黑" w:eastAsia="微软雅黑" w:cs="微软雅黑"/>
                <w:b/>
                <w:color w:val="000000" w:themeColor="text1"/>
                <w:kern w:val="0"/>
                <w:sz w:val="28"/>
                <w:szCs w:val="28"/>
                <w:lang w:bidi="ar"/>
                <w14:textFill>
                  <w14:solidFill>
                    <w14:schemeClr w14:val="tx1"/>
                  </w14:solidFill>
                </w14:textFill>
              </w:rPr>
              <w:t>绩效目标</w:t>
            </w:r>
          </w:p>
        </w:tc>
      </w:tr>
      <w:tr>
        <w:tblPrEx>
          <w:tblCellMar>
            <w:top w:w="15" w:type="dxa"/>
            <w:left w:w="15" w:type="dxa"/>
            <w:bottom w:w="15" w:type="dxa"/>
            <w:right w:w="15" w:type="dxa"/>
          </w:tblCellMar>
        </w:tblPrEx>
        <w:trPr>
          <w:trHeight w:val="495" w:hRule="atLeast"/>
        </w:trPr>
        <w:tc>
          <w:tcPr>
            <w:tcW w:w="247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年初绩效目标</w:t>
            </w:r>
          </w:p>
        </w:tc>
        <w:tc>
          <w:tcPr>
            <w:tcW w:w="40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全年（调整）绩效目标</w:t>
            </w:r>
          </w:p>
        </w:tc>
        <w:tc>
          <w:tcPr>
            <w:tcW w:w="24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全年目标实际完成情况</w:t>
            </w:r>
          </w:p>
        </w:tc>
      </w:tr>
      <w:tr>
        <w:tblPrEx>
          <w:tblCellMar>
            <w:top w:w="15" w:type="dxa"/>
            <w:left w:w="15" w:type="dxa"/>
            <w:bottom w:w="15" w:type="dxa"/>
            <w:right w:w="15" w:type="dxa"/>
          </w:tblCellMar>
        </w:tblPrEx>
        <w:trPr>
          <w:trHeight w:val="1590" w:hRule="atLeast"/>
        </w:trPr>
        <w:tc>
          <w:tcPr>
            <w:tcW w:w="247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top"/>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开展内部审计，健全内部审计制度，提升审计质效。2加强秸秆焚烧巡查，提高机械粉碎秸秆比例；3.对全镇25公里沟渠进行清理，保证沟渠畅通和整洁；4.6个村每月组织乡村治理积分制评比，提高村民参与农村人居环境整治积极性；5.全面整治农村人居环境，实现“一化二改三不见”，建设美丽宜居村庄。</w:t>
            </w:r>
          </w:p>
        </w:tc>
        <w:tc>
          <w:tcPr>
            <w:tcW w:w="40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24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top"/>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2022年我镇着力推进人居环境整治，辖区25公里沟渠实现“一化二改三不见”。各村社开展乡村治理积分评比制度，提高了群众庭院整治积极性。全年完成内部审计6次。</w:t>
            </w:r>
          </w:p>
        </w:tc>
      </w:tr>
      <w:tr>
        <w:tblPrEx>
          <w:tblCellMar>
            <w:top w:w="15" w:type="dxa"/>
            <w:left w:w="15" w:type="dxa"/>
            <w:bottom w:w="15" w:type="dxa"/>
            <w:right w:w="15" w:type="dxa"/>
          </w:tblCellMar>
        </w:tblPrEx>
        <w:trPr>
          <w:trHeight w:val="600" w:hRule="atLeast"/>
        </w:trPr>
        <w:tc>
          <w:tcPr>
            <w:tcW w:w="9036"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微软雅黑" w:hAnsi="微软雅黑" w:eastAsia="微软雅黑" w:cs="微软雅黑"/>
                <w:b/>
                <w:color w:val="000000" w:themeColor="text1"/>
                <w:sz w:val="28"/>
                <w:szCs w:val="28"/>
                <w14:textFill>
                  <w14:solidFill>
                    <w14:schemeClr w14:val="tx1"/>
                  </w14:solidFill>
                </w14:textFill>
              </w:rPr>
            </w:pPr>
            <w:r>
              <w:rPr>
                <w:rFonts w:hint="eastAsia" w:ascii="微软雅黑" w:hAnsi="微软雅黑" w:eastAsia="微软雅黑" w:cs="微软雅黑"/>
                <w:b/>
                <w:color w:val="000000" w:themeColor="text1"/>
                <w:kern w:val="0"/>
                <w:sz w:val="28"/>
                <w:szCs w:val="28"/>
                <w:lang w:bidi="ar"/>
                <w14:textFill>
                  <w14:solidFill>
                    <w14:schemeClr w14:val="tx1"/>
                  </w14:solidFill>
                </w14:textFill>
              </w:rPr>
              <w:t>绩效指标</w:t>
            </w:r>
          </w:p>
        </w:tc>
      </w:tr>
      <w:tr>
        <w:tblPrEx>
          <w:tblCellMar>
            <w:top w:w="15" w:type="dxa"/>
            <w:left w:w="15" w:type="dxa"/>
            <w:bottom w:w="15" w:type="dxa"/>
            <w:right w:w="15" w:type="dxa"/>
          </w:tblCellMar>
        </w:tblPrEx>
        <w:trPr>
          <w:trHeight w:val="495" w:hRule="atLeast"/>
        </w:trPr>
        <w:tc>
          <w:tcPr>
            <w:tcW w:w="1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指标名称</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计量单位</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指标性质</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指标值</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全年完成值</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偏离度（%）</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得分系数（%）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指标权重</w:t>
            </w:r>
          </w:p>
        </w:tc>
        <w:tc>
          <w:tcPr>
            <w:tcW w:w="6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指标得分</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是否核心指标</w:t>
            </w:r>
          </w:p>
        </w:tc>
        <w:tc>
          <w:tcPr>
            <w:tcW w:w="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说明</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lang w:bidi="ar"/>
                <w14:textFill>
                  <w14:solidFill>
                    <w14:schemeClr w14:val="tx1"/>
                  </w14:solidFill>
                </w14:textFill>
              </w:rPr>
              <w:t>市财政局建议</w:t>
            </w:r>
          </w:p>
        </w:tc>
      </w:tr>
      <w:tr>
        <w:tblPrEx>
          <w:tblCellMar>
            <w:top w:w="15" w:type="dxa"/>
            <w:left w:w="15" w:type="dxa"/>
            <w:bottom w:w="15" w:type="dxa"/>
            <w:right w:w="15" w:type="dxa"/>
          </w:tblCellMar>
        </w:tblPrEx>
        <w:trPr>
          <w:trHeight w:val="495" w:hRule="atLeast"/>
        </w:trPr>
        <w:tc>
          <w:tcPr>
            <w:tcW w:w="1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沟渠清理公里数</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公里</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25</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20</w:t>
            </w:r>
          </w:p>
        </w:tc>
        <w:tc>
          <w:tcPr>
            <w:tcW w:w="6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495" w:hRule="atLeast"/>
        </w:trPr>
        <w:tc>
          <w:tcPr>
            <w:tcW w:w="1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开展审计次数</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次</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6</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w:t>
            </w:r>
          </w:p>
        </w:tc>
        <w:tc>
          <w:tcPr>
            <w:tcW w:w="6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495" w:hRule="atLeast"/>
        </w:trPr>
        <w:tc>
          <w:tcPr>
            <w:tcW w:w="1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乡村治理积分制评比次数</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次</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72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72</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20</w:t>
            </w:r>
          </w:p>
        </w:tc>
        <w:tc>
          <w:tcPr>
            <w:tcW w:w="6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495" w:hRule="atLeast"/>
        </w:trPr>
        <w:tc>
          <w:tcPr>
            <w:tcW w:w="1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机械粉碎秸秆比例</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90</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20</w:t>
            </w:r>
          </w:p>
        </w:tc>
        <w:tc>
          <w:tcPr>
            <w:tcW w:w="6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495" w:hRule="atLeast"/>
        </w:trPr>
        <w:tc>
          <w:tcPr>
            <w:tcW w:w="1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村民对人居环境改善满意度</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w:t>
            </w:r>
          </w:p>
        </w:tc>
        <w:tc>
          <w:tcPr>
            <w:tcW w:w="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90</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100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20</w:t>
            </w:r>
          </w:p>
        </w:tc>
        <w:tc>
          <w:tcPr>
            <w:tcW w:w="6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center"/>
              <w:outlineLvl w:val="9"/>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20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ascii="宋体" w:hAnsi="宋体" w:eastAsia="宋体" w:cs="宋体"/>
                <w:color w:val="000000" w:themeColor="text1"/>
                <w:sz w:val="22"/>
                <w:szCs w:val="22"/>
                <w14:textFill>
                  <w14:solidFill>
                    <w14:schemeClr w14:val="tx1"/>
                  </w14:solidFill>
                </w14:textFill>
              </w:rPr>
            </w:pPr>
          </w:p>
        </w:tc>
      </w:tr>
    </w:tbl>
    <w:p>
      <w:pPr>
        <w:pStyle w:val="4"/>
        <w:widowControl/>
        <w:adjustRightInd w:val="0"/>
        <w:snapToGrid w:val="0"/>
        <w:spacing w:beforeAutospacing="0" w:afterAutospacing="0" w:line="594" w:lineRule="exact"/>
        <w:ind w:right="75" w:firstLine="643" w:firstLineChars="200"/>
        <w:rPr>
          <w:rFonts w:ascii="方正仿宋_GBK" w:hAnsi="方正仿宋_GBK" w:eastAsia="方正仿宋_GBK" w:cs="方正仿宋_GBK"/>
          <w:color w:val="000000" w:themeColor="text1"/>
          <w:sz w:val="32"/>
          <w:szCs w:val="32"/>
          <w14:textFill>
            <w14:solidFill>
              <w14:schemeClr w14:val="tx1"/>
            </w14:solidFill>
          </w14:textFill>
        </w:rPr>
      </w:pPr>
      <w:r>
        <w:rPr>
          <w:rStyle w:val="7"/>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2.绩效自评报告或案例。</w:t>
      </w:r>
    </w:p>
    <w:p>
      <w:pPr>
        <w:pStyle w:val="4"/>
        <w:widowControl/>
        <w:adjustRightInd w:val="0"/>
        <w:snapToGrid w:val="0"/>
        <w:spacing w:beforeAutospacing="0" w:afterAutospacing="0" w:line="594" w:lineRule="exact"/>
        <w:ind w:right="75" w:firstLine="640" w:firstLineChars="200"/>
        <w:rPr>
          <w:rFonts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2022年度我部门未委托第三方开展绩效评价。</w:t>
      </w:r>
    </w:p>
    <w:p>
      <w:pPr>
        <w:pStyle w:val="4"/>
        <w:widowControl/>
        <w:adjustRightInd w:val="0"/>
        <w:snapToGrid w:val="0"/>
        <w:spacing w:beforeAutospacing="0" w:afterAutospacing="0" w:line="594" w:lineRule="exact"/>
        <w:ind w:right="75" w:firstLine="643" w:firstLineChars="200"/>
        <w:rPr>
          <w:rFonts w:ascii="方正仿宋_GBK" w:hAnsi="方正仿宋_GBK" w:eastAsia="方正仿宋_GBK" w:cs="方正仿宋_GBK"/>
          <w:color w:val="000000" w:themeColor="text1"/>
          <w:sz w:val="32"/>
          <w:szCs w:val="32"/>
          <w14:textFill>
            <w14:solidFill>
              <w14:schemeClr w14:val="tx1"/>
            </w14:solidFill>
          </w14:textFill>
        </w:rPr>
      </w:pPr>
      <w:r>
        <w:rPr>
          <w:rStyle w:val="7"/>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3.关于绩效自评结果的说明。</w:t>
      </w:r>
    </w:p>
    <w:p>
      <w:pPr>
        <w:pStyle w:val="4"/>
        <w:widowControl/>
        <w:adjustRightInd w:val="0"/>
        <w:snapToGrid w:val="0"/>
        <w:spacing w:beforeAutospacing="0" w:afterAutospacing="0" w:line="594" w:lineRule="exact"/>
        <w:ind w:right="75" w:firstLine="640" w:firstLineChars="200"/>
        <w:rPr>
          <w:rStyle w:val="7"/>
          <w:rFonts w:ascii="方正仿宋_GBK" w:hAnsi="方正仿宋_GBK" w:eastAsia="方正仿宋_GBK" w:cs="方正仿宋_GBK"/>
          <w:b w:val="0"/>
          <w:color w:val="000000" w:themeColor="text1"/>
          <w:sz w:val="32"/>
          <w:szCs w:val="32"/>
          <w:shd w:val="clear" w:color="auto" w:fill="FFFFFF"/>
          <w14:textFill>
            <w14:solidFill>
              <w14:schemeClr w14:val="tx1"/>
            </w14:solidFill>
          </w14:textFill>
        </w:rPr>
      </w:pPr>
      <w:r>
        <w:rPr>
          <w:rStyle w:val="7"/>
          <w:rFonts w:hint="eastAsia" w:ascii="方正仿宋_GBK" w:hAnsi="方正仿宋_GBK" w:eastAsia="方正仿宋_GBK" w:cs="方正仿宋_GBK"/>
          <w:b w:val="0"/>
          <w:color w:val="000000" w:themeColor="text1"/>
          <w:sz w:val="32"/>
          <w:szCs w:val="32"/>
          <w:shd w:val="clear" w:color="auto" w:fill="FFFFFF"/>
          <w14:textFill>
            <w14:solidFill>
              <w14:schemeClr w14:val="tx1"/>
            </w14:solidFill>
          </w14:textFill>
        </w:rPr>
        <w:t>我部门已完成2022年度绩效目标。</w:t>
      </w:r>
    </w:p>
    <w:p>
      <w:pPr>
        <w:pStyle w:val="4"/>
        <w:widowControl/>
        <w:adjustRightInd w:val="0"/>
        <w:snapToGrid w:val="0"/>
        <w:spacing w:beforeAutospacing="0" w:afterAutospacing="0" w:line="594" w:lineRule="exact"/>
        <w:ind w:right="75" w:firstLine="640" w:firstLineChars="200"/>
        <w:rPr>
          <w:rStyle w:val="7"/>
          <w:rFonts w:ascii="方正楷体_GBK" w:hAnsi="方正楷体_GBK" w:eastAsia="方正楷体_GBK" w:cs="方正楷体_GBK"/>
          <w:b w:val="0"/>
          <w:color w:val="000000" w:themeColor="text1"/>
          <w:sz w:val="32"/>
          <w:szCs w:val="32"/>
          <w:shd w:val="clear" w:color="auto" w:fill="FFFFFF"/>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（三）重点绩效评价结果。</w:t>
      </w:r>
    </w:p>
    <w:p>
      <w:pPr>
        <w:pStyle w:val="4"/>
        <w:widowControl/>
        <w:adjustRightInd w:val="0"/>
        <w:snapToGrid w:val="0"/>
        <w:spacing w:beforeAutospacing="0" w:afterAutospacing="0" w:line="594" w:lineRule="exact"/>
        <w:ind w:right="75" w:firstLine="640" w:firstLineChars="200"/>
        <w:rPr>
          <w:rFonts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2022年区财政局未委托第三方对本部门的政策或项目开展重点绩效评价。</w:t>
      </w:r>
    </w:p>
    <w:p>
      <w:pPr>
        <w:pStyle w:val="4"/>
        <w:widowControl/>
        <w:adjustRightInd w:val="0"/>
        <w:snapToGrid w:val="0"/>
        <w:spacing w:beforeAutospacing="0" w:afterAutospacing="0" w:line="594" w:lineRule="exact"/>
        <w:ind w:right="75"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Style w:val="7"/>
          <w:rFonts w:hint="eastAsia" w:ascii="方正黑体_GBK" w:hAnsi="方正黑体_GBK" w:eastAsia="方正黑体_GBK" w:cs="方正黑体_GBK"/>
          <w:b w:val="0"/>
          <w:color w:val="000000" w:themeColor="text1"/>
          <w:sz w:val="32"/>
          <w:szCs w:val="32"/>
          <w:shd w:val="clear" w:color="auto" w:fill="FFFFFF"/>
          <w14:textFill>
            <w14:solidFill>
              <w14:schemeClr w14:val="tx1"/>
            </w14:solidFill>
          </w14:textFill>
        </w:rPr>
        <w:t>六、专业名词解释</w:t>
      </w:r>
    </w:p>
    <w:p>
      <w:pPr>
        <w:pStyle w:val="4"/>
        <w:widowControl/>
        <w:adjustRightInd w:val="0"/>
        <w:snapToGrid w:val="0"/>
        <w:spacing w:beforeAutospacing="0" w:afterAutospacing="0" w:line="594" w:lineRule="exact"/>
        <w:ind w:right="75" w:firstLine="640" w:firstLineChars="200"/>
        <w:rPr>
          <w:color w:val="000000" w:themeColor="text1"/>
          <w:sz w:val="32"/>
          <w:szCs w:val="32"/>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（一）财政拨款收入</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：指本年度从本级财政部门取得的财政拨款，包括一般公共预算财政拨款和政府性基金预算财政拨款。</w:t>
      </w:r>
    </w:p>
    <w:p>
      <w:pPr>
        <w:pStyle w:val="4"/>
        <w:widowControl/>
        <w:adjustRightInd w:val="0"/>
        <w:snapToGrid w:val="0"/>
        <w:spacing w:beforeAutospacing="0" w:afterAutospacing="0" w:line="594" w:lineRule="exact"/>
        <w:ind w:right="75" w:firstLine="640" w:firstLineChars="200"/>
        <w:rPr>
          <w:color w:val="000000" w:themeColor="text1"/>
          <w:sz w:val="32"/>
          <w:szCs w:val="32"/>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（二）事业收入</w:t>
      </w:r>
      <w:r>
        <w:rPr>
          <w:color w:val="000000" w:themeColor="text1"/>
          <w:sz w:val="32"/>
          <w:szCs w:val="32"/>
          <w:shd w:val="clear" w:color="auto" w:fill="FFFFFF"/>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指事业单位开展专业业务活动及其辅助活动取得的现金流入；事业单位收到的财政专户实际核拨的教育收费等资金在此反映。</w:t>
      </w:r>
    </w:p>
    <w:p>
      <w:pPr>
        <w:pStyle w:val="4"/>
        <w:widowControl/>
        <w:adjustRightInd w:val="0"/>
        <w:snapToGrid w:val="0"/>
        <w:spacing w:beforeAutospacing="0" w:afterAutospacing="0" w:line="594" w:lineRule="exact"/>
        <w:ind w:right="75" w:firstLine="640" w:firstLineChars="200"/>
        <w:rPr>
          <w:color w:val="000000" w:themeColor="text1"/>
          <w:sz w:val="32"/>
          <w:szCs w:val="32"/>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（三）经营收入</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：指事业单位在专业业务活动及其辅助活动之外开展非独立核算经营活动取得的现金流入。</w:t>
      </w:r>
    </w:p>
    <w:p>
      <w:pPr>
        <w:pStyle w:val="4"/>
        <w:widowControl/>
        <w:adjustRightInd w:val="0"/>
        <w:snapToGrid w:val="0"/>
        <w:spacing w:beforeAutospacing="0" w:afterAutospacing="0" w:line="594" w:lineRule="exact"/>
        <w:ind w:right="75" w:firstLine="640" w:firstLineChars="200"/>
        <w:rPr>
          <w:color w:val="000000" w:themeColor="text1"/>
          <w:sz w:val="32"/>
          <w:szCs w:val="32"/>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（四）其他收入</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widowControl/>
        <w:adjustRightInd w:val="0"/>
        <w:snapToGrid w:val="0"/>
        <w:spacing w:beforeAutospacing="0" w:afterAutospacing="0" w:line="594" w:lineRule="exact"/>
        <w:ind w:right="75" w:firstLine="640" w:firstLineChars="200"/>
        <w:rPr>
          <w:color w:val="000000" w:themeColor="text1"/>
          <w:sz w:val="32"/>
          <w:szCs w:val="32"/>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（五）使用非财政拨款结余</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：指单位在当年的“财政拨款收入”、“事业收入”、“经营收入”、“其他收入”等不足以安排当年支出的情况下，使用以前年度积累的非财政拨款结余弥补本年度收支缺口的资金。</w:t>
      </w:r>
    </w:p>
    <w:p>
      <w:pPr>
        <w:pStyle w:val="4"/>
        <w:widowControl/>
        <w:adjustRightInd w:val="0"/>
        <w:snapToGrid w:val="0"/>
        <w:spacing w:beforeAutospacing="0" w:afterAutospacing="0" w:line="594" w:lineRule="exact"/>
        <w:ind w:right="75" w:firstLine="640" w:firstLineChars="200"/>
        <w:rPr>
          <w:color w:val="000000" w:themeColor="text1"/>
          <w:sz w:val="32"/>
          <w:szCs w:val="32"/>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（六）年初结转和结余</w:t>
      </w: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指单位上年结转本年使用的基本支出结转、项目支出结转和结余、经营结余。</w:t>
      </w:r>
    </w:p>
    <w:p>
      <w:pPr>
        <w:pStyle w:val="4"/>
        <w:widowControl/>
        <w:adjustRightInd w:val="0"/>
        <w:snapToGrid w:val="0"/>
        <w:spacing w:beforeAutospacing="0" w:afterAutospacing="0" w:line="594" w:lineRule="exact"/>
        <w:ind w:right="75" w:firstLine="640" w:firstLineChars="200"/>
        <w:rPr>
          <w:color w:val="000000" w:themeColor="text1"/>
          <w:sz w:val="32"/>
          <w:szCs w:val="32"/>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（七）结余分配</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：指单位按照国家有关规定，缴纳所得税、提取专用基金、转入非财政拨款结余等当年结余的分配情况。</w:t>
      </w:r>
    </w:p>
    <w:p>
      <w:pPr>
        <w:pStyle w:val="4"/>
        <w:widowControl/>
        <w:adjustRightInd w:val="0"/>
        <w:snapToGrid w:val="0"/>
        <w:spacing w:beforeAutospacing="0" w:afterAutospacing="0" w:line="594" w:lineRule="exact"/>
        <w:ind w:right="75" w:firstLine="640" w:firstLineChars="200"/>
        <w:rPr>
          <w:color w:val="000000" w:themeColor="text1"/>
          <w:sz w:val="32"/>
          <w:szCs w:val="32"/>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（八）年末结转和结余</w:t>
      </w: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指单位结转下年的基本支出结转、项目支出结转和结余、经营结余。</w:t>
      </w:r>
    </w:p>
    <w:p>
      <w:pPr>
        <w:pStyle w:val="4"/>
        <w:widowControl/>
        <w:adjustRightInd w:val="0"/>
        <w:snapToGrid w:val="0"/>
        <w:spacing w:beforeAutospacing="0" w:afterAutospacing="0" w:line="594" w:lineRule="exact"/>
        <w:ind w:right="75"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（九）基本支出</w:t>
      </w:r>
      <w:r>
        <w:rPr>
          <w:color w:val="000000" w:themeColor="text1"/>
          <w:sz w:val="32"/>
          <w:szCs w:val="32"/>
          <w:shd w:val="clear" w:color="auto" w:fill="FFFFFF"/>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widowControl/>
        <w:adjustRightInd w:val="0"/>
        <w:snapToGrid w:val="0"/>
        <w:spacing w:beforeAutospacing="0" w:afterAutospacing="0" w:line="594" w:lineRule="exact"/>
        <w:ind w:right="75" w:firstLine="640" w:firstLineChars="200"/>
        <w:rPr>
          <w:color w:val="000000" w:themeColor="text1"/>
          <w:sz w:val="32"/>
          <w:szCs w:val="32"/>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（十）项目支出</w:t>
      </w:r>
      <w:r>
        <w:rPr>
          <w:color w:val="000000" w:themeColor="text1"/>
          <w:sz w:val="32"/>
          <w:szCs w:val="32"/>
          <w:shd w:val="clear" w:color="auto" w:fill="FFFFFF"/>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指在基本支出之外为完成特定行政任务和事业发展目标所发生的支出。</w:t>
      </w:r>
    </w:p>
    <w:p>
      <w:pPr>
        <w:pStyle w:val="4"/>
        <w:widowControl/>
        <w:adjustRightInd w:val="0"/>
        <w:snapToGrid w:val="0"/>
        <w:spacing w:beforeAutospacing="0" w:afterAutospacing="0" w:line="594" w:lineRule="exact"/>
        <w:ind w:right="75" w:firstLine="640" w:firstLineChars="200"/>
        <w:rPr>
          <w:color w:val="000000" w:themeColor="text1"/>
          <w:sz w:val="32"/>
          <w:szCs w:val="32"/>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（十一）经营支出</w:t>
      </w:r>
      <w:r>
        <w:rPr>
          <w:color w:val="000000" w:themeColor="text1"/>
          <w:sz w:val="32"/>
          <w:szCs w:val="32"/>
          <w:shd w:val="clear" w:color="auto" w:fill="FFFFFF"/>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指事业单位在专业业务活动及其辅助活动之外开展非独立核算经营活动发生的支出。</w:t>
      </w:r>
    </w:p>
    <w:p>
      <w:pPr>
        <w:pStyle w:val="4"/>
        <w:widowControl/>
        <w:adjustRightInd w:val="0"/>
        <w:snapToGrid w:val="0"/>
        <w:spacing w:beforeAutospacing="0" w:afterAutospacing="0" w:line="594" w:lineRule="exact"/>
        <w:ind w:right="75" w:firstLine="640" w:firstLineChars="200"/>
        <w:rPr>
          <w:color w:val="000000" w:themeColor="text1"/>
          <w:sz w:val="32"/>
          <w:szCs w:val="32"/>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（十二）“三公”经费</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widowControl/>
        <w:adjustRightInd w:val="0"/>
        <w:snapToGrid w:val="0"/>
        <w:spacing w:beforeAutospacing="0" w:afterAutospacing="0" w:line="594" w:lineRule="exact"/>
        <w:ind w:right="75" w:firstLine="640" w:firstLineChars="200"/>
        <w:rPr>
          <w:color w:val="000000" w:themeColor="text1"/>
          <w:sz w:val="32"/>
          <w:szCs w:val="32"/>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（十三）机关运行经费</w:t>
      </w:r>
      <w:r>
        <w:rPr>
          <w:color w:val="000000" w:themeColor="text1"/>
          <w:sz w:val="32"/>
          <w:szCs w:val="32"/>
          <w:shd w:val="clear" w:color="auto" w:fill="FFFFFF"/>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widowControl/>
        <w:adjustRightInd w:val="0"/>
        <w:snapToGrid w:val="0"/>
        <w:spacing w:beforeAutospacing="0" w:afterAutospacing="0" w:line="594" w:lineRule="exact"/>
        <w:ind w:right="75" w:firstLine="640" w:firstLineChars="200"/>
        <w:rPr>
          <w:color w:val="000000" w:themeColor="text1"/>
          <w:sz w:val="32"/>
          <w:szCs w:val="32"/>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（十四）工资福利支出（支出经济分类科目类级）</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：反映单位开支的在职职工和编制外长期聘用人员的各类劳动报酬，以及为上述人员缴纳的各项社会保险费等。</w:t>
      </w:r>
    </w:p>
    <w:p>
      <w:pPr>
        <w:pStyle w:val="4"/>
        <w:widowControl/>
        <w:adjustRightInd w:val="0"/>
        <w:snapToGrid w:val="0"/>
        <w:spacing w:beforeAutospacing="0" w:afterAutospacing="0" w:line="594" w:lineRule="exact"/>
        <w:ind w:right="75" w:firstLine="640" w:firstLineChars="200"/>
        <w:rPr>
          <w:color w:val="000000" w:themeColor="text1"/>
          <w:sz w:val="32"/>
          <w:szCs w:val="32"/>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（十五）商品和服务支出（支出经济分类科目类级）</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：反映单位购买商品和服务的支出（不包括用于购置固定资产的支出、战略性和应急储备支出）。</w:t>
      </w:r>
    </w:p>
    <w:p>
      <w:pPr>
        <w:pStyle w:val="4"/>
        <w:widowControl/>
        <w:adjustRightInd w:val="0"/>
        <w:snapToGrid w:val="0"/>
        <w:spacing w:beforeAutospacing="0" w:afterAutospacing="0" w:line="594" w:lineRule="exact"/>
        <w:ind w:right="75" w:firstLine="640" w:firstLineChars="200"/>
        <w:rPr>
          <w:color w:val="000000" w:themeColor="text1"/>
          <w:sz w:val="32"/>
          <w:szCs w:val="32"/>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（十六）对个人和家庭的补助（支出经济分类科目类级）</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：反映用于对个人和家庭的补助支出。</w:t>
      </w:r>
    </w:p>
    <w:p>
      <w:pPr>
        <w:pStyle w:val="4"/>
        <w:widowControl/>
        <w:adjustRightInd w:val="0"/>
        <w:snapToGrid w:val="0"/>
        <w:spacing w:beforeAutospacing="0" w:afterAutospacing="0" w:line="594" w:lineRule="exact"/>
        <w:ind w:right="75" w:firstLine="640" w:firstLineChars="200"/>
        <w:rPr>
          <w:color w:val="000000" w:themeColor="text1"/>
          <w:sz w:val="32"/>
          <w:szCs w:val="32"/>
          <w14:textFill>
            <w14:solidFill>
              <w14:schemeClr w14:val="tx1"/>
            </w14:solidFill>
          </w14:textFill>
        </w:rPr>
      </w:pPr>
      <w:r>
        <w:rPr>
          <w:rStyle w:val="7"/>
          <w:rFonts w:hint="eastAsia" w:ascii="方正楷体_GBK" w:hAnsi="方正楷体_GBK" w:eastAsia="方正楷体_GBK" w:cs="方正楷体_GBK"/>
          <w:b w:val="0"/>
          <w:color w:val="000000" w:themeColor="text1"/>
          <w:sz w:val="32"/>
          <w:szCs w:val="32"/>
          <w:shd w:val="clear" w:color="auto" w:fill="FFFFFF"/>
          <w14:textFill>
            <w14:solidFill>
              <w14:schemeClr w14:val="tx1"/>
            </w14:solidFill>
          </w14:textFill>
        </w:rPr>
        <w:t>（十七）其他资本性支出（支出经济分类科目类级）</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：反映非各级发展与改革部门集中安排的用于购置固定资产、战略性和应急性储备、土地和无形资产，以及构建基础设施、大型修缮和财政支持企业更新改造所发生的支出。</w:t>
      </w:r>
    </w:p>
    <w:p>
      <w:pPr>
        <w:pStyle w:val="4"/>
        <w:widowControl/>
        <w:adjustRightInd w:val="0"/>
        <w:snapToGrid w:val="0"/>
        <w:spacing w:beforeAutospacing="0" w:afterAutospacing="0" w:line="594" w:lineRule="exact"/>
        <w:ind w:right="75"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Style w:val="7"/>
          <w:rFonts w:hint="eastAsia" w:ascii="方正黑体_GBK" w:hAnsi="方正黑体_GBK" w:eastAsia="方正黑体_GBK" w:cs="方正黑体_GBK"/>
          <w:b w:val="0"/>
          <w:color w:val="000000" w:themeColor="text1"/>
          <w:sz w:val="32"/>
          <w:szCs w:val="32"/>
          <w:shd w:val="clear" w:color="auto" w:fill="FFFFFF"/>
          <w14:textFill>
            <w14:solidFill>
              <w14:schemeClr w14:val="tx1"/>
            </w14:solidFill>
          </w14:textFill>
        </w:rPr>
        <w:t>七、决算公开联系方式及信息反馈渠道</w:t>
      </w:r>
    </w:p>
    <w:p>
      <w:pPr>
        <w:pStyle w:val="4"/>
        <w:widowControl/>
        <w:adjustRightInd w:val="0"/>
        <w:snapToGrid w:val="0"/>
        <w:spacing w:beforeAutospacing="0" w:afterAutospacing="0" w:line="594"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本单位决算公开信息反馈和联系方式：项宇 023-65540915。</w:t>
      </w:r>
    </w:p>
    <w:p>
      <w:pPr>
        <w:adjustRightInd w:val="0"/>
        <w:snapToGrid w:val="0"/>
        <w:spacing w:line="594" w:lineRule="exact"/>
        <w:ind w:firstLine="640" w:firstLineChars="200"/>
        <w:rPr>
          <w:vanish/>
          <w:color w:val="000000" w:themeColor="text1"/>
          <w:sz w:val="32"/>
          <w:szCs w:val="32"/>
          <w14:textFill>
            <w14:solidFill>
              <w14:schemeClr w14:val="tx1"/>
            </w14:solidFill>
          </w14:textFill>
        </w:rPr>
      </w:pPr>
    </w:p>
    <w:p>
      <w:pPr>
        <w:adjustRightInd w:val="0"/>
        <w:snapToGrid w:val="0"/>
        <w:spacing w:line="594" w:lineRule="exact"/>
        <w:ind w:firstLine="640" w:firstLineChars="200"/>
        <w:rPr>
          <w:vanish/>
          <w:color w:val="000000" w:themeColor="text1"/>
          <w:sz w:val="32"/>
          <w:szCs w:val="32"/>
          <w14:textFill>
            <w14:solidFill>
              <w14:schemeClr w14:val="tx1"/>
            </w14:solidFill>
          </w14:textFill>
        </w:rPr>
      </w:pPr>
    </w:p>
    <w:p>
      <w:pPr>
        <w:adjustRightInd w:val="0"/>
        <w:snapToGrid w:val="0"/>
        <w:spacing w:line="594" w:lineRule="exact"/>
        <w:ind w:firstLine="640" w:firstLineChars="200"/>
        <w:rPr>
          <w:vanish/>
          <w:color w:val="000000" w:themeColor="text1"/>
          <w:sz w:val="32"/>
          <w:szCs w:val="32"/>
          <w14:textFill>
            <w14:solidFill>
              <w14:schemeClr w14:val="tx1"/>
            </w14:solidFill>
          </w14:textFill>
        </w:rPr>
      </w:pPr>
    </w:p>
    <w:p>
      <w:pPr>
        <w:widowControl/>
        <w:adjustRightInd w:val="0"/>
        <w:snapToGrid w:val="0"/>
        <w:spacing w:line="594" w:lineRule="exact"/>
        <w:ind w:right="75" w:firstLine="640" w:firstLineChars="200"/>
        <w:jc w:val="left"/>
        <w:rPr>
          <w:color w:val="000000" w:themeColor="text1"/>
          <w:sz w:val="32"/>
          <w:szCs w:val="32"/>
          <w14:textFill>
            <w14:solidFill>
              <w14:schemeClr w14:val="tx1"/>
            </w14:solidFill>
          </w14:textFill>
        </w:rPr>
      </w:pPr>
      <w:r>
        <w:rPr>
          <w:rFonts w:ascii="宋体" w:hAnsi="宋体" w:eastAsia="宋体" w:cs="宋体"/>
          <w:vanish/>
          <w:color w:val="000000" w:themeColor="text1"/>
          <w:kern w:val="0"/>
          <w:sz w:val="32"/>
          <w:szCs w:val="32"/>
          <w:shd w:val="clear" w:color="auto" w:fill="FFFFFF"/>
          <w:lang w:bidi="ar"/>
          <w14:textFill>
            <w14:solidFill>
              <w14:schemeClr w14:val="tx1"/>
            </w14:solidFill>
          </w14:textFill>
        </w:rPr>
        <w:t xml:space="preserve">转到第页 共1页    共1项 </w:t>
      </w:r>
    </w:p>
    <w:p>
      <w:pPr>
        <w:widowControl/>
        <w:shd w:val="clear" w:color="auto" w:fill="FFFFFF"/>
        <w:adjustRightInd w:val="0"/>
        <w:snapToGrid w:val="0"/>
        <w:spacing w:line="594" w:lineRule="exact"/>
        <w:ind w:right="75" w:firstLine="640" w:firstLineChars="200"/>
        <w:jc w:val="left"/>
        <w:rPr>
          <w:vanish/>
          <w:color w:val="000000" w:themeColor="text1"/>
          <w:sz w:val="32"/>
          <w:szCs w:val="32"/>
          <w14:textFill>
            <w14:solidFill>
              <w14:schemeClr w14:val="tx1"/>
            </w14:solidFill>
          </w14:textFill>
        </w:rPr>
      </w:pPr>
      <w:r>
        <w:rPr>
          <w:rFonts w:ascii="宋体" w:hAnsi="宋体" w:eastAsia="宋体" w:cs="宋体"/>
          <w:vanish/>
          <w:color w:val="000000" w:themeColor="text1"/>
          <w:kern w:val="0"/>
          <w:sz w:val="32"/>
          <w:szCs w:val="32"/>
          <w:shd w:val="clear" w:color="auto" w:fill="FFFFFF"/>
          <w:lang w:bidi="ar"/>
          <w14:textFill>
            <w14:solidFill>
              <w14:schemeClr w14:val="tx1"/>
            </w14:solidFill>
          </w14:textFill>
        </w:rPr>
        <w:t>  </w:t>
      </w:r>
    </w:p>
    <w:p>
      <w:pPr>
        <w:adjustRightInd w:val="0"/>
        <w:snapToGrid w:val="0"/>
        <w:spacing w:line="594" w:lineRule="exact"/>
        <w:ind w:firstLine="640" w:firstLineChars="200"/>
        <w:rPr>
          <w:color w:val="000000" w:themeColor="text1"/>
          <w:sz w:val="32"/>
          <w:szCs w:val="32"/>
          <w14:textFill>
            <w14:solidFill>
              <w14:schemeClr w14:val="tx1"/>
            </w14:solidFill>
          </w14:textFill>
        </w:rPr>
      </w:pPr>
    </w:p>
    <w:sectPr>
      <w:pgSz w:w="11906" w:h="16838"/>
      <w:pgMar w:top="1701" w:right="1134" w:bottom="170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3ZGEwNjQxNWFmZGYwY2YyNGYzMmE1MWExMjViMzYifQ=="/>
  </w:docVars>
  <w:rsids>
    <w:rsidRoot w:val="00B151FD"/>
    <w:rsid w:val="000E5113"/>
    <w:rsid w:val="00370BF9"/>
    <w:rsid w:val="003812CB"/>
    <w:rsid w:val="004969BF"/>
    <w:rsid w:val="005D326D"/>
    <w:rsid w:val="007253EE"/>
    <w:rsid w:val="00756CC1"/>
    <w:rsid w:val="00B151FD"/>
    <w:rsid w:val="00C26273"/>
    <w:rsid w:val="00C87D2F"/>
    <w:rsid w:val="00E0428A"/>
    <w:rsid w:val="01863947"/>
    <w:rsid w:val="02F55DE5"/>
    <w:rsid w:val="05181489"/>
    <w:rsid w:val="145E6E6F"/>
    <w:rsid w:val="15476E2E"/>
    <w:rsid w:val="188A409F"/>
    <w:rsid w:val="1E067C30"/>
    <w:rsid w:val="1E3429EF"/>
    <w:rsid w:val="1FA5528E"/>
    <w:rsid w:val="20396D4B"/>
    <w:rsid w:val="261E2616"/>
    <w:rsid w:val="2D0B5FD3"/>
    <w:rsid w:val="2D304217"/>
    <w:rsid w:val="32E26A66"/>
    <w:rsid w:val="363C07F7"/>
    <w:rsid w:val="395411A1"/>
    <w:rsid w:val="3B395B0C"/>
    <w:rsid w:val="42F205FF"/>
    <w:rsid w:val="43732B62"/>
    <w:rsid w:val="488A3D89"/>
    <w:rsid w:val="4B626447"/>
    <w:rsid w:val="4DD572A5"/>
    <w:rsid w:val="4EEB16E6"/>
    <w:rsid w:val="521D0823"/>
    <w:rsid w:val="54EE5192"/>
    <w:rsid w:val="57905720"/>
    <w:rsid w:val="5A1804F3"/>
    <w:rsid w:val="5AC5322D"/>
    <w:rsid w:val="60581427"/>
    <w:rsid w:val="65035F21"/>
    <w:rsid w:val="65973B50"/>
    <w:rsid w:val="679A69EC"/>
    <w:rsid w:val="695C115A"/>
    <w:rsid w:val="6F171149"/>
    <w:rsid w:val="72A9042B"/>
    <w:rsid w:val="737353CF"/>
    <w:rsid w:val="78E77201"/>
    <w:rsid w:val="7AEA252A"/>
    <w:rsid w:val="7BAE66CC"/>
    <w:rsid w:val="7D2A4296"/>
    <w:rsid w:val="7EB47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2"/>
    <w:qFormat/>
    <w:uiPriority w:val="0"/>
    <w:pPr>
      <w:tabs>
        <w:tab w:val="center" w:pos="4153"/>
        <w:tab w:val="right" w:pos="8306"/>
      </w:tabs>
      <w:snapToGrid w:val="0"/>
      <w:jc w:val="left"/>
    </w:pPr>
    <w:rPr>
      <w:sz w:val="18"/>
      <w:szCs w:val="18"/>
    </w:rPr>
  </w:style>
  <w:style w:type="paragraph" w:styleId="3">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800080"/>
      <w:u w:val="none"/>
    </w:rPr>
  </w:style>
  <w:style w:type="character" w:styleId="9">
    <w:name w:val="HTML Definition"/>
    <w:basedOn w:val="6"/>
    <w:qFormat/>
    <w:uiPriority w:val="0"/>
  </w:style>
  <w:style w:type="character" w:styleId="10">
    <w:name w:val="HTML Variable"/>
    <w:basedOn w:val="6"/>
    <w:qFormat/>
    <w:uiPriority w:val="0"/>
  </w:style>
  <w:style w:type="character" w:styleId="11">
    <w:name w:val="HTML Code"/>
    <w:basedOn w:val="6"/>
    <w:qFormat/>
    <w:uiPriority w:val="0"/>
    <w:rPr>
      <w:rFonts w:ascii="Courier New" w:hAnsi="Courier New"/>
      <w:vanish/>
      <w:sz w:val="20"/>
    </w:rPr>
  </w:style>
  <w:style w:type="character" w:styleId="12">
    <w:name w:val="HTML Cite"/>
    <w:basedOn w:val="6"/>
    <w:qFormat/>
    <w:uiPriority w:val="0"/>
  </w:style>
  <w:style w:type="character" w:customStyle="1" w:styleId="13">
    <w:name w:val="directchildrenspan"/>
    <w:basedOn w:val="6"/>
    <w:qFormat/>
    <w:uiPriority w:val="0"/>
  </w:style>
  <w:style w:type="character" w:customStyle="1" w:styleId="14">
    <w:name w:val="item-middle"/>
    <w:basedOn w:val="6"/>
    <w:qFormat/>
    <w:uiPriority w:val="0"/>
  </w:style>
  <w:style w:type="character" w:customStyle="1" w:styleId="15">
    <w:name w:val="ui-state-default12"/>
    <w:basedOn w:val="6"/>
    <w:qFormat/>
    <w:uiPriority w:val="0"/>
  </w:style>
  <w:style w:type="character" w:customStyle="1" w:styleId="16">
    <w:name w:val="clicked"/>
    <w:basedOn w:val="6"/>
    <w:qFormat/>
    <w:uiPriority w:val="0"/>
  </w:style>
  <w:style w:type="character" w:customStyle="1" w:styleId="17">
    <w:name w:val="clicked1"/>
    <w:basedOn w:val="6"/>
    <w:qFormat/>
    <w:uiPriority w:val="0"/>
  </w:style>
  <w:style w:type="character" w:customStyle="1" w:styleId="18">
    <w:name w:val="clicked2"/>
    <w:basedOn w:val="6"/>
    <w:qFormat/>
    <w:uiPriority w:val="0"/>
    <w:rPr>
      <w:color w:val="000000"/>
    </w:rPr>
  </w:style>
  <w:style w:type="character" w:customStyle="1" w:styleId="19">
    <w:name w:val="ui-state-hover21"/>
    <w:basedOn w:val="6"/>
    <w:qFormat/>
    <w:uiPriority w:val="0"/>
  </w:style>
  <w:style w:type="character" w:customStyle="1" w:styleId="20">
    <w:name w:val="button-hover"/>
    <w:basedOn w:val="6"/>
    <w:qFormat/>
    <w:uiPriority w:val="0"/>
  </w:style>
  <w:style w:type="character" w:customStyle="1" w:styleId="21">
    <w:name w:val="button-hover1"/>
    <w:basedOn w:val="6"/>
    <w:qFormat/>
    <w:uiPriority w:val="0"/>
  </w:style>
  <w:style w:type="character" w:customStyle="1" w:styleId="22">
    <w:name w:val="imgspan"/>
    <w:basedOn w:val="6"/>
    <w:qFormat/>
    <w:uiPriority w:val="0"/>
  </w:style>
  <w:style w:type="character" w:customStyle="1" w:styleId="23">
    <w:name w:val="image5"/>
    <w:basedOn w:val="6"/>
    <w:qFormat/>
    <w:uiPriority w:val="0"/>
  </w:style>
  <w:style w:type="character" w:customStyle="1" w:styleId="24">
    <w:name w:val="image6"/>
    <w:basedOn w:val="6"/>
    <w:qFormat/>
    <w:uiPriority w:val="0"/>
  </w:style>
  <w:style w:type="character" w:customStyle="1" w:styleId="25">
    <w:name w:val="image7"/>
    <w:basedOn w:val="6"/>
    <w:qFormat/>
    <w:uiPriority w:val="0"/>
  </w:style>
  <w:style w:type="character" w:customStyle="1" w:styleId="26">
    <w:name w:val="group"/>
    <w:basedOn w:val="6"/>
    <w:qFormat/>
    <w:uiPriority w:val="0"/>
  </w:style>
  <w:style w:type="character" w:customStyle="1" w:styleId="27">
    <w:name w:val="ui-state-active6"/>
    <w:basedOn w:val="6"/>
    <w:qFormat/>
    <w:uiPriority w:val="0"/>
  </w:style>
  <w:style w:type="character" w:customStyle="1" w:styleId="28">
    <w:name w:val="ui-icon34"/>
    <w:basedOn w:val="6"/>
    <w:qFormat/>
    <w:uiPriority w:val="0"/>
  </w:style>
  <w:style w:type="character" w:customStyle="1" w:styleId="29">
    <w:name w:val="newstitle"/>
    <w:basedOn w:val="6"/>
    <w:qFormat/>
    <w:uiPriority w:val="0"/>
    <w:rPr>
      <w:b/>
      <w:color w:val="000000"/>
      <w:sz w:val="24"/>
      <w:szCs w:val="24"/>
    </w:rPr>
  </w:style>
  <w:style w:type="character" w:customStyle="1" w:styleId="30">
    <w:name w:val="34"/>
    <w:qFormat/>
    <w:uiPriority w:val="0"/>
    <w:rPr>
      <w:rFonts w:hint="default" w:ascii="Calibri" w:hAnsi="Calibri"/>
      <w:b/>
      <w:bCs/>
    </w:rPr>
  </w:style>
  <w:style w:type="character" w:customStyle="1" w:styleId="31">
    <w:name w:val="页眉 Char"/>
    <w:basedOn w:val="6"/>
    <w:link w:val="3"/>
    <w:qFormat/>
    <w:uiPriority w:val="0"/>
    <w:rPr>
      <w:rFonts w:asciiTheme="minorHAnsi" w:hAnsiTheme="minorHAnsi" w:eastAsiaTheme="minorEastAsia" w:cstheme="minorBidi"/>
      <w:kern w:val="2"/>
      <w:sz w:val="18"/>
      <w:szCs w:val="18"/>
    </w:rPr>
  </w:style>
  <w:style w:type="character" w:customStyle="1" w:styleId="32">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1688</Words>
  <Characters>9627</Characters>
  <Lines>80</Lines>
  <Paragraphs>22</Paragraphs>
  <TotalTime>9</TotalTime>
  <ScaleCrop>false</ScaleCrop>
  <LinksUpToDate>false</LinksUpToDate>
  <CharactersWithSpaces>11293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2023-09-15T04:29:00Z</dcterms:created>
  <dc:creator>Administrator</dc:creator>
  <cp:lastModifiedBy>Freely  Fly</cp:lastModifiedBy>
  <dcterms:modified xsi:type="dcterms:W3CDTF">2023-09-26T01:53:37Z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BE5D6C626DE5419981C0E37A97468CB1_13</vt:lpwstr>
  </property>
</Properties>
</file>