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42" w:rsidRDefault="00997042" w:rsidP="0069187F">
      <w:pPr>
        <w:snapToGrid w:val="0"/>
        <w:spacing w:line="594" w:lineRule="exact"/>
        <w:rPr>
          <w:rFonts w:eastAsia="方正小标宋_GBK" w:hint="eastAsia"/>
          <w:bCs/>
          <w:color w:val="000000"/>
          <w:sz w:val="44"/>
        </w:rPr>
      </w:pPr>
    </w:p>
    <w:p w:rsidR="00997042" w:rsidRDefault="0069187F">
      <w:pPr>
        <w:spacing w:line="594" w:lineRule="exact"/>
        <w:jc w:val="center"/>
        <w:rPr>
          <w:rFonts w:eastAsia="方正小标宋_GBK"/>
          <w:bCs/>
          <w:color w:val="000000"/>
          <w:sz w:val="44"/>
        </w:rPr>
      </w:pPr>
      <w:r>
        <w:rPr>
          <w:rFonts w:eastAsia="方正小标宋_GBK" w:hint="eastAsia"/>
          <w:bCs/>
          <w:color w:val="000000"/>
          <w:sz w:val="44"/>
        </w:rPr>
        <w:t>关于《沙坪坝区进一步加强工程建设项目招标投标全过程监管的实施意见》征求意见的通知</w:t>
      </w:r>
    </w:p>
    <w:p w:rsidR="00997042" w:rsidRDefault="00997042">
      <w:pPr>
        <w:spacing w:line="594" w:lineRule="exact"/>
        <w:jc w:val="center"/>
        <w:rPr>
          <w:rFonts w:eastAsia="方正小标宋_GBK"/>
          <w:bCs/>
          <w:color w:val="000000"/>
          <w:sz w:val="44"/>
        </w:rPr>
      </w:pPr>
    </w:p>
    <w:p w:rsidR="00997042" w:rsidRDefault="0069187F">
      <w:pPr>
        <w:snapToGrid w:val="0"/>
        <w:spacing w:line="594" w:lineRule="exact"/>
        <w:rPr>
          <w:rFonts w:eastAsia="方正仿宋_GBK"/>
          <w:color w:val="000000"/>
          <w:szCs w:val="32"/>
        </w:rPr>
      </w:pPr>
      <w:r>
        <w:rPr>
          <w:rFonts w:eastAsia="方正仿宋_GBK" w:hint="eastAsia"/>
          <w:color w:val="000000"/>
          <w:szCs w:val="32"/>
        </w:rPr>
        <w:t>各社会单位：</w:t>
      </w:r>
    </w:p>
    <w:p w:rsidR="00997042" w:rsidRDefault="0069187F" w:rsidP="0069187F">
      <w:pPr>
        <w:spacing w:line="594" w:lineRule="exact"/>
        <w:ind w:firstLineChars="221" w:firstLine="707"/>
        <w:jc w:val="left"/>
        <w:rPr>
          <w:rFonts w:eastAsia="方正仿宋_GBK"/>
          <w:color w:val="000000"/>
          <w:szCs w:val="32"/>
        </w:rPr>
      </w:pPr>
      <w:r>
        <w:rPr>
          <w:rFonts w:eastAsia="方正仿宋_GBK" w:hint="eastAsia"/>
          <w:color w:val="000000"/>
          <w:szCs w:val="32"/>
        </w:rPr>
        <w:t>沙坪坝</w:t>
      </w:r>
      <w:r>
        <w:rPr>
          <w:rFonts w:eastAsia="方正仿宋_GBK" w:hint="eastAsia"/>
          <w:color w:val="000000"/>
          <w:szCs w:val="32"/>
        </w:rPr>
        <w:t>区公管局起草了《沙坪坝区进一步加强工程建设项目招标投标全过程监管的实施意见》</w:t>
      </w:r>
      <w:r>
        <w:rPr>
          <w:rFonts w:eastAsia="方正仿宋_GBK" w:hint="eastAsia"/>
          <w:color w:val="000000"/>
          <w:szCs w:val="32"/>
        </w:rPr>
        <w:t>。</w:t>
      </w:r>
      <w:r>
        <w:rPr>
          <w:rFonts w:eastAsia="方正仿宋_GBK"/>
          <w:color w:val="000000"/>
          <w:szCs w:val="32"/>
        </w:rPr>
        <w:t>现</w:t>
      </w:r>
      <w:r>
        <w:rPr>
          <w:rFonts w:eastAsia="方正仿宋_GBK" w:hint="eastAsia"/>
          <w:color w:val="000000"/>
          <w:szCs w:val="32"/>
        </w:rPr>
        <w:t>对</w:t>
      </w:r>
      <w:r>
        <w:rPr>
          <w:rFonts w:eastAsia="方正仿宋_GBK" w:hint="eastAsia"/>
          <w:color w:val="000000"/>
          <w:szCs w:val="32"/>
        </w:rPr>
        <w:t>《沙坪坝区进一步加强工程建设项目招标投标全过程监管的实施意见》</w:t>
      </w:r>
      <w:r>
        <w:rPr>
          <w:rFonts w:eastAsia="方正仿宋_GBK" w:hint="eastAsia"/>
          <w:color w:val="000000"/>
          <w:szCs w:val="32"/>
        </w:rPr>
        <w:t>公开征求意见</w:t>
      </w:r>
      <w:r>
        <w:rPr>
          <w:rFonts w:eastAsia="方正仿宋_GBK"/>
          <w:color w:val="000000"/>
          <w:szCs w:val="32"/>
        </w:rPr>
        <w:t>。</w:t>
      </w:r>
      <w:r>
        <w:rPr>
          <w:rFonts w:eastAsia="方正仿宋_GBK" w:hint="eastAsia"/>
          <w:color w:val="000000"/>
          <w:szCs w:val="32"/>
        </w:rPr>
        <w:t>如有意见，请反馈至电子邮箱：</w:t>
      </w:r>
      <w:r>
        <w:rPr>
          <w:rFonts w:eastAsia="方正仿宋_GBK" w:hint="eastAsia"/>
          <w:color w:val="000000"/>
          <w:szCs w:val="32"/>
        </w:rPr>
        <w:t>cqspbggj@163.com</w:t>
      </w:r>
      <w:r>
        <w:rPr>
          <w:rFonts w:eastAsia="方正仿宋_GBK" w:hint="eastAsia"/>
          <w:color w:val="000000"/>
          <w:szCs w:val="32"/>
        </w:rPr>
        <w:t>，或电话：</w:t>
      </w:r>
      <w:r>
        <w:rPr>
          <w:rFonts w:eastAsia="方正仿宋_GBK" w:hint="eastAsia"/>
          <w:color w:val="000000"/>
          <w:szCs w:val="32"/>
        </w:rPr>
        <w:t>023-65368483</w:t>
      </w:r>
      <w:r>
        <w:rPr>
          <w:rFonts w:eastAsia="方正仿宋_GBK" w:hint="eastAsia"/>
          <w:color w:val="000000"/>
          <w:szCs w:val="32"/>
        </w:rPr>
        <w:t>。</w:t>
      </w:r>
    </w:p>
    <w:p w:rsidR="00997042" w:rsidRDefault="00997042">
      <w:pPr>
        <w:snapToGrid w:val="0"/>
        <w:spacing w:line="594" w:lineRule="exact"/>
        <w:ind w:left="960" w:hangingChars="300" w:hanging="960"/>
        <w:rPr>
          <w:rFonts w:eastAsia="方正仿宋_GBK"/>
          <w:color w:val="000000"/>
          <w:szCs w:val="32"/>
        </w:rPr>
      </w:pPr>
    </w:p>
    <w:p w:rsidR="00997042" w:rsidRDefault="0069187F">
      <w:pPr>
        <w:snapToGrid w:val="0"/>
        <w:spacing w:line="594" w:lineRule="exact"/>
        <w:ind w:left="960" w:hangingChars="300" w:hanging="960"/>
        <w:rPr>
          <w:rFonts w:eastAsia="方正仿宋_GBK"/>
          <w:color w:val="000000"/>
          <w:szCs w:val="32"/>
        </w:rPr>
      </w:pPr>
      <w:r>
        <w:rPr>
          <w:rFonts w:eastAsia="方正仿宋_GBK"/>
          <w:color w:val="000000"/>
          <w:szCs w:val="32"/>
        </w:rPr>
        <w:t>附件：《</w:t>
      </w:r>
      <w:r>
        <w:rPr>
          <w:rFonts w:eastAsia="方正仿宋_GBK" w:hint="eastAsia"/>
          <w:color w:val="000000"/>
          <w:szCs w:val="32"/>
        </w:rPr>
        <w:t>沙坪坝区进一步加强工程建设项目招标投标全过程监管的实施意见</w:t>
      </w:r>
      <w:r>
        <w:rPr>
          <w:rFonts w:eastAsia="方正仿宋_GBK"/>
          <w:color w:val="000000"/>
          <w:szCs w:val="32"/>
        </w:rPr>
        <w:t>》（征求意见稿）</w:t>
      </w:r>
    </w:p>
    <w:p w:rsidR="00997042" w:rsidRDefault="00997042">
      <w:pPr>
        <w:spacing w:line="594" w:lineRule="exact"/>
        <w:ind w:firstLineChars="200" w:firstLine="640"/>
        <w:jc w:val="right"/>
        <w:rPr>
          <w:rFonts w:eastAsia="方正仿宋_GBK"/>
          <w:szCs w:val="32"/>
        </w:rPr>
      </w:pPr>
    </w:p>
    <w:p w:rsidR="00997042" w:rsidRDefault="00997042">
      <w:pPr>
        <w:spacing w:line="594" w:lineRule="exact"/>
        <w:ind w:firstLineChars="200" w:firstLine="640"/>
        <w:jc w:val="right"/>
        <w:rPr>
          <w:rFonts w:eastAsia="方正仿宋_GBK"/>
          <w:szCs w:val="32"/>
        </w:rPr>
      </w:pPr>
    </w:p>
    <w:p w:rsidR="00997042" w:rsidRDefault="0069187F">
      <w:pPr>
        <w:spacing w:line="594" w:lineRule="exact"/>
        <w:jc w:val="right"/>
        <w:rPr>
          <w:rFonts w:eastAsia="方正仿宋_GBK"/>
          <w:color w:val="000000"/>
          <w:szCs w:val="32"/>
        </w:rPr>
      </w:pPr>
      <w:r>
        <w:rPr>
          <w:rFonts w:eastAsia="方正仿宋_GBK" w:hint="eastAsia"/>
          <w:color w:val="000000"/>
          <w:szCs w:val="32"/>
        </w:rPr>
        <w:t>重庆</w:t>
      </w:r>
      <w:r>
        <w:rPr>
          <w:rFonts w:eastAsia="方正仿宋_GBK"/>
          <w:color w:val="000000"/>
          <w:szCs w:val="32"/>
        </w:rPr>
        <w:t>市沙坪坝区政务服务管理办公室</w:t>
      </w:r>
    </w:p>
    <w:p w:rsidR="00997042" w:rsidRDefault="0069187F">
      <w:pPr>
        <w:spacing w:line="594" w:lineRule="exact"/>
        <w:jc w:val="right"/>
        <w:rPr>
          <w:rFonts w:eastAsia="方正仿宋_GBK"/>
          <w:color w:val="000000"/>
          <w:szCs w:val="32"/>
        </w:rPr>
      </w:pPr>
      <w:r>
        <w:rPr>
          <w:rFonts w:eastAsia="方正仿宋_GBK"/>
          <w:color w:val="000000"/>
          <w:szCs w:val="32"/>
        </w:rPr>
        <w:t>（沙坪坝区公共资源交易监督管理局）</w:t>
      </w:r>
    </w:p>
    <w:p w:rsidR="00997042" w:rsidRDefault="0069187F">
      <w:pPr>
        <w:spacing w:line="594" w:lineRule="exact"/>
        <w:jc w:val="center"/>
        <w:rPr>
          <w:rFonts w:eastAsia="方正仿宋_GBK"/>
          <w:color w:val="000000"/>
          <w:szCs w:val="32"/>
        </w:rPr>
      </w:pPr>
      <w:r>
        <w:rPr>
          <w:rFonts w:eastAsia="方正仿宋_GBK"/>
          <w:color w:val="000000"/>
          <w:szCs w:val="32"/>
        </w:rPr>
        <w:t xml:space="preserve">                                               202</w:t>
      </w:r>
      <w:r>
        <w:rPr>
          <w:rFonts w:eastAsia="方正仿宋_GBK" w:hint="eastAsia"/>
          <w:color w:val="000000"/>
          <w:szCs w:val="32"/>
        </w:rPr>
        <w:t>4</w:t>
      </w:r>
      <w:r>
        <w:rPr>
          <w:rFonts w:eastAsia="方正仿宋_GBK"/>
          <w:color w:val="000000"/>
          <w:szCs w:val="32"/>
        </w:rPr>
        <w:t>年</w:t>
      </w:r>
      <w:r>
        <w:rPr>
          <w:rFonts w:eastAsia="方正仿宋_GBK" w:hint="eastAsia"/>
          <w:color w:val="000000"/>
          <w:szCs w:val="32"/>
        </w:rPr>
        <w:t>4</w:t>
      </w:r>
      <w:r>
        <w:rPr>
          <w:rFonts w:eastAsia="方正仿宋_GBK"/>
          <w:color w:val="000000"/>
          <w:szCs w:val="32"/>
        </w:rPr>
        <w:t>月</w:t>
      </w:r>
      <w:r>
        <w:rPr>
          <w:rFonts w:eastAsia="方正仿宋_GBK" w:hint="eastAsia"/>
          <w:color w:val="000000"/>
          <w:szCs w:val="32"/>
        </w:rPr>
        <w:t>1</w:t>
      </w:r>
      <w:r>
        <w:rPr>
          <w:rFonts w:eastAsia="方正仿宋_GBK"/>
          <w:color w:val="000000"/>
          <w:szCs w:val="32"/>
        </w:rPr>
        <w:t>日</w:t>
      </w:r>
    </w:p>
    <w:p w:rsidR="00997042" w:rsidRDefault="00997042">
      <w:pPr>
        <w:spacing w:line="594" w:lineRule="exact"/>
        <w:ind w:firstLineChars="200" w:firstLine="640"/>
        <w:rPr>
          <w:rFonts w:eastAsia="方正仿宋_GBK"/>
          <w:szCs w:val="32"/>
        </w:rPr>
      </w:pPr>
    </w:p>
    <w:p w:rsidR="00997042" w:rsidRDefault="00997042">
      <w:pPr>
        <w:spacing w:line="594" w:lineRule="exact"/>
        <w:ind w:firstLineChars="200" w:firstLine="640"/>
        <w:rPr>
          <w:rFonts w:eastAsia="方正仿宋_GBK"/>
          <w:szCs w:val="32"/>
        </w:rPr>
      </w:pPr>
    </w:p>
    <w:p w:rsidR="00997042" w:rsidRDefault="00997042">
      <w:pPr>
        <w:spacing w:line="594" w:lineRule="exact"/>
        <w:ind w:firstLineChars="200" w:firstLine="640"/>
        <w:rPr>
          <w:rFonts w:ascii="方正仿宋_GBK" w:eastAsia="方正仿宋_GBK"/>
          <w:szCs w:val="32"/>
        </w:rPr>
      </w:pPr>
    </w:p>
    <w:p w:rsidR="00997042" w:rsidRDefault="00997042">
      <w:pPr>
        <w:spacing w:line="594" w:lineRule="exact"/>
        <w:ind w:firstLineChars="200" w:firstLine="640"/>
        <w:rPr>
          <w:rFonts w:ascii="方正仿宋_GBK" w:eastAsia="方正仿宋_GBK"/>
          <w:szCs w:val="32"/>
        </w:rPr>
      </w:pPr>
      <w:bookmarkStart w:id="0" w:name="_GoBack"/>
    </w:p>
    <w:bookmarkEnd w:id="0"/>
    <w:p w:rsidR="00997042" w:rsidRDefault="00997042" w:rsidP="0069187F">
      <w:pPr>
        <w:adjustRightInd w:val="0"/>
        <w:snapToGrid w:val="0"/>
        <w:spacing w:line="594" w:lineRule="exact"/>
        <w:rPr>
          <w:rFonts w:eastAsia="方正黑体_GBK" w:cs="方正黑体_GBK" w:hint="eastAsia"/>
          <w:color w:val="000000"/>
          <w:szCs w:val="32"/>
        </w:rPr>
      </w:pPr>
    </w:p>
    <w:p w:rsidR="00997042" w:rsidRDefault="0069187F">
      <w:pPr>
        <w:adjustRightInd w:val="0"/>
        <w:snapToGrid w:val="0"/>
        <w:spacing w:line="594" w:lineRule="exact"/>
        <w:ind w:left="100"/>
        <w:rPr>
          <w:rFonts w:eastAsia="方正黑体_GBK" w:cs="方正黑体_GBK"/>
          <w:color w:val="000000"/>
          <w:szCs w:val="32"/>
        </w:rPr>
      </w:pPr>
      <w:r>
        <w:rPr>
          <w:rFonts w:eastAsia="方正黑体_GBK" w:cs="方正黑体_GBK" w:hint="eastAsia"/>
          <w:color w:val="000000"/>
          <w:szCs w:val="32"/>
        </w:rPr>
        <w:t>附件</w:t>
      </w:r>
      <w:r>
        <w:rPr>
          <w:rFonts w:eastAsia="方正黑体_GBK" w:cs="方正黑体_GBK" w:hint="eastAsia"/>
          <w:color w:val="000000"/>
          <w:szCs w:val="32"/>
        </w:rPr>
        <w:t>：</w:t>
      </w:r>
    </w:p>
    <w:p w:rsidR="00997042" w:rsidRDefault="0069187F">
      <w:pPr>
        <w:keepNext/>
        <w:keepLines/>
        <w:adjustRightInd w:val="0"/>
        <w:snapToGrid w:val="0"/>
        <w:spacing w:line="594" w:lineRule="exact"/>
        <w:jc w:val="center"/>
        <w:outlineLvl w:val="0"/>
        <w:rPr>
          <w:rFonts w:eastAsia="方正小标宋_GBK"/>
          <w:b/>
          <w:bCs/>
          <w:color w:val="000000"/>
          <w:kern w:val="44"/>
          <w:sz w:val="44"/>
          <w:szCs w:val="44"/>
        </w:rPr>
      </w:pPr>
      <w:r>
        <w:rPr>
          <w:rFonts w:eastAsia="方正小标宋_GBK" w:hint="eastAsia"/>
          <w:b/>
          <w:bCs/>
          <w:color w:val="000000"/>
          <w:kern w:val="44"/>
          <w:sz w:val="44"/>
          <w:szCs w:val="44"/>
        </w:rPr>
        <w:t>关于进一步加强工程建设项目招标投标</w:t>
      </w:r>
    </w:p>
    <w:p w:rsidR="00997042" w:rsidRDefault="0069187F">
      <w:pPr>
        <w:keepNext/>
        <w:keepLines/>
        <w:adjustRightInd w:val="0"/>
        <w:snapToGrid w:val="0"/>
        <w:spacing w:line="594" w:lineRule="exact"/>
        <w:jc w:val="center"/>
        <w:outlineLvl w:val="0"/>
        <w:rPr>
          <w:rFonts w:eastAsia="方正小标宋_GBK"/>
          <w:b/>
          <w:bCs/>
          <w:color w:val="000000"/>
          <w:kern w:val="44"/>
          <w:sz w:val="44"/>
          <w:szCs w:val="44"/>
        </w:rPr>
      </w:pPr>
      <w:r>
        <w:rPr>
          <w:rFonts w:eastAsia="方正小标宋_GBK" w:hint="eastAsia"/>
          <w:b/>
          <w:bCs/>
          <w:color w:val="000000"/>
          <w:kern w:val="44"/>
          <w:sz w:val="44"/>
          <w:szCs w:val="44"/>
        </w:rPr>
        <w:t>全过程监管的实施意见</w:t>
      </w:r>
    </w:p>
    <w:p w:rsidR="00997042" w:rsidRDefault="0069187F">
      <w:pPr>
        <w:spacing w:line="594" w:lineRule="exact"/>
        <w:jc w:val="center"/>
        <w:rPr>
          <w:rFonts w:eastAsia="方正楷体_GBK"/>
          <w:color w:val="000000"/>
          <w:szCs w:val="32"/>
        </w:rPr>
      </w:pPr>
      <w:r>
        <w:rPr>
          <w:rFonts w:eastAsia="方正楷体_GBK"/>
          <w:color w:val="000000"/>
          <w:szCs w:val="32"/>
        </w:rPr>
        <w:t>（征求意见稿）</w:t>
      </w:r>
    </w:p>
    <w:p w:rsidR="00997042" w:rsidRDefault="0069187F">
      <w:pPr>
        <w:snapToGrid w:val="0"/>
        <w:spacing w:line="594" w:lineRule="exact"/>
        <w:rPr>
          <w:rFonts w:eastAsia="方正仿宋_GBK"/>
          <w:color w:val="000000"/>
          <w:szCs w:val="32"/>
        </w:rPr>
      </w:pPr>
      <w:r>
        <w:rPr>
          <w:rFonts w:eastAsia="方正仿宋_GBK" w:hint="eastAsia"/>
          <w:color w:val="000000"/>
          <w:szCs w:val="32"/>
        </w:rPr>
        <w:t>各有关单位：</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为认真落实国家发展改革委等部门《关于严格执行招标投标法规制度进一步规范招标投标主体行为的若干意见》（发改法规规〔</w:t>
      </w:r>
      <w:r>
        <w:rPr>
          <w:rFonts w:eastAsia="方正仿宋_GBK" w:hint="eastAsia"/>
          <w:color w:val="000000"/>
          <w:szCs w:val="32"/>
        </w:rPr>
        <w:t>2022</w:t>
      </w:r>
      <w:r>
        <w:rPr>
          <w:rFonts w:eastAsia="方正仿宋_GBK" w:hint="eastAsia"/>
          <w:color w:val="000000"/>
          <w:szCs w:val="32"/>
        </w:rPr>
        <w:t>〕</w:t>
      </w:r>
      <w:r>
        <w:rPr>
          <w:rFonts w:eastAsia="方正仿宋_GBK" w:hint="eastAsia"/>
          <w:color w:val="000000"/>
          <w:szCs w:val="32"/>
        </w:rPr>
        <w:t>1117</w:t>
      </w:r>
      <w:r>
        <w:rPr>
          <w:rFonts w:eastAsia="方正仿宋_GBK" w:hint="eastAsia"/>
          <w:color w:val="000000"/>
          <w:szCs w:val="32"/>
        </w:rPr>
        <w:t>号）规定，进一步规范政府投资项目工程招标投标活动，严格控制工程造价，根据《中华人民共和国招标投标法》、《中华人民共和国合同法》、《必须招标的基础设施和公用事业项目范围》（国家发改委第</w:t>
      </w:r>
      <w:r>
        <w:rPr>
          <w:rFonts w:eastAsia="方正仿宋_GBK" w:hint="eastAsia"/>
          <w:color w:val="000000"/>
          <w:szCs w:val="32"/>
        </w:rPr>
        <w:t>16</w:t>
      </w:r>
      <w:r>
        <w:rPr>
          <w:rFonts w:eastAsia="方正仿宋_GBK" w:hint="eastAsia"/>
          <w:color w:val="000000"/>
          <w:szCs w:val="32"/>
        </w:rPr>
        <w:t>号令）等法律法规，以及《沙坪坝区政府投资项目管理实施细则（修订）》，《沙坪坝区限额以下政府投资工程建设项目发包管理办法》，解决招标投标活动中存在的突出问题，进一步完善工程建设项目招标投标交易机</w:t>
      </w:r>
      <w:r>
        <w:rPr>
          <w:rFonts w:eastAsia="方正仿宋_GBK" w:hint="eastAsia"/>
          <w:color w:val="000000"/>
          <w:szCs w:val="32"/>
        </w:rPr>
        <w:t>制与监督管理，提出以下实施意见。</w:t>
      </w:r>
    </w:p>
    <w:p w:rsidR="00997042" w:rsidRDefault="0069187F">
      <w:pPr>
        <w:snapToGrid w:val="0"/>
        <w:spacing w:line="594" w:lineRule="exact"/>
        <w:rPr>
          <w:rFonts w:ascii="方正黑体_GBK" w:eastAsia="方正黑体_GBK" w:hAnsi="方正黑体_GBK" w:cs="方正黑体_GBK"/>
          <w:kern w:val="0"/>
          <w:szCs w:val="32"/>
          <w:lang w:bidi="zh-CN"/>
        </w:rPr>
      </w:pPr>
      <w:r>
        <w:rPr>
          <w:rFonts w:eastAsia="方正仿宋_GBK" w:hint="eastAsia"/>
          <w:color w:val="000000"/>
          <w:szCs w:val="32"/>
        </w:rPr>
        <w:t xml:space="preserve">　</w:t>
      </w:r>
      <w:r>
        <w:rPr>
          <w:rFonts w:ascii="方正黑体_GBK" w:eastAsia="方正黑体_GBK" w:hAnsi="方正黑体_GBK" w:cs="方正黑体_GBK" w:hint="eastAsia"/>
          <w:kern w:val="0"/>
          <w:szCs w:val="32"/>
          <w:lang w:bidi="zh-CN"/>
        </w:rPr>
        <w:t xml:space="preserve">　一、加强标前监管</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（一）严格审批核准招标事项</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w:t>
      </w:r>
      <w:r>
        <w:rPr>
          <w:rFonts w:eastAsia="方正仿宋_GBK" w:hint="eastAsia"/>
          <w:color w:val="000000"/>
          <w:szCs w:val="32"/>
        </w:rPr>
        <w:t>依法必须进行招标的工程建设项目，需要履行项目审批、核准手续的，项目单位提交的项目可行性研究报告或申请报告中应当包含招标内容，项目审批、核准部门应当在项目建议书批复或可行性研究报告批复或核准批复文件中明确招标事项；只审批</w:t>
      </w:r>
      <w:r>
        <w:rPr>
          <w:rFonts w:eastAsia="方正仿宋_GBK" w:hint="eastAsia"/>
          <w:color w:val="000000"/>
          <w:szCs w:val="32"/>
        </w:rPr>
        <w:lastRenderedPageBreak/>
        <w:t>项目实施方案或初步设计的，由项目单位向审批部门单独提出招标事项申请。</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2.</w:t>
      </w:r>
      <w:r>
        <w:rPr>
          <w:rFonts w:eastAsia="方正仿宋_GBK" w:hint="eastAsia"/>
          <w:color w:val="000000"/>
          <w:szCs w:val="32"/>
        </w:rPr>
        <w:t>招标事项应包含依法必须招标的施工、勘察、设计、监理和与项目相关的重要材料或设备采购，以项目批复文件所有建设内容为依据，单项内</w:t>
      </w:r>
      <w:r>
        <w:rPr>
          <w:rFonts w:eastAsia="方正仿宋_GBK" w:hint="eastAsia"/>
          <w:color w:val="000000"/>
          <w:szCs w:val="32"/>
        </w:rPr>
        <w:t>容合计达到依法招标限额的应核准为公开招标，不得拆分项目申请招标事项。</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3.</w:t>
      </w:r>
      <w:r>
        <w:rPr>
          <w:rFonts w:eastAsia="方正仿宋_GBK" w:hint="eastAsia"/>
          <w:color w:val="000000"/>
          <w:szCs w:val="32"/>
        </w:rPr>
        <w:t>已审批核准的招标事项不得随意改变，因情况变更等特殊原因确需改变的，应当报原项目审批或核准部门批准。</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4.</w:t>
      </w:r>
      <w:r>
        <w:rPr>
          <w:rFonts w:eastAsia="方正仿宋_GBK" w:hint="eastAsia"/>
          <w:color w:val="000000"/>
          <w:szCs w:val="32"/>
        </w:rPr>
        <w:t>非依法必须招标项目按照《《沙坪坝区限额以下政府投资工程建设项目发包管理办法》》执行。</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5.</w:t>
      </w:r>
      <w:r>
        <w:rPr>
          <w:rFonts w:eastAsia="方正仿宋_GBK" w:hint="eastAsia"/>
          <w:color w:val="000000"/>
          <w:szCs w:val="32"/>
        </w:rPr>
        <w:t>招投标行政监督部门应当定期组织抽查招标事项批复情况，发现不按规定申请审批、核准项目招标事项的，责令改正，并交由有权机关对责任人依法给予处分。</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（二）规范招标代理机构选取</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6.</w:t>
      </w:r>
      <w:r>
        <w:rPr>
          <w:rFonts w:eastAsia="方正仿宋_GBK" w:hint="eastAsia"/>
          <w:color w:val="000000"/>
          <w:szCs w:val="32"/>
        </w:rPr>
        <w:t>政府投资的工程建设项目选取招标代理机构应当遵循公开、规范、择优原则</w:t>
      </w:r>
      <w:r>
        <w:rPr>
          <w:rFonts w:eastAsia="方正仿宋_GBK" w:hint="eastAsia"/>
          <w:color w:val="000000"/>
          <w:szCs w:val="32"/>
        </w:rPr>
        <w:t>，选取需求及结果应当向社会公开，选取过程应当实行集体决策。达到“三重一大”制度标准的，选取招标代理机构事项应当按照“三重一大”制度进行决策。招标人按程序确定招标代理机构，也可以在沙坪坝区限额以下电子交易系统选取，不得通过投标人推荐、低价中选等方式确定招标代理机构。</w:t>
      </w:r>
    </w:p>
    <w:p w:rsidR="00997042" w:rsidRDefault="0069187F">
      <w:pPr>
        <w:snapToGrid w:val="0"/>
        <w:spacing w:line="594" w:lineRule="exact"/>
        <w:ind w:firstLineChars="200" w:firstLine="640"/>
        <w:rPr>
          <w:rFonts w:ascii="方正楷体_GBK" w:eastAsia="方正楷体_GBK" w:hAnsi="方正楷体_GBK" w:cs="方正楷体_GBK"/>
          <w:color w:val="000000"/>
          <w:szCs w:val="32"/>
        </w:rPr>
      </w:pPr>
      <w:r>
        <w:rPr>
          <w:rFonts w:ascii="方正楷体_GBK" w:eastAsia="方正楷体_GBK" w:hAnsi="方正楷体_GBK" w:cs="方正楷体_GBK" w:hint="eastAsia"/>
          <w:color w:val="000000"/>
          <w:szCs w:val="32"/>
        </w:rPr>
        <w:t>（三）切实履行招标文件备案职责</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7.</w:t>
      </w:r>
      <w:r>
        <w:rPr>
          <w:rFonts w:eastAsia="方正仿宋_GBK" w:hint="eastAsia"/>
          <w:color w:val="000000"/>
          <w:szCs w:val="32"/>
        </w:rPr>
        <w:t>招投标行政监督部门应当在办理招标文件备案时，重点纠</w:t>
      </w:r>
      <w:r>
        <w:rPr>
          <w:rFonts w:eastAsia="方正仿宋_GBK" w:hint="eastAsia"/>
          <w:color w:val="000000"/>
          <w:szCs w:val="32"/>
        </w:rPr>
        <w:lastRenderedPageBreak/>
        <w:t>正违法违规设置量身定做或限制、排斥潜在投标人的资格条件、评分办法、中标条件等问题，并依法依规对招标人、招标代理机构及项目负责人进行处理。</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8.</w:t>
      </w:r>
      <w:r>
        <w:rPr>
          <w:rFonts w:eastAsia="方正仿宋_GBK" w:hint="eastAsia"/>
          <w:color w:val="000000"/>
          <w:szCs w:val="32"/>
        </w:rPr>
        <w:t>招标文件编制应使用重庆市统一的招标文件范本，严格按照不同行业和类别的招标文件范本编制要求执行，不得替换、修改范本明确不允许修改的内容。</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（四）加强信息公示</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9.</w:t>
      </w:r>
      <w:r>
        <w:rPr>
          <w:rFonts w:eastAsia="方正仿宋_GBK" w:hint="eastAsia"/>
          <w:color w:val="000000"/>
          <w:szCs w:val="32"/>
        </w:rPr>
        <w:t>依法必须招标项目的招标计划、招标公告和公示信息应在指定信息发布媒介——重庆市公共资源交易监督网发布，可同步在行业指定媒介发布，发布内容应当保持一致。</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10.</w:t>
      </w:r>
      <w:r>
        <w:rPr>
          <w:rFonts w:eastAsia="方正仿宋_GBK" w:hint="eastAsia"/>
          <w:color w:val="000000"/>
          <w:szCs w:val="32"/>
        </w:rPr>
        <w:t>经审批核准必须招标的事项应采用全流程电子招投标，招标人要按照重庆市对招标投标市场主体信息登记和</w:t>
      </w:r>
      <w:r>
        <w:rPr>
          <w:rFonts w:eastAsia="方正仿宋_GBK" w:hint="eastAsia"/>
          <w:color w:val="000000"/>
          <w:szCs w:val="32"/>
        </w:rPr>
        <w:t xml:space="preserve"> CA </w:t>
      </w:r>
      <w:r>
        <w:rPr>
          <w:rFonts w:eastAsia="方正仿宋_GBK" w:hint="eastAsia"/>
          <w:color w:val="000000"/>
          <w:szCs w:val="32"/>
        </w:rPr>
        <w:t>数字证书办理要求，完成登记信息和办理证书。</w:t>
      </w:r>
    </w:p>
    <w:p w:rsidR="00997042" w:rsidRDefault="0069187F">
      <w:pPr>
        <w:snapToGrid w:val="0"/>
        <w:spacing w:line="594" w:lineRule="exact"/>
        <w:rPr>
          <w:rFonts w:ascii="方正黑体_GBK" w:eastAsia="方正黑体_GBK" w:hAnsi="方正黑体_GBK" w:cs="方正黑体_GBK"/>
          <w:kern w:val="0"/>
          <w:szCs w:val="32"/>
          <w:lang w:bidi="zh-CN"/>
        </w:rPr>
      </w:pPr>
      <w:r>
        <w:rPr>
          <w:rFonts w:eastAsia="方正仿宋_GBK" w:hint="eastAsia"/>
          <w:color w:val="000000"/>
          <w:szCs w:val="32"/>
        </w:rPr>
        <w:t xml:space="preserve">　</w:t>
      </w:r>
      <w:r>
        <w:rPr>
          <w:rFonts w:ascii="方正黑体_GBK" w:eastAsia="方正黑体_GBK" w:hAnsi="方正黑体_GBK" w:cs="方正黑体_GBK" w:hint="eastAsia"/>
          <w:kern w:val="0"/>
          <w:szCs w:val="32"/>
          <w:lang w:bidi="zh-CN"/>
        </w:rPr>
        <w:t xml:space="preserve">　二、加强标中监管</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（五</w:t>
      </w:r>
      <w:r>
        <w:rPr>
          <w:rFonts w:ascii="方正楷体_GBK" w:eastAsia="方正楷体_GBK" w:hAnsi="方正楷体_GBK" w:cs="方正楷体_GBK" w:hint="eastAsia"/>
          <w:color w:val="000000"/>
          <w:szCs w:val="32"/>
        </w:rPr>
        <w:t>）强化交易现场监管</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11.</w:t>
      </w:r>
      <w:r>
        <w:rPr>
          <w:rFonts w:eastAsia="方正仿宋_GBK" w:hint="eastAsia"/>
          <w:color w:val="000000"/>
          <w:szCs w:val="32"/>
        </w:rPr>
        <w:t>公共资源交易平台应当严格评标区域管理，实行全天候全方位无死角实时监控。严禁除评标专家之外的任何人员进入评标区域；严禁负责抽取专家的相关人员在专家抽取至专家到达评标室期间、评标专家在评标期间与外界的一切非正常接触和联系；严禁场内工作人员与无关人员接触、交流，并以任何形式就现场管理以外的内容发表意见。</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12.</w:t>
      </w:r>
      <w:r>
        <w:rPr>
          <w:rFonts w:eastAsia="方正仿宋_GBK" w:hint="eastAsia"/>
          <w:color w:val="000000"/>
          <w:szCs w:val="32"/>
        </w:rPr>
        <w:t>公共资源交易平台发现现场开、评标行为存在异常迹象</w:t>
      </w:r>
      <w:r>
        <w:rPr>
          <w:rFonts w:eastAsia="方正仿宋_GBK" w:hint="eastAsia"/>
          <w:color w:val="000000"/>
          <w:szCs w:val="32"/>
        </w:rPr>
        <w:lastRenderedPageBreak/>
        <w:t>的，应当在见证报告中记录，并及时报告行政监督部门，行政监督部门经调查核实确有异常的，依法依规进行处理，处理结果抄送公共资源交</w:t>
      </w:r>
      <w:r>
        <w:rPr>
          <w:rFonts w:eastAsia="方正仿宋_GBK" w:hint="eastAsia"/>
          <w:color w:val="000000"/>
          <w:szCs w:val="32"/>
        </w:rPr>
        <w:t>易平台服务机构。</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（六）规范评标结果复核工作流程</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13.</w:t>
      </w:r>
      <w:r>
        <w:rPr>
          <w:rFonts w:eastAsia="方正仿宋_GBK" w:hint="eastAsia"/>
          <w:color w:val="000000"/>
          <w:szCs w:val="32"/>
        </w:rPr>
        <w:t>在评标专家独立评标完成后、评标专家离场前，招标代理机构对评标报告进行一次性复核。经复核发现存在评标专家对客观评审因素评审有误的，评标委员会应当场修正评标结果，并在评标报告中记载。</w:t>
      </w:r>
    </w:p>
    <w:p w:rsidR="00997042" w:rsidRDefault="0069187F">
      <w:pPr>
        <w:snapToGrid w:val="0"/>
        <w:spacing w:line="594" w:lineRule="exact"/>
        <w:ind w:firstLineChars="200" w:firstLine="640"/>
        <w:rPr>
          <w:rFonts w:eastAsia="方正仿宋_GBK"/>
          <w:color w:val="000000"/>
          <w:szCs w:val="32"/>
        </w:rPr>
      </w:pPr>
      <w:r>
        <w:rPr>
          <w:rFonts w:eastAsia="方正仿宋_GBK" w:hint="eastAsia"/>
          <w:color w:val="000000"/>
          <w:szCs w:val="32"/>
        </w:rPr>
        <w:t>14.</w:t>
      </w:r>
      <w:r>
        <w:rPr>
          <w:rFonts w:eastAsia="方正仿宋_GBK" w:hint="eastAsia"/>
          <w:color w:val="000000"/>
          <w:szCs w:val="32"/>
        </w:rPr>
        <w:t>中标公示期间，招标投标活动相关厉害人对评标结果提出异议、申请复评的，应当提供有效证据或线索。招标人认为确有必要的，向行政监督部门书面申请，经行政监督部门书面同意后，由招标人组织原评标委员会按法定程序进行复核。</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15.</w:t>
      </w:r>
      <w:r>
        <w:rPr>
          <w:rFonts w:eastAsia="方正仿宋_GBK" w:hint="eastAsia"/>
          <w:color w:val="000000"/>
          <w:szCs w:val="32"/>
        </w:rPr>
        <w:t>行政监督部门，定期对涉嫌徇私舞弊评标、两次以上复核（评）或复核（评）后改变结果等异常评标项目进行抽检评估，发现违法违规行为的应依法进行处理。</w:t>
      </w:r>
    </w:p>
    <w:p w:rsidR="00997042" w:rsidRDefault="0069187F">
      <w:pPr>
        <w:snapToGrid w:val="0"/>
        <w:spacing w:line="594" w:lineRule="exact"/>
        <w:rPr>
          <w:rFonts w:ascii="方正黑体_GBK" w:eastAsia="方正黑体_GBK" w:hAnsi="方正黑体_GBK" w:cs="方正黑体_GBK"/>
          <w:kern w:val="0"/>
          <w:szCs w:val="32"/>
          <w:lang w:bidi="zh-CN"/>
        </w:rPr>
      </w:pPr>
      <w:r>
        <w:rPr>
          <w:rFonts w:eastAsia="方正仿宋_GBK" w:hint="eastAsia"/>
          <w:color w:val="000000"/>
          <w:szCs w:val="32"/>
        </w:rPr>
        <w:t xml:space="preserve">　　</w:t>
      </w:r>
      <w:r>
        <w:rPr>
          <w:rFonts w:ascii="方正黑体_GBK" w:eastAsia="方正黑体_GBK" w:hAnsi="方正黑体_GBK" w:cs="方正黑体_GBK" w:hint="eastAsia"/>
          <w:kern w:val="0"/>
          <w:szCs w:val="32"/>
          <w:lang w:bidi="zh-CN"/>
        </w:rPr>
        <w:t>三、加强标后监管</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（七）推进合同订立及变更信息公开</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16.</w:t>
      </w:r>
      <w:r>
        <w:rPr>
          <w:rFonts w:eastAsia="方正仿宋_GBK" w:hint="eastAsia"/>
          <w:color w:val="000000"/>
          <w:szCs w:val="32"/>
        </w:rPr>
        <w:t>依法必须招标项目的招标人应当按照国家有关公共资源交易领域基层政务公开标准指引的要求，及时主动在重庆市电子招标投标系统上公开合同订立信息，并积极推进合同履行及变更信息公开。各行政监督部门应当加强对依法必须招标项目合同订立、履行及变更的行政监督。</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lastRenderedPageBreak/>
        <w:t xml:space="preserve">　　</w:t>
      </w:r>
      <w:r>
        <w:rPr>
          <w:rFonts w:ascii="方正楷体_GBK" w:eastAsia="方正楷体_GBK" w:hAnsi="方正楷体_GBK" w:cs="方正楷体_GBK" w:hint="eastAsia"/>
          <w:color w:val="000000"/>
          <w:szCs w:val="32"/>
        </w:rPr>
        <w:t>（八）严格关键岗位人员管理</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17.</w:t>
      </w:r>
      <w:r>
        <w:rPr>
          <w:rFonts w:eastAsia="方正仿宋_GBK" w:hint="eastAsia"/>
          <w:color w:val="000000"/>
          <w:szCs w:val="32"/>
        </w:rPr>
        <w:t>各行</w:t>
      </w:r>
      <w:r>
        <w:rPr>
          <w:rFonts w:eastAsia="方正仿宋_GBK" w:hint="eastAsia"/>
          <w:color w:val="000000"/>
          <w:szCs w:val="32"/>
        </w:rPr>
        <w:t>业主管部门应当对招标文件或投标承诺对施工现场关键岗位人员进行评审和查验，招标人在合同订立信息公示时一并公示施工现场关键岗位人员。</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（九）严肃查处转包、违法分包问题</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18.</w:t>
      </w:r>
      <w:r>
        <w:rPr>
          <w:rFonts w:eastAsia="方正仿宋_GBK" w:hint="eastAsia"/>
          <w:color w:val="000000"/>
          <w:szCs w:val="32"/>
        </w:rPr>
        <w:t>各行业主管部门应当综合利用大数据分析、人员人脸识别系统、社会监督等手段和渠道，加强项目履约监管，及时发现转包、违法分包问题线索并进行调查核实，对存在转包、违法分包问题的依法严格追究责任。</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（十）强化工程款结算管理</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19.</w:t>
      </w:r>
      <w:r>
        <w:rPr>
          <w:rFonts w:eastAsia="方正仿宋_GBK" w:hint="eastAsia"/>
          <w:color w:val="000000"/>
          <w:szCs w:val="32"/>
        </w:rPr>
        <w:t>项目单位应当严格按照有关规定和合同约定支付工程款项，不得无故拖延和违规卡扣。财政部门应当对纳入财政预算管理</w:t>
      </w:r>
      <w:r>
        <w:rPr>
          <w:rFonts w:eastAsia="方正仿宋_GBK" w:hint="eastAsia"/>
          <w:color w:val="000000"/>
          <w:szCs w:val="32"/>
        </w:rPr>
        <w:t>的工程建设项目工程款结算严格审核把关，发现应招未招、异常变更工程款支付对象或支付方式、另行订立背离招标文件合同实质性内容的协议、未按经财评投资评审的招标上限值招标、擅自更改招标工程量清单等问题线索的，应当及时移交行政监督部门查处。需追究有关人员责任的，由行政监督部门移交有权机关处理。</w:t>
      </w:r>
    </w:p>
    <w:p w:rsidR="00997042" w:rsidRDefault="0069187F">
      <w:pPr>
        <w:snapToGrid w:val="0"/>
        <w:spacing w:line="594" w:lineRule="exact"/>
        <w:rPr>
          <w:rFonts w:ascii="方正黑体_GBK" w:eastAsia="方正黑体_GBK" w:hAnsi="方正黑体_GBK" w:cs="方正黑体_GBK"/>
          <w:kern w:val="0"/>
          <w:szCs w:val="32"/>
          <w:lang w:bidi="zh-CN"/>
        </w:rPr>
      </w:pPr>
      <w:r>
        <w:rPr>
          <w:rFonts w:eastAsia="方正仿宋_GBK" w:hint="eastAsia"/>
          <w:color w:val="000000"/>
          <w:szCs w:val="32"/>
        </w:rPr>
        <w:t xml:space="preserve">　　</w:t>
      </w:r>
      <w:r>
        <w:rPr>
          <w:rFonts w:ascii="方正黑体_GBK" w:eastAsia="方正黑体_GBK" w:hAnsi="方正黑体_GBK" w:cs="方正黑体_GBK" w:hint="eastAsia"/>
          <w:kern w:val="0"/>
          <w:szCs w:val="32"/>
          <w:lang w:bidi="zh-CN"/>
        </w:rPr>
        <w:t>四、强化招投标主体监管</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（十一）压实招标人主体责任</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20.</w:t>
      </w:r>
      <w:r>
        <w:rPr>
          <w:rFonts w:eastAsia="方正仿宋_GBK" w:hint="eastAsia"/>
          <w:color w:val="000000"/>
          <w:szCs w:val="32"/>
        </w:rPr>
        <w:t>招标人要强化底线思维，压实主体责任。对招标人（含招标代理机构）规避招标、违规编制招标文件以及违反有关招标</w:t>
      </w:r>
      <w:r>
        <w:rPr>
          <w:rFonts w:eastAsia="方正仿宋_GBK" w:hint="eastAsia"/>
          <w:color w:val="000000"/>
          <w:szCs w:val="32"/>
        </w:rPr>
        <w:lastRenderedPageBreak/>
        <w:t>文件备案、开标评标、合同签订及履约、异议处理、投诉举报处理的规定，造成不良后果的，依法依规追究招标人（含招标代理机构）及有关人员责任。</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21.</w:t>
      </w:r>
      <w:r>
        <w:rPr>
          <w:rFonts w:eastAsia="方正仿宋_GBK" w:hint="eastAsia"/>
          <w:color w:val="000000"/>
          <w:szCs w:val="32"/>
        </w:rPr>
        <w:t>招标人应当严格按照批复的招标事项（包括招标范围、招标组织形式、招标方式）开展招标工作。不得将依法必须进行招标的项目化整为零、主附分离规避招标，或将不属于保密工程、应急工程的项目以保密工程、应急工程名义规避招标，不得先建后招虚假招标，不得私自修改公示的工</w:t>
      </w:r>
      <w:r>
        <w:rPr>
          <w:rFonts w:eastAsia="方正仿宋_GBK" w:hint="eastAsia"/>
          <w:color w:val="000000"/>
          <w:szCs w:val="32"/>
        </w:rPr>
        <w:t>程招标清单，不得以政府采购代替招标投标，也不得以招标投标代替政府采购。</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（十二）加强招标代理机构及从业人员监管</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22.</w:t>
      </w:r>
      <w:r>
        <w:rPr>
          <w:rFonts w:eastAsia="方正仿宋_GBK" w:hint="eastAsia"/>
          <w:color w:val="000000"/>
          <w:szCs w:val="32"/>
        </w:rPr>
        <w:t>依托“双随机、一公开”系统，加强对招标代理机构及从业人员的监管，强化信息登记及核查。行政监督部门每年对管辖区内招标代理机构按照《重庆市招标代理机构及从业人员管理暂行办法》要求进行检查，检查比例不低于</w:t>
      </w:r>
      <w:r>
        <w:rPr>
          <w:rFonts w:eastAsia="方正仿宋_GBK" w:hint="eastAsia"/>
          <w:color w:val="000000"/>
          <w:szCs w:val="32"/>
        </w:rPr>
        <w:t>50%</w:t>
      </w:r>
      <w:r>
        <w:rPr>
          <w:rFonts w:eastAsia="方正仿宋_GBK" w:hint="eastAsia"/>
          <w:color w:val="000000"/>
          <w:szCs w:val="32"/>
        </w:rPr>
        <w:t>。</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23.</w:t>
      </w:r>
      <w:r>
        <w:rPr>
          <w:rFonts w:eastAsia="方正仿宋_GBK" w:hint="eastAsia"/>
          <w:color w:val="000000"/>
          <w:szCs w:val="32"/>
        </w:rPr>
        <w:t>招标代理活动实行项目负责人制，项目负责人对招标代理活动全过程负责。项目负责人负责所代理项目的招标方案策划、招标文件编制、开评标组织和交易档案归档等，且应当在组织开评标、</w:t>
      </w:r>
      <w:r>
        <w:rPr>
          <w:rFonts w:eastAsia="方正仿宋_GBK" w:hint="eastAsia"/>
          <w:color w:val="000000"/>
          <w:szCs w:val="32"/>
        </w:rPr>
        <w:t>处理异议和协助处理投诉等环节到达现场。招标项目存在违法违规行为的，项目负责人依法依规承担责任。</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（十三）严禁领导干部违规插手工程建设项目</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24.</w:t>
      </w:r>
      <w:r>
        <w:rPr>
          <w:rFonts w:eastAsia="方正仿宋_GBK" w:hint="eastAsia"/>
          <w:color w:val="000000"/>
          <w:szCs w:val="32"/>
        </w:rPr>
        <w:t>严禁领导干部违规插手干预工程建设项目。严禁以领导批示或会议纪要等决定项目不招标或邀请招标，严禁指示、授意</w:t>
      </w:r>
      <w:r>
        <w:rPr>
          <w:rFonts w:eastAsia="方正仿宋_GBK" w:hint="eastAsia"/>
          <w:color w:val="000000"/>
          <w:szCs w:val="32"/>
        </w:rPr>
        <w:lastRenderedPageBreak/>
        <w:t>确定特定中标人，严禁通过业主评委、招标代理机构等发表倾向性意见、左右评标结果，严禁要求中标人与指定单位合作或转包、分包给指定单位，严禁在工程验收结算和款项拨付方面插手干预、以权谋私。</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（十四）强化招投标违法违规行为查处惩治</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25.</w:t>
      </w:r>
      <w:r>
        <w:rPr>
          <w:rFonts w:eastAsia="方正仿宋_GBK" w:hint="eastAsia"/>
          <w:color w:val="000000"/>
          <w:szCs w:val="32"/>
        </w:rPr>
        <w:t>公共资源交易管理行</w:t>
      </w:r>
      <w:r>
        <w:rPr>
          <w:rFonts w:eastAsia="方正仿宋_GBK" w:hint="eastAsia"/>
          <w:color w:val="000000"/>
          <w:szCs w:val="32"/>
        </w:rPr>
        <w:t>政监督部门牵头有关行业主管部门建立健全与公共资源交易平台的问题线索移送机制，与纪检监察机关、公安机关的案情通报、案件移送和问题线索移送机制，以及与人民法院的招标投标领域司法判决案件、人民检察院招标投标犯罪不起诉案件的信息共享和定期沟通机制，实现问题线索按照管理权限合理移送、有效处理。</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26.</w:t>
      </w:r>
      <w:r>
        <w:rPr>
          <w:rFonts w:eastAsia="方正仿宋_GBK" w:hint="eastAsia"/>
          <w:color w:val="000000"/>
          <w:szCs w:val="32"/>
        </w:rPr>
        <w:t>推进工程建设项目招标投标领域大数据分析常态化，对大数据分析发现的围标串标、关键岗位人员违规变更、挂证、违规评标等问题线索应当进行深度挖掘，严查严办。</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27.</w:t>
      </w:r>
      <w:r>
        <w:rPr>
          <w:rFonts w:eastAsia="方正仿宋_GBK" w:hint="eastAsia"/>
          <w:color w:val="000000"/>
          <w:szCs w:val="32"/>
        </w:rPr>
        <w:t>严格抓实失信联合惩戒。对工程建设项目招标投标活动中存在的</w:t>
      </w:r>
      <w:r>
        <w:rPr>
          <w:rFonts w:eastAsia="方正仿宋_GBK" w:hint="eastAsia"/>
          <w:color w:val="000000"/>
          <w:szCs w:val="32"/>
        </w:rPr>
        <w:t>将必须进行招标的项目化整为零或者以其他任何方式规避招标、泄露应当保密的与招标投标活动有关的情况和资料、以不合理的条件限制或者排斥潜在投标人等多种严重失信行为的失信企业及失信招标人、采购人、投标人、供应商、招标（采购）代理机构、评标评审专家等依法实施联合惩戒。</w:t>
      </w:r>
    </w:p>
    <w:p w:rsidR="00997042" w:rsidRDefault="0069187F">
      <w:pPr>
        <w:snapToGrid w:val="0"/>
        <w:spacing w:line="594" w:lineRule="exact"/>
        <w:rPr>
          <w:rFonts w:ascii="方正楷体_GBK" w:eastAsia="方正楷体_GBK" w:hAnsi="方正楷体_GBK" w:cs="方正楷体_GBK"/>
          <w:color w:val="000000"/>
          <w:szCs w:val="32"/>
        </w:rPr>
      </w:pPr>
      <w:r>
        <w:rPr>
          <w:rFonts w:eastAsia="方正仿宋_GBK" w:hint="eastAsia"/>
          <w:color w:val="000000"/>
          <w:szCs w:val="32"/>
        </w:rPr>
        <w:t xml:space="preserve">　　</w:t>
      </w:r>
      <w:r>
        <w:rPr>
          <w:rFonts w:ascii="方正楷体_GBK" w:eastAsia="方正楷体_GBK" w:hAnsi="方正楷体_GBK" w:cs="方正楷体_GBK" w:hint="eastAsia"/>
          <w:color w:val="000000"/>
          <w:szCs w:val="32"/>
        </w:rPr>
        <w:t>（十五）抓好督查跟踪问效</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r>
        <w:rPr>
          <w:rFonts w:eastAsia="方正仿宋_GBK" w:hint="eastAsia"/>
          <w:color w:val="000000"/>
          <w:szCs w:val="32"/>
        </w:rPr>
        <w:t>28.</w:t>
      </w:r>
      <w:r>
        <w:rPr>
          <w:rFonts w:eastAsia="方正仿宋_GBK" w:hint="eastAsia"/>
          <w:color w:val="000000"/>
          <w:szCs w:val="32"/>
        </w:rPr>
        <w:t>招投标行政监督部门应跟踪公共资源交易平台履行服务</w:t>
      </w:r>
      <w:r>
        <w:rPr>
          <w:rFonts w:eastAsia="方正仿宋_GBK" w:hint="eastAsia"/>
          <w:color w:val="000000"/>
          <w:szCs w:val="32"/>
        </w:rPr>
        <w:lastRenderedPageBreak/>
        <w:t>职能情况，对履职不到位或者超越职责范围的，及时予以纠正。公共资源交易平台要按照营商环境评价考核要求加强投标保证金清退、交易项目信息公示等工作。</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p>
    <w:p w:rsidR="00997042" w:rsidRDefault="00997042">
      <w:pPr>
        <w:snapToGrid w:val="0"/>
        <w:spacing w:line="594" w:lineRule="exact"/>
        <w:rPr>
          <w:rFonts w:eastAsia="方正仿宋_GBK"/>
          <w:color w:val="000000"/>
          <w:szCs w:val="32"/>
        </w:rPr>
      </w:pPr>
    </w:p>
    <w:p w:rsidR="00997042" w:rsidRDefault="0069187F">
      <w:pPr>
        <w:snapToGrid w:val="0"/>
        <w:spacing w:line="594" w:lineRule="exact"/>
        <w:rPr>
          <w:rFonts w:eastAsia="方正仿宋_GBK"/>
          <w:color w:val="000000"/>
          <w:szCs w:val="32"/>
        </w:rPr>
      </w:pPr>
      <w:r>
        <w:rPr>
          <w:rFonts w:eastAsia="方正仿宋_GBK" w:hint="eastAsia"/>
          <w:color w:val="000000"/>
          <w:szCs w:val="32"/>
        </w:rPr>
        <w:t xml:space="preserve">　</w:t>
      </w:r>
    </w:p>
    <w:p w:rsidR="00997042" w:rsidRDefault="0069187F">
      <w:pPr>
        <w:widowControl/>
        <w:spacing w:after="150"/>
        <w:jc w:val="right"/>
        <w:rPr>
          <w:rFonts w:eastAsia="方正仿宋_GBK" w:cs="方正仿宋_GBK"/>
          <w:color w:val="000000"/>
          <w:kern w:val="0"/>
          <w:szCs w:val="32"/>
        </w:rPr>
      </w:pPr>
      <w:r>
        <w:rPr>
          <w:rFonts w:eastAsia="方正仿宋_GBK" w:cs="方正仿宋_GBK" w:hint="eastAsia"/>
          <w:color w:val="000000"/>
          <w:kern w:val="0"/>
          <w:szCs w:val="32"/>
        </w:rPr>
        <w:t xml:space="preserve">　　</w:t>
      </w:r>
      <w:r>
        <w:rPr>
          <w:rFonts w:eastAsia="方正仿宋_GBK" w:cs="方正仿宋_GBK" w:hint="eastAsia"/>
          <w:color w:val="000000"/>
          <w:kern w:val="0"/>
          <w:szCs w:val="32"/>
        </w:rPr>
        <w:t>202</w:t>
      </w:r>
      <w:r>
        <w:rPr>
          <w:rFonts w:eastAsia="方正仿宋_GBK" w:cs="方正仿宋_GBK" w:hint="eastAsia"/>
          <w:color w:val="000000"/>
          <w:kern w:val="0"/>
          <w:szCs w:val="32"/>
        </w:rPr>
        <w:t>4</w:t>
      </w:r>
      <w:r>
        <w:rPr>
          <w:rFonts w:eastAsia="方正仿宋_GBK" w:cs="方正仿宋_GBK" w:hint="eastAsia"/>
          <w:color w:val="000000"/>
          <w:kern w:val="0"/>
          <w:szCs w:val="32"/>
        </w:rPr>
        <w:t>年</w:t>
      </w:r>
      <w:r>
        <w:rPr>
          <w:rFonts w:eastAsia="方正仿宋_GBK" w:cs="方正仿宋_GBK" w:hint="eastAsia"/>
          <w:color w:val="000000"/>
          <w:kern w:val="0"/>
          <w:szCs w:val="32"/>
        </w:rPr>
        <w:t>3</w:t>
      </w:r>
      <w:r>
        <w:rPr>
          <w:rFonts w:eastAsia="方正仿宋_GBK" w:cs="方正仿宋_GBK" w:hint="eastAsia"/>
          <w:color w:val="000000"/>
          <w:kern w:val="0"/>
          <w:szCs w:val="32"/>
        </w:rPr>
        <w:t>月</w:t>
      </w:r>
      <w:r>
        <w:rPr>
          <w:rFonts w:eastAsia="方正仿宋_GBK" w:cs="方正仿宋_GBK" w:hint="eastAsia"/>
          <w:color w:val="000000"/>
          <w:kern w:val="0"/>
          <w:szCs w:val="32"/>
        </w:rPr>
        <w:t>29</w:t>
      </w:r>
      <w:r>
        <w:rPr>
          <w:rFonts w:eastAsia="方正仿宋_GBK" w:cs="方正仿宋_GBK" w:hint="eastAsia"/>
          <w:color w:val="000000"/>
          <w:kern w:val="0"/>
          <w:szCs w:val="32"/>
        </w:rPr>
        <w:t>日  </w:t>
      </w:r>
    </w:p>
    <w:p w:rsidR="00997042" w:rsidRDefault="00997042">
      <w:pPr>
        <w:spacing w:line="360" w:lineRule="exact"/>
        <w:rPr>
          <w:sz w:val="28"/>
          <w:szCs w:val="28"/>
        </w:rPr>
      </w:pPr>
    </w:p>
    <w:p w:rsidR="00997042" w:rsidRDefault="00997042">
      <w:pPr>
        <w:spacing w:line="594" w:lineRule="exact"/>
        <w:jc w:val="center"/>
        <w:rPr>
          <w:rFonts w:eastAsia="方正楷体_GBK"/>
          <w:color w:val="000000"/>
          <w:szCs w:val="32"/>
        </w:rPr>
      </w:pPr>
    </w:p>
    <w:p w:rsidR="00997042" w:rsidRDefault="00997042">
      <w:pPr>
        <w:spacing w:line="594" w:lineRule="exact"/>
        <w:ind w:firstLineChars="200" w:firstLine="640"/>
        <w:rPr>
          <w:rFonts w:ascii="方正仿宋_GBK" w:eastAsia="方正仿宋_GBK"/>
          <w:szCs w:val="32"/>
        </w:rPr>
      </w:pPr>
    </w:p>
    <w:p w:rsidR="00997042" w:rsidRDefault="00997042">
      <w:pPr>
        <w:spacing w:line="594" w:lineRule="exact"/>
        <w:ind w:firstLineChars="200" w:firstLine="640"/>
        <w:rPr>
          <w:rFonts w:ascii="方正仿宋_GBK" w:eastAsia="方正仿宋_GBK"/>
          <w:szCs w:val="32"/>
        </w:rPr>
      </w:pPr>
    </w:p>
    <w:p w:rsidR="00997042" w:rsidRDefault="00997042">
      <w:pPr>
        <w:spacing w:line="594" w:lineRule="exact"/>
        <w:rPr>
          <w:rFonts w:ascii="方正仿宋_GBK" w:eastAsia="方正仿宋_GBK"/>
          <w:szCs w:val="32"/>
        </w:rPr>
      </w:pPr>
    </w:p>
    <w:p w:rsidR="00997042" w:rsidRDefault="00997042">
      <w:pPr>
        <w:spacing w:line="594" w:lineRule="exact"/>
        <w:ind w:firstLineChars="200" w:firstLine="640"/>
        <w:rPr>
          <w:rFonts w:ascii="方正仿宋_GBK" w:eastAsia="方正仿宋_GBK"/>
          <w:szCs w:val="32"/>
        </w:rPr>
      </w:pPr>
    </w:p>
    <w:p w:rsidR="00997042" w:rsidRDefault="00997042">
      <w:pPr>
        <w:spacing w:line="594" w:lineRule="exact"/>
        <w:ind w:firstLineChars="200" w:firstLine="640"/>
        <w:rPr>
          <w:rFonts w:ascii="方正仿宋_GBK" w:eastAsia="方正仿宋_GBK"/>
          <w:szCs w:val="32"/>
        </w:rPr>
      </w:pPr>
    </w:p>
    <w:sectPr w:rsidR="00997042">
      <w:footerReference w:type="even" r:id="rId7"/>
      <w:footerReference w:type="default" r:id="rId8"/>
      <w:pgSz w:w="11906" w:h="16838"/>
      <w:pgMar w:top="1985" w:right="1446" w:bottom="1644" w:left="1446"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187F">
      <w:r>
        <w:separator/>
      </w:r>
    </w:p>
  </w:endnote>
  <w:endnote w:type="continuationSeparator" w:id="0">
    <w:p w:rsidR="00000000" w:rsidRDefault="0069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2" w:rsidRDefault="0069187F">
    <w:pPr>
      <w:pStyle w:val="a5"/>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69187F">
      <w:rPr>
        <w:rFonts w:asciiTheme="minorEastAsia" w:eastAsiaTheme="minorEastAsia" w:hAnsiTheme="minorEastAsia"/>
        <w:noProof/>
        <w:sz w:val="28"/>
        <w:szCs w:val="28"/>
        <w:lang w:val="zh-CN"/>
      </w:rPr>
      <w:t>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2" w:rsidRDefault="0069187F">
    <w:pPr>
      <w:pStyle w:val="a5"/>
      <w:jc w:val="right"/>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69187F">
      <w:rPr>
        <w:rFonts w:asciiTheme="minorEastAsia" w:eastAsiaTheme="minorEastAsia" w:hAnsiTheme="minorEastAsia"/>
        <w:noProof/>
        <w:sz w:val="28"/>
        <w:szCs w:val="28"/>
        <w:lang w:val="zh-CN"/>
      </w:rPr>
      <w:t>3</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187F">
      <w:r>
        <w:separator/>
      </w:r>
    </w:p>
  </w:footnote>
  <w:footnote w:type="continuationSeparator" w:id="0">
    <w:p w:rsidR="00000000" w:rsidRDefault="0069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evenAndOddHeaders/>
  <w:drawingGridHorizontalSpacing w:val="160"/>
  <w:drawingGridVerticalSpacing w:val="435"/>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6"/>
    <w:rsid w:val="00011D0C"/>
    <w:rsid w:val="00025233"/>
    <w:rsid w:val="00025CEC"/>
    <w:rsid w:val="00030472"/>
    <w:rsid w:val="00032D26"/>
    <w:rsid w:val="000335BA"/>
    <w:rsid w:val="0003690F"/>
    <w:rsid w:val="000713C8"/>
    <w:rsid w:val="0007367B"/>
    <w:rsid w:val="00074CFB"/>
    <w:rsid w:val="00075D69"/>
    <w:rsid w:val="000774DD"/>
    <w:rsid w:val="000807AA"/>
    <w:rsid w:val="00081DA9"/>
    <w:rsid w:val="00087B77"/>
    <w:rsid w:val="000948B3"/>
    <w:rsid w:val="000A2391"/>
    <w:rsid w:val="000A3301"/>
    <w:rsid w:val="000B1259"/>
    <w:rsid w:val="000B54F5"/>
    <w:rsid w:val="000B600E"/>
    <w:rsid w:val="000B6EA9"/>
    <w:rsid w:val="000B74E0"/>
    <w:rsid w:val="000C5560"/>
    <w:rsid w:val="000D2C91"/>
    <w:rsid w:val="000D5CFE"/>
    <w:rsid w:val="000D6FF5"/>
    <w:rsid w:val="000F51EF"/>
    <w:rsid w:val="001010E7"/>
    <w:rsid w:val="001213B6"/>
    <w:rsid w:val="00135821"/>
    <w:rsid w:val="001419CB"/>
    <w:rsid w:val="00155275"/>
    <w:rsid w:val="001607D0"/>
    <w:rsid w:val="00183391"/>
    <w:rsid w:val="0019759F"/>
    <w:rsid w:val="001A11AD"/>
    <w:rsid w:val="001A1B90"/>
    <w:rsid w:val="001A3FC9"/>
    <w:rsid w:val="001A6231"/>
    <w:rsid w:val="001C1D57"/>
    <w:rsid w:val="001D31FB"/>
    <w:rsid w:val="001D5CC7"/>
    <w:rsid w:val="001E646D"/>
    <w:rsid w:val="001E7DC0"/>
    <w:rsid w:val="001F2638"/>
    <w:rsid w:val="001F7890"/>
    <w:rsid w:val="00205ADE"/>
    <w:rsid w:val="00212B7E"/>
    <w:rsid w:val="00214E13"/>
    <w:rsid w:val="0021764E"/>
    <w:rsid w:val="0022167D"/>
    <w:rsid w:val="00224F08"/>
    <w:rsid w:val="0022600B"/>
    <w:rsid w:val="00226771"/>
    <w:rsid w:val="0023223C"/>
    <w:rsid w:val="00235921"/>
    <w:rsid w:val="00237B83"/>
    <w:rsid w:val="00262B09"/>
    <w:rsid w:val="00262B2C"/>
    <w:rsid w:val="002638E8"/>
    <w:rsid w:val="002734A4"/>
    <w:rsid w:val="002821F9"/>
    <w:rsid w:val="002825B4"/>
    <w:rsid w:val="002A6E45"/>
    <w:rsid w:val="002B0B1E"/>
    <w:rsid w:val="002B1FBF"/>
    <w:rsid w:val="002B2100"/>
    <w:rsid w:val="002B2444"/>
    <w:rsid w:val="002C429C"/>
    <w:rsid w:val="002C6AD5"/>
    <w:rsid w:val="002C7772"/>
    <w:rsid w:val="002D358A"/>
    <w:rsid w:val="002D5359"/>
    <w:rsid w:val="002F39F6"/>
    <w:rsid w:val="002F61D1"/>
    <w:rsid w:val="00310F86"/>
    <w:rsid w:val="00313014"/>
    <w:rsid w:val="003140A3"/>
    <w:rsid w:val="00323B43"/>
    <w:rsid w:val="0034639D"/>
    <w:rsid w:val="0035259E"/>
    <w:rsid w:val="00390D81"/>
    <w:rsid w:val="00392CF8"/>
    <w:rsid w:val="003B22A1"/>
    <w:rsid w:val="003B64DD"/>
    <w:rsid w:val="003D37D8"/>
    <w:rsid w:val="003D3D3D"/>
    <w:rsid w:val="003D500D"/>
    <w:rsid w:val="003E6473"/>
    <w:rsid w:val="003F0AC9"/>
    <w:rsid w:val="003F3E7F"/>
    <w:rsid w:val="004107EA"/>
    <w:rsid w:val="0041209E"/>
    <w:rsid w:val="00416030"/>
    <w:rsid w:val="00417534"/>
    <w:rsid w:val="00420F3C"/>
    <w:rsid w:val="004309A7"/>
    <w:rsid w:val="004358AB"/>
    <w:rsid w:val="00474257"/>
    <w:rsid w:val="00476062"/>
    <w:rsid w:val="004769BD"/>
    <w:rsid w:val="00487722"/>
    <w:rsid w:val="0049393D"/>
    <w:rsid w:val="004A237C"/>
    <w:rsid w:val="004A5D52"/>
    <w:rsid w:val="004A6EB9"/>
    <w:rsid w:val="004B117A"/>
    <w:rsid w:val="004B46B3"/>
    <w:rsid w:val="004C7452"/>
    <w:rsid w:val="004D1314"/>
    <w:rsid w:val="004D5D32"/>
    <w:rsid w:val="0050556B"/>
    <w:rsid w:val="005100D3"/>
    <w:rsid w:val="00511DE1"/>
    <w:rsid w:val="0051577C"/>
    <w:rsid w:val="00525121"/>
    <w:rsid w:val="00536641"/>
    <w:rsid w:val="00536BE3"/>
    <w:rsid w:val="005425FB"/>
    <w:rsid w:val="00553C2B"/>
    <w:rsid w:val="005601A3"/>
    <w:rsid w:val="00571A56"/>
    <w:rsid w:val="00571D70"/>
    <w:rsid w:val="00576CBC"/>
    <w:rsid w:val="00583046"/>
    <w:rsid w:val="0059157E"/>
    <w:rsid w:val="00595DDE"/>
    <w:rsid w:val="005A6310"/>
    <w:rsid w:val="005B0162"/>
    <w:rsid w:val="005B0185"/>
    <w:rsid w:val="005D179E"/>
    <w:rsid w:val="005D19BD"/>
    <w:rsid w:val="005D4620"/>
    <w:rsid w:val="005E39EC"/>
    <w:rsid w:val="005E66B3"/>
    <w:rsid w:val="005F74C2"/>
    <w:rsid w:val="00607C4F"/>
    <w:rsid w:val="00617E4E"/>
    <w:rsid w:val="006279D5"/>
    <w:rsid w:val="00634FC7"/>
    <w:rsid w:val="0063770E"/>
    <w:rsid w:val="00644348"/>
    <w:rsid w:val="00646D1F"/>
    <w:rsid w:val="00653778"/>
    <w:rsid w:val="00655A63"/>
    <w:rsid w:val="006562C8"/>
    <w:rsid w:val="0066379A"/>
    <w:rsid w:val="00664D15"/>
    <w:rsid w:val="006664EF"/>
    <w:rsid w:val="0069187F"/>
    <w:rsid w:val="00693C3B"/>
    <w:rsid w:val="006A6D6E"/>
    <w:rsid w:val="006B584E"/>
    <w:rsid w:val="006C76FC"/>
    <w:rsid w:val="006D4082"/>
    <w:rsid w:val="006E140F"/>
    <w:rsid w:val="006F10FA"/>
    <w:rsid w:val="006F2FC5"/>
    <w:rsid w:val="006F75EB"/>
    <w:rsid w:val="00700A29"/>
    <w:rsid w:val="00703E8C"/>
    <w:rsid w:val="00704C2D"/>
    <w:rsid w:val="007328A7"/>
    <w:rsid w:val="007345E3"/>
    <w:rsid w:val="00735570"/>
    <w:rsid w:val="00735E3F"/>
    <w:rsid w:val="0076148A"/>
    <w:rsid w:val="00762E66"/>
    <w:rsid w:val="007C2C3D"/>
    <w:rsid w:val="007C6098"/>
    <w:rsid w:val="007D3D2F"/>
    <w:rsid w:val="007E03F0"/>
    <w:rsid w:val="007E575E"/>
    <w:rsid w:val="007F5897"/>
    <w:rsid w:val="007F5BD4"/>
    <w:rsid w:val="008028BA"/>
    <w:rsid w:val="0080430E"/>
    <w:rsid w:val="008065B4"/>
    <w:rsid w:val="00806DBA"/>
    <w:rsid w:val="00812ED6"/>
    <w:rsid w:val="00815881"/>
    <w:rsid w:val="00815898"/>
    <w:rsid w:val="00815FA9"/>
    <w:rsid w:val="00817E4B"/>
    <w:rsid w:val="00824135"/>
    <w:rsid w:val="008270E3"/>
    <w:rsid w:val="008328CD"/>
    <w:rsid w:val="008416F7"/>
    <w:rsid w:val="00843363"/>
    <w:rsid w:val="00843840"/>
    <w:rsid w:val="00852A6B"/>
    <w:rsid w:val="00854771"/>
    <w:rsid w:val="0087029F"/>
    <w:rsid w:val="00871362"/>
    <w:rsid w:val="00871AE6"/>
    <w:rsid w:val="008851D3"/>
    <w:rsid w:val="008901AB"/>
    <w:rsid w:val="00895253"/>
    <w:rsid w:val="008A0954"/>
    <w:rsid w:val="008A0BB1"/>
    <w:rsid w:val="008B50A6"/>
    <w:rsid w:val="008B7726"/>
    <w:rsid w:val="008C1C67"/>
    <w:rsid w:val="008C3054"/>
    <w:rsid w:val="008C7B48"/>
    <w:rsid w:val="008E0702"/>
    <w:rsid w:val="008E7010"/>
    <w:rsid w:val="008E7020"/>
    <w:rsid w:val="008F558A"/>
    <w:rsid w:val="008F669B"/>
    <w:rsid w:val="0090175D"/>
    <w:rsid w:val="00916FC6"/>
    <w:rsid w:val="009224D4"/>
    <w:rsid w:val="009334E9"/>
    <w:rsid w:val="00933A3B"/>
    <w:rsid w:val="00935DAE"/>
    <w:rsid w:val="00937256"/>
    <w:rsid w:val="00937CAC"/>
    <w:rsid w:val="009563BA"/>
    <w:rsid w:val="009650E7"/>
    <w:rsid w:val="009720DE"/>
    <w:rsid w:val="009746E1"/>
    <w:rsid w:val="00975697"/>
    <w:rsid w:val="009759E8"/>
    <w:rsid w:val="00977EB0"/>
    <w:rsid w:val="009879D8"/>
    <w:rsid w:val="00987AF9"/>
    <w:rsid w:val="0099122B"/>
    <w:rsid w:val="00993B73"/>
    <w:rsid w:val="00997042"/>
    <w:rsid w:val="009A2B84"/>
    <w:rsid w:val="009B1171"/>
    <w:rsid w:val="009B737F"/>
    <w:rsid w:val="009C0A4E"/>
    <w:rsid w:val="009D0865"/>
    <w:rsid w:val="009D60A9"/>
    <w:rsid w:val="009E1DDC"/>
    <w:rsid w:val="009F1A39"/>
    <w:rsid w:val="00A02DFF"/>
    <w:rsid w:val="00A268A1"/>
    <w:rsid w:val="00A3612B"/>
    <w:rsid w:val="00A43C11"/>
    <w:rsid w:val="00A521F1"/>
    <w:rsid w:val="00A60B6E"/>
    <w:rsid w:val="00A74262"/>
    <w:rsid w:val="00A7714F"/>
    <w:rsid w:val="00A77FE9"/>
    <w:rsid w:val="00A96743"/>
    <w:rsid w:val="00AA4B37"/>
    <w:rsid w:val="00AA51AE"/>
    <w:rsid w:val="00AA6645"/>
    <w:rsid w:val="00AB189D"/>
    <w:rsid w:val="00AB593E"/>
    <w:rsid w:val="00AC399C"/>
    <w:rsid w:val="00AD121C"/>
    <w:rsid w:val="00AD12D4"/>
    <w:rsid w:val="00AD505C"/>
    <w:rsid w:val="00AE3F87"/>
    <w:rsid w:val="00AF2DEF"/>
    <w:rsid w:val="00AF549B"/>
    <w:rsid w:val="00AF768B"/>
    <w:rsid w:val="00B21783"/>
    <w:rsid w:val="00B3074F"/>
    <w:rsid w:val="00B500C7"/>
    <w:rsid w:val="00B502BD"/>
    <w:rsid w:val="00B659DC"/>
    <w:rsid w:val="00B77842"/>
    <w:rsid w:val="00B80FED"/>
    <w:rsid w:val="00B83401"/>
    <w:rsid w:val="00B856FA"/>
    <w:rsid w:val="00B860A4"/>
    <w:rsid w:val="00B86871"/>
    <w:rsid w:val="00B90205"/>
    <w:rsid w:val="00B91441"/>
    <w:rsid w:val="00B95132"/>
    <w:rsid w:val="00B96CCA"/>
    <w:rsid w:val="00BA54F9"/>
    <w:rsid w:val="00BC365F"/>
    <w:rsid w:val="00BD12C4"/>
    <w:rsid w:val="00BD60EE"/>
    <w:rsid w:val="00BF2575"/>
    <w:rsid w:val="00C0452F"/>
    <w:rsid w:val="00C12B7A"/>
    <w:rsid w:val="00C146F9"/>
    <w:rsid w:val="00C20184"/>
    <w:rsid w:val="00C22130"/>
    <w:rsid w:val="00C24027"/>
    <w:rsid w:val="00C40335"/>
    <w:rsid w:val="00C403D1"/>
    <w:rsid w:val="00C508AD"/>
    <w:rsid w:val="00C55E15"/>
    <w:rsid w:val="00C56CBB"/>
    <w:rsid w:val="00C609F9"/>
    <w:rsid w:val="00C637D4"/>
    <w:rsid w:val="00C67E6A"/>
    <w:rsid w:val="00C7074B"/>
    <w:rsid w:val="00C817A4"/>
    <w:rsid w:val="00CA7C04"/>
    <w:rsid w:val="00CD7507"/>
    <w:rsid w:val="00CE7745"/>
    <w:rsid w:val="00CF2E3F"/>
    <w:rsid w:val="00CF3BA7"/>
    <w:rsid w:val="00D049C8"/>
    <w:rsid w:val="00D10C91"/>
    <w:rsid w:val="00D121BC"/>
    <w:rsid w:val="00D245DF"/>
    <w:rsid w:val="00D25F30"/>
    <w:rsid w:val="00D34085"/>
    <w:rsid w:val="00D550D3"/>
    <w:rsid w:val="00D7216C"/>
    <w:rsid w:val="00D8131A"/>
    <w:rsid w:val="00D96173"/>
    <w:rsid w:val="00DA5972"/>
    <w:rsid w:val="00DD34E1"/>
    <w:rsid w:val="00DD6731"/>
    <w:rsid w:val="00DD679C"/>
    <w:rsid w:val="00DE095F"/>
    <w:rsid w:val="00DF1385"/>
    <w:rsid w:val="00DF493A"/>
    <w:rsid w:val="00E01574"/>
    <w:rsid w:val="00E13EE3"/>
    <w:rsid w:val="00E15ABA"/>
    <w:rsid w:val="00E16BA3"/>
    <w:rsid w:val="00E270C2"/>
    <w:rsid w:val="00E273F5"/>
    <w:rsid w:val="00E57538"/>
    <w:rsid w:val="00E62C8D"/>
    <w:rsid w:val="00E72D21"/>
    <w:rsid w:val="00E825EE"/>
    <w:rsid w:val="00E92C14"/>
    <w:rsid w:val="00E9443F"/>
    <w:rsid w:val="00EA73BD"/>
    <w:rsid w:val="00EB3659"/>
    <w:rsid w:val="00EB7568"/>
    <w:rsid w:val="00EC766D"/>
    <w:rsid w:val="00EF0121"/>
    <w:rsid w:val="00F06B61"/>
    <w:rsid w:val="00F2715E"/>
    <w:rsid w:val="00F31002"/>
    <w:rsid w:val="00F339B3"/>
    <w:rsid w:val="00F44C6D"/>
    <w:rsid w:val="00F61063"/>
    <w:rsid w:val="00F77D0E"/>
    <w:rsid w:val="00F85546"/>
    <w:rsid w:val="00F97A30"/>
    <w:rsid w:val="00FA65EA"/>
    <w:rsid w:val="00FB439E"/>
    <w:rsid w:val="00FC1B48"/>
    <w:rsid w:val="00FC354D"/>
    <w:rsid w:val="00FC7761"/>
    <w:rsid w:val="00FC7861"/>
    <w:rsid w:val="00FD21DF"/>
    <w:rsid w:val="00FE0876"/>
    <w:rsid w:val="00FF699A"/>
    <w:rsid w:val="09A672F4"/>
    <w:rsid w:val="09B35E8A"/>
    <w:rsid w:val="0E37045E"/>
    <w:rsid w:val="0FA35C35"/>
    <w:rsid w:val="139940CA"/>
    <w:rsid w:val="16FD5099"/>
    <w:rsid w:val="192F19C0"/>
    <w:rsid w:val="1BB52303"/>
    <w:rsid w:val="1DED6B6E"/>
    <w:rsid w:val="1F3130A9"/>
    <w:rsid w:val="1FFE648A"/>
    <w:rsid w:val="25746666"/>
    <w:rsid w:val="29164E0D"/>
    <w:rsid w:val="342504C8"/>
    <w:rsid w:val="38775BB7"/>
    <w:rsid w:val="39D9748F"/>
    <w:rsid w:val="3A0B03CA"/>
    <w:rsid w:val="3A415021"/>
    <w:rsid w:val="3B0524B0"/>
    <w:rsid w:val="3C0129CB"/>
    <w:rsid w:val="3C7161F7"/>
    <w:rsid w:val="3D2E476F"/>
    <w:rsid w:val="3D89162D"/>
    <w:rsid w:val="3FAF127F"/>
    <w:rsid w:val="3FEA5D44"/>
    <w:rsid w:val="404A71C2"/>
    <w:rsid w:val="417A14FB"/>
    <w:rsid w:val="439E2956"/>
    <w:rsid w:val="44DC3315"/>
    <w:rsid w:val="46DA05D9"/>
    <w:rsid w:val="494F6D8F"/>
    <w:rsid w:val="49A168DB"/>
    <w:rsid w:val="4C8F1380"/>
    <w:rsid w:val="4E1B6731"/>
    <w:rsid w:val="4FED5585"/>
    <w:rsid w:val="52EA769D"/>
    <w:rsid w:val="537B7261"/>
    <w:rsid w:val="57AB1FE8"/>
    <w:rsid w:val="67F57CB4"/>
    <w:rsid w:val="69883AB0"/>
    <w:rsid w:val="6C022D75"/>
    <w:rsid w:val="6C2E2A8A"/>
    <w:rsid w:val="6FA904F0"/>
    <w:rsid w:val="702F07C7"/>
    <w:rsid w:val="719921EC"/>
    <w:rsid w:val="73C80282"/>
    <w:rsid w:val="75B06567"/>
    <w:rsid w:val="76B4530C"/>
    <w:rsid w:val="770E7AC3"/>
    <w:rsid w:val="78424408"/>
    <w:rsid w:val="7CD173C9"/>
    <w:rsid w:val="7DCF6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73EB966-816F-4430-969E-E28D9107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6">
    <w:name w:val="header"/>
    <w:basedOn w:val="a"/>
    <w:link w:val="Char2"/>
    <w:uiPriority w:val="99"/>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7">
    <w:name w:val="Normal (Web)"/>
    <w:basedOn w:val="a"/>
    <w:uiPriority w:val="99"/>
    <w:unhideWhenUsed/>
    <w:qFormat/>
    <w:pPr>
      <w:spacing w:beforeAutospacing="1" w:afterAutospacing="1"/>
      <w:jc w:val="left"/>
    </w:pPr>
    <w:rPr>
      <w:kern w:val="0"/>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rPr>
  </w:style>
  <w:style w:type="character" w:styleId="aa">
    <w:name w:val="Emphasis"/>
    <w:basedOn w:val="a0"/>
    <w:uiPriority w:val="20"/>
    <w:qFormat/>
    <w:rPr>
      <w:i/>
      <w:iCs/>
    </w:rPr>
  </w:style>
  <w:style w:type="character" w:customStyle="1" w:styleId="Char2">
    <w:name w:val="页眉 Char"/>
    <w:basedOn w:val="a0"/>
    <w:link w:val="a6"/>
    <w:uiPriority w:val="99"/>
    <w:semiHidden/>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customStyle="1" w:styleId="10">
    <w:name w:val="列出段落1"/>
    <w:basedOn w:val="a"/>
    <w:uiPriority w:val="34"/>
    <w:qFormat/>
    <w:pPr>
      <w:ind w:firstLineChars="200" w:firstLine="420"/>
    </w:p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Pr>
      <w:rFonts w:eastAsia="仿宋_GB2312"/>
      <w:kern w:val="2"/>
      <w:sz w:val="18"/>
      <w:szCs w:val="18"/>
    </w:rPr>
  </w:style>
  <w:style w:type="paragraph" w:styleId="ab">
    <w:name w:val="List Paragraph"/>
    <w:basedOn w:val="a"/>
    <w:uiPriority w:val="99"/>
    <w:pPr>
      <w:ind w:firstLineChars="200" w:firstLine="420"/>
    </w:pPr>
  </w:style>
  <w:style w:type="character" w:customStyle="1" w:styleId="Char">
    <w:name w:val="日期 Char"/>
    <w:basedOn w:val="a0"/>
    <w:link w:val="a3"/>
    <w:uiPriority w:val="99"/>
    <w:semiHidden/>
    <w:qFormat/>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613</Words>
  <Characters>3499</Characters>
  <Application>Microsoft Office Word</Application>
  <DocSecurity>0</DocSecurity>
  <Lines>29</Lines>
  <Paragraphs>8</Paragraphs>
  <ScaleCrop>false</ScaleCrop>
  <Company>Sky123.Org</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蒲睿</dc:creator>
  <cp:lastModifiedBy>NTKO</cp:lastModifiedBy>
  <cp:revision>2</cp:revision>
  <cp:lastPrinted>2020-12-07T07:19:00Z</cp:lastPrinted>
  <dcterms:created xsi:type="dcterms:W3CDTF">2024-04-03T04:03:00Z</dcterms:created>
  <dcterms:modified xsi:type="dcterms:W3CDTF">2024-04-03T04:03:00Z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7C538A6950884863A114BAB8F0BA172D</vt:lpwstr>
  </property>
</Properties>
</file>