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68" w:rsidRDefault="00656168" w:rsidP="00EF5382">
      <w:pPr>
        <w:snapToGrid w:val="0"/>
        <w:spacing w:line="594" w:lineRule="exact"/>
        <w:rPr>
          <w:rFonts w:eastAsia="方正小标宋_GBK" w:hint="eastAsia"/>
          <w:bCs/>
          <w:color w:val="000000"/>
          <w:sz w:val="44"/>
        </w:rPr>
      </w:pPr>
    </w:p>
    <w:p w:rsidR="00656168" w:rsidRDefault="006B0D8D">
      <w:pPr>
        <w:snapToGrid w:val="0"/>
        <w:spacing w:line="594" w:lineRule="exact"/>
        <w:jc w:val="center"/>
        <w:rPr>
          <w:rFonts w:eastAsia="方正小标宋_GBK"/>
          <w:bCs/>
          <w:color w:val="000000"/>
          <w:sz w:val="44"/>
        </w:rPr>
      </w:pPr>
      <w:r>
        <w:rPr>
          <w:rFonts w:eastAsia="方正小标宋_GBK" w:hint="eastAsia"/>
          <w:bCs/>
          <w:color w:val="000000"/>
          <w:sz w:val="44"/>
        </w:rPr>
        <w:t>重庆市</w:t>
      </w:r>
      <w:r>
        <w:rPr>
          <w:rFonts w:eastAsia="方正小标宋_GBK"/>
          <w:bCs/>
          <w:color w:val="000000"/>
          <w:sz w:val="44"/>
        </w:rPr>
        <w:t>沙坪坝区公共资源交易监督管理局</w:t>
      </w:r>
    </w:p>
    <w:p w:rsidR="00656168" w:rsidRDefault="006B0D8D">
      <w:pPr>
        <w:snapToGrid w:val="0"/>
        <w:spacing w:line="594" w:lineRule="exact"/>
        <w:jc w:val="center"/>
        <w:rPr>
          <w:rFonts w:eastAsia="方正小标宋_GBK"/>
          <w:bCs/>
          <w:color w:val="000000"/>
          <w:kern w:val="44"/>
          <w:sz w:val="44"/>
          <w:szCs w:val="44"/>
        </w:rPr>
      </w:pPr>
      <w:r>
        <w:rPr>
          <w:rFonts w:eastAsia="方正小标宋_GBK"/>
          <w:bCs/>
          <w:color w:val="000000"/>
          <w:sz w:val="44"/>
        </w:rPr>
        <w:t>关于印发</w:t>
      </w:r>
      <w:proofErr w:type="gramStart"/>
      <w:r>
        <w:rPr>
          <w:rFonts w:eastAsia="方正小标宋_GBK"/>
          <w:bCs/>
          <w:color w:val="000000"/>
          <w:sz w:val="44"/>
        </w:rPr>
        <w:t>《</w:t>
      </w:r>
      <w:proofErr w:type="gramEnd"/>
      <w:r>
        <w:rPr>
          <w:rFonts w:eastAsia="方正小标宋_GBK"/>
          <w:bCs/>
          <w:color w:val="000000"/>
          <w:kern w:val="44"/>
          <w:sz w:val="44"/>
          <w:szCs w:val="44"/>
        </w:rPr>
        <w:t>沙坪坝区政府投资工程建设项目</w:t>
      </w:r>
    </w:p>
    <w:p w:rsidR="00656168" w:rsidRDefault="006B0D8D">
      <w:pPr>
        <w:snapToGrid w:val="0"/>
        <w:spacing w:line="594" w:lineRule="exact"/>
        <w:jc w:val="center"/>
        <w:rPr>
          <w:rFonts w:eastAsia="方正小标宋_GBK"/>
          <w:b/>
          <w:bCs/>
          <w:color w:val="000000"/>
          <w:kern w:val="44"/>
          <w:sz w:val="44"/>
          <w:szCs w:val="44"/>
        </w:rPr>
      </w:pPr>
      <w:r>
        <w:rPr>
          <w:rFonts w:eastAsia="方正小标宋_GBK"/>
          <w:bCs/>
          <w:color w:val="000000"/>
          <w:kern w:val="44"/>
          <w:sz w:val="44"/>
          <w:szCs w:val="44"/>
        </w:rPr>
        <w:t>招标代理服务发包规则</w:t>
      </w:r>
      <w:proofErr w:type="gramStart"/>
      <w:r>
        <w:rPr>
          <w:rFonts w:eastAsia="方正小标宋_GBK"/>
          <w:bCs/>
          <w:color w:val="000000"/>
          <w:sz w:val="44"/>
        </w:rPr>
        <w:t>》</w:t>
      </w:r>
      <w:proofErr w:type="gramEnd"/>
      <w:r>
        <w:rPr>
          <w:rFonts w:eastAsia="方正小标宋_GBK"/>
          <w:bCs/>
          <w:color w:val="000000"/>
          <w:sz w:val="44"/>
        </w:rPr>
        <w:t>的通知</w:t>
      </w:r>
    </w:p>
    <w:p w:rsidR="00656168" w:rsidRDefault="00656168">
      <w:pPr>
        <w:spacing w:line="594" w:lineRule="exact"/>
        <w:rPr>
          <w:rFonts w:eastAsia="方正仿宋_GBK"/>
          <w:color w:val="000000"/>
          <w:szCs w:val="32"/>
        </w:rPr>
      </w:pPr>
    </w:p>
    <w:p w:rsidR="00656168" w:rsidRDefault="006B0D8D">
      <w:pPr>
        <w:spacing w:line="594" w:lineRule="exact"/>
        <w:rPr>
          <w:rFonts w:eastAsia="方正仿宋_GBK"/>
          <w:color w:val="000000"/>
          <w:szCs w:val="32"/>
        </w:rPr>
      </w:pPr>
      <w:r>
        <w:rPr>
          <w:rFonts w:eastAsia="方正仿宋_GBK"/>
          <w:color w:val="000000"/>
          <w:szCs w:val="32"/>
        </w:rPr>
        <w:t>各街道办事处、各镇人民政府，区级各部门，各管委会，区属国有重点企业，有关单位：</w:t>
      </w:r>
    </w:p>
    <w:p w:rsidR="00656168" w:rsidRDefault="006B0D8D">
      <w:pPr>
        <w:spacing w:line="594" w:lineRule="exact"/>
        <w:ind w:firstLineChars="200" w:firstLine="640"/>
        <w:jc w:val="left"/>
        <w:rPr>
          <w:rFonts w:eastAsia="方正仿宋_GBK"/>
          <w:szCs w:val="32"/>
        </w:rPr>
      </w:pPr>
      <w:r>
        <w:rPr>
          <w:rFonts w:eastAsia="方正仿宋_GBK"/>
          <w:szCs w:val="32"/>
        </w:rPr>
        <w:t>《沙坪坝区政府投资工程建设项目招标代理服务发包规则》</w:t>
      </w:r>
      <w:r>
        <w:rPr>
          <w:rFonts w:eastAsia="方正仿宋_GBK" w:hint="eastAsia"/>
          <w:szCs w:val="32"/>
        </w:rPr>
        <w:t>已</w:t>
      </w:r>
      <w:r>
        <w:rPr>
          <w:rFonts w:eastAsia="方正仿宋_GBK"/>
          <w:szCs w:val="32"/>
        </w:rPr>
        <w:t>经</w:t>
      </w:r>
      <w:r>
        <w:rPr>
          <w:rFonts w:eastAsia="方正仿宋_GBK"/>
          <w:color w:val="000000"/>
          <w:szCs w:val="32"/>
        </w:rPr>
        <w:t>区</w:t>
      </w:r>
      <w:r>
        <w:rPr>
          <w:rFonts w:eastAsia="方正仿宋_GBK"/>
          <w:szCs w:val="32"/>
        </w:rPr>
        <w:t>第十九届人民政府第十二次常务会议审议</w:t>
      </w:r>
      <w:r>
        <w:rPr>
          <w:rFonts w:eastAsia="方正仿宋_GBK" w:hint="eastAsia"/>
          <w:szCs w:val="32"/>
        </w:rPr>
        <w:t>通过</w:t>
      </w:r>
      <w:r>
        <w:rPr>
          <w:rFonts w:eastAsia="方正仿宋_GBK"/>
          <w:szCs w:val="32"/>
        </w:rPr>
        <w:t>，</w:t>
      </w:r>
      <w:r>
        <w:rPr>
          <w:rFonts w:eastAsia="方正仿宋_GBK" w:hint="eastAsia"/>
          <w:szCs w:val="32"/>
        </w:rPr>
        <w:t>现</w:t>
      </w:r>
      <w:r>
        <w:rPr>
          <w:rFonts w:eastAsia="方正仿宋_GBK"/>
          <w:szCs w:val="32"/>
        </w:rPr>
        <w:t>印发给你们，请</w:t>
      </w:r>
      <w:r>
        <w:rPr>
          <w:rFonts w:eastAsia="方正仿宋_GBK" w:hint="eastAsia"/>
          <w:szCs w:val="32"/>
        </w:rPr>
        <w:t>遵照</w:t>
      </w:r>
      <w:r>
        <w:rPr>
          <w:rFonts w:eastAsia="方正仿宋_GBK"/>
          <w:szCs w:val="32"/>
        </w:rPr>
        <w:t>执行。</w:t>
      </w:r>
    </w:p>
    <w:p w:rsidR="00656168" w:rsidRDefault="00656168">
      <w:pPr>
        <w:spacing w:line="594" w:lineRule="exact"/>
        <w:ind w:firstLineChars="150" w:firstLine="480"/>
        <w:jc w:val="left"/>
        <w:rPr>
          <w:rFonts w:eastAsia="方正仿宋_GBK"/>
          <w:color w:val="000000"/>
          <w:szCs w:val="32"/>
        </w:rPr>
      </w:pPr>
    </w:p>
    <w:p w:rsidR="00656168" w:rsidRDefault="006B0D8D">
      <w:pPr>
        <w:spacing w:line="594" w:lineRule="exact"/>
        <w:ind w:right="640"/>
        <w:rPr>
          <w:rFonts w:eastAsia="方正仿宋_GBK"/>
          <w:color w:val="000000"/>
          <w:szCs w:val="32"/>
        </w:rPr>
      </w:pPr>
      <w:r>
        <w:rPr>
          <w:rFonts w:eastAsia="方正仿宋_GBK" w:hint="eastAsia"/>
          <w:color w:val="000000"/>
          <w:szCs w:val="32"/>
        </w:rPr>
        <w:t xml:space="preserve"> </w:t>
      </w:r>
      <w:r>
        <w:rPr>
          <w:rFonts w:eastAsia="方正仿宋_GBK"/>
          <w:color w:val="000000"/>
          <w:szCs w:val="32"/>
        </w:rPr>
        <w:t xml:space="preserve">                               </w:t>
      </w:r>
      <w:r>
        <w:rPr>
          <w:rFonts w:eastAsia="方正仿宋_GBK"/>
          <w:color w:val="000000"/>
          <w:szCs w:val="32"/>
        </w:rPr>
        <w:t>重庆市沙坪坝区公共资源交易监督管理局</w:t>
      </w:r>
    </w:p>
    <w:p w:rsidR="00656168" w:rsidRDefault="006B0D8D">
      <w:pPr>
        <w:spacing w:line="594" w:lineRule="exact"/>
        <w:ind w:firstLineChars="150" w:firstLine="480"/>
        <w:jc w:val="left"/>
        <w:rPr>
          <w:rFonts w:eastAsia="方正黑体_GBK"/>
        </w:rPr>
      </w:pPr>
      <w:r>
        <w:rPr>
          <w:rFonts w:eastAsia="方正仿宋_GBK"/>
          <w:color w:val="000000"/>
          <w:szCs w:val="32"/>
        </w:rPr>
        <w:t xml:space="preserve">                                                   2022</w:t>
      </w:r>
      <w:r>
        <w:rPr>
          <w:rFonts w:eastAsia="方正仿宋_GBK"/>
          <w:color w:val="000000"/>
          <w:szCs w:val="32"/>
        </w:rPr>
        <w:t>年</w:t>
      </w:r>
      <w:r>
        <w:rPr>
          <w:rFonts w:eastAsia="方正仿宋_GBK"/>
          <w:color w:val="000000"/>
          <w:szCs w:val="32"/>
        </w:rPr>
        <w:t>5</w:t>
      </w:r>
      <w:r>
        <w:rPr>
          <w:rFonts w:eastAsia="方正仿宋_GBK"/>
          <w:color w:val="000000"/>
          <w:szCs w:val="32"/>
        </w:rPr>
        <w:t>月</w:t>
      </w:r>
      <w:r>
        <w:rPr>
          <w:rFonts w:eastAsia="方正仿宋_GBK"/>
          <w:color w:val="000000"/>
          <w:szCs w:val="32"/>
        </w:rPr>
        <w:t>24</w:t>
      </w:r>
      <w:r>
        <w:rPr>
          <w:rFonts w:eastAsia="方正仿宋_GBK"/>
          <w:color w:val="000000"/>
          <w:szCs w:val="32"/>
        </w:rPr>
        <w:t>日</w:t>
      </w:r>
    </w:p>
    <w:p w:rsidR="00656168" w:rsidRDefault="006B0D8D">
      <w:pPr>
        <w:snapToGrid w:val="0"/>
        <w:spacing w:line="594" w:lineRule="exact"/>
        <w:ind w:firstLineChars="200" w:firstLine="640"/>
        <w:jc w:val="left"/>
        <w:rPr>
          <w:rFonts w:ascii="方正仿宋_GBK" w:eastAsia="方正仿宋_GBK"/>
          <w:bCs/>
          <w:color w:val="000000"/>
          <w:kern w:val="44"/>
          <w:szCs w:val="32"/>
        </w:rPr>
      </w:pPr>
      <w:r>
        <w:rPr>
          <w:rFonts w:ascii="方正仿宋_GBK" w:eastAsia="方正仿宋_GBK" w:hint="eastAsia"/>
          <w:bCs/>
          <w:color w:val="000000"/>
          <w:kern w:val="44"/>
          <w:szCs w:val="32"/>
        </w:rPr>
        <w:t>（此件公开发布）</w:t>
      </w:r>
    </w:p>
    <w:p w:rsidR="00EF5382" w:rsidRDefault="00EF5382">
      <w:pPr>
        <w:snapToGrid w:val="0"/>
        <w:spacing w:line="594" w:lineRule="exact"/>
        <w:ind w:firstLineChars="200" w:firstLine="640"/>
        <w:jc w:val="left"/>
        <w:rPr>
          <w:rFonts w:ascii="方正仿宋_GBK" w:eastAsia="方正仿宋_GBK"/>
          <w:bCs/>
          <w:color w:val="000000"/>
          <w:kern w:val="44"/>
          <w:szCs w:val="32"/>
        </w:rPr>
      </w:pPr>
    </w:p>
    <w:p w:rsidR="00EF5382" w:rsidRDefault="00EF5382">
      <w:pPr>
        <w:snapToGrid w:val="0"/>
        <w:spacing w:line="594" w:lineRule="exact"/>
        <w:ind w:firstLineChars="200" w:firstLine="640"/>
        <w:jc w:val="left"/>
        <w:rPr>
          <w:rFonts w:ascii="方正仿宋_GBK" w:eastAsia="方正仿宋_GBK"/>
          <w:bCs/>
          <w:color w:val="000000"/>
          <w:kern w:val="44"/>
          <w:szCs w:val="32"/>
        </w:rPr>
      </w:pPr>
    </w:p>
    <w:p w:rsidR="00EF5382" w:rsidRDefault="00EF5382">
      <w:pPr>
        <w:snapToGrid w:val="0"/>
        <w:spacing w:line="594" w:lineRule="exact"/>
        <w:ind w:firstLineChars="200" w:firstLine="640"/>
        <w:jc w:val="left"/>
        <w:rPr>
          <w:rFonts w:ascii="方正仿宋_GBK" w:eastAsia="方正仿宋_GBK"/>
          <w:bCs/>
          <w:color w:val="000000"/>
          <w:kern w:val="44"/>
          <w:szCs w:val="32"/>
        </w:rPr>
      </w:pPr>
    </w:p>
    <w:p w:rsidR="00EF5382" w:rsidRDefault="00EF5382">
      <w:pPr>
        <w:snapToGrid w:val="0"/>
        <w:spacing w:line="594" w:lineRule="exact"/>
        <w:ind w:firstLineChars="200" w:firstLine="640"/>
        <w:jc w:val="left"/>
        <w:rPr>
          <w:rFonts w:ascii="方正仿宋_GBK" w:eastAsia="方正仿宋_GBK"/>
          <w:bCs/>
          <w:color w:val="000000"/>
          <w:kern w:val="44"/>
          <w:szCs w:val="32"/>
        </w:rPr>
      </w:pPr>
    </w:p>
    <w:p w:rsidR="00EF5382" w:rsidRDefault="00EF5382">
      <w:pPr>
        <w:snapToGrid w:val="0"/>
        <w:spacing w:line="594" w:lineRule="exact"/>
        <w:ind w:firstLineChars="200" w:firstLine="640"/>
        <w:jc w:val="left"/>
        <w:rPr>
          <w:rFonts w:ascii="方正仿宋_GBK" w:eastAsia="方正仿宋_GBK"/>
          <w:bCs/>
          <w:color w:val="000000"/>
          <w:kern w:val="44"/>
          <w:szCs w:val="32"/>
        </w:rPr>
      </w:pPr>
    </w:p>
    <w:p w:rsidR="00EF5382" w:rsidRDefault="00EF5382">
      <w:pPr>
        <w:snapToGrid w:val="0"/>
        <w:spacing w:line="594" w:lineRule="exact"/>
        <w:ind w:firstLineChars="200" w:firstLine="640"/>
        <w:jc w:val="left"/>
        <w:rPr>
          <w:rFonts w:ascii="方正仿宋_GBK" w:eastAsia="方正仿宋_GBK"/>
          <w:bCs/>
          <w:color w:val="000000"/>
          <w:kern w:val="44"/>
          <w:szCs w:val="32"/>
        </w:rPr>
      </w:pPr>
    </w:p>
    <w:p w:rsidR="00EF5382" w:rsidRDefault="00EF5382">
      <w:pPr>
        <w:snapToGrid w:val="0"/>
        <w:spacing w:line="594" w:lineRule="exact"/>
        <w:ind w:firstLineChars="200" w:firstLine="640"/>
        <w:jc w:val="left"/>
        <w:rPr>
          <w:rFonts w:ascii="方正仿宋_GBK" w:eastAsia="方正仿宋_GBK"/>
          <w:bCs/>
          <w:color w:val="000000"/>
          <w:kern w:val="44"/>
          <w:szCs w:val="32"/>
        </w:rPr>
      </w:pPr>
    </w:p>
    <w:p w:rsidR="00EF5382" w:rsidRDefault="00EF5382">
      <w:pPr>
        <w:snapToGrid w:val="0"/>
        <w:spacing w:line="594" w:lineRule="exact"/>
        <w:ind w:firstLineChars="200" w:firstLine="640"/>
        <w:jc w:val="left"/>
        <w:rPr>
          <w:rFonts w:ascii="方正仿宋_GBK" w:eastAsia="方正仿宋_GBK" w:hint="eastAsia"/>
          <w:bCs/>
          <w:color w:val="000000"/>
          <w:kern w:val="44"/>
          <w:szCs w:val="32"/>
        </w:rPr>
      </w:pPr>
    </w:p>
    <w:p w:rsidR="00656168" w:rsidRDefault="006B0D8D">
      <w:pPr>
        <w:snapToGrid w:val="0"/>
        <w:spacing w:line="594" w:lineRule="exact"/>
        <w:jc w:val="center"/>
        <w:rPr>
          <w:rFonts w:eastAsia="方正小标宋_GBK"/>
          <w:bCs/>
          <w:color w:val="000000"/>
          <w:kern w:val="44"/>
          <w:sz w:val="44"/>
          <w:szCs w:val="44"/>
        </w:rPr>
      </w:pPr>
      <w:r>
        <w:rPr>
          <w:rFonts w:eastAsia="方正小标宋_GBK"/>
          <w:bCs/>
          <w:color w:val="000000"/>
          <w:kern w:val="44"/>
          <w:sz w:val="44"/>
          <w:szCs w:val="44"/>
        </w:rPr>
        <w:lastRenderedPageBreak/>
        <w:t>沙坪坝区政府投资工程建设项目招标代理</w:t>
      </w:r>
    </w:p>
    <w:p w:rsidR="00656168" w:rsidRDefault="006B0D8D">
      <w:pPr>
        <w:snapToGrid w:val="0"/>
        <w:spacing w:line="594" w:lineRule="exact"/>
        <w:jc w:val="center"/>
        <w:rPr>
          <w:rFonts w:eastAsia="方正小标宋_GBK"/>
          <w:bCs/>
          <w:color w:val="000000"/>
          <w:kern w:val="44"/>
          <w:sz w:val="44"/>
          <w:szCs w:val="44"/>
        </w:rPr>
      </w:pPr>
      <w:r>
        <w:rPr>
          <w:rFonts w:eastAsia="方正小标宋_GBK"/>
          <w:bCs/>
          <w:color w:val="000000"/>
          <w:kern w:val="44"/>
          <w:sz w:val="44"/>
          <w:szCs w:val="44"/>
        </w:rPr>
        <w:t>服务发包规则</w:t>
      </w:r>
    </w:p>
    <w:p w:rsidR="00656168" w:rsidRDefault="00656168">
      <w:pPr>
        <w:spacing w:line="594" w:lineRule="exact"/>
        <w:jc w:val="center"/>
        <w:rPr>
          <w:rFonts w:eastAsia="方正黑体_GBK"/>
        </w:rPr>
      </w:pP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第一条</w:t>
      </w:r>
      <w:r>
        <w:rPr>
          <w:rFonts w:eastAsia="方正仿宋_GBK"/>
          <w:color w:val="000000"/>
          <w:szCs w:val="32"/>
        </w:rPr>
        <w:t xml:space="preserve"> </w:t>
      </w:r>
      <w:r>
        <w:rPr>
          <w:rFonts w:eastAsia="方正仿宋_GBK"/>
          <w:color w:val="000000"/>
          <w:szCs w:val="32"/>
        </w:rPr>
        <w:t>为进一步规范我区政府投资工程建设项目招标代理服务发包行为，根据《中华人民共和国招标投标法》《重庆市招标投标条例》《重庆市招标代理机构及从业人员管理暂行办法》等规定，结合我区实际，制定本规则。</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第二条</w:t>
      </w:r>
      <w:r>
        <w:rPr>
          <w:rFonts w:eastAsia="方正仿宋_GBK"/>
          <w:color w:val="000000"/>
          <w:szCs w:val="32"/>
        </w:rPr>
        <w:t xml:space="preserve"> </w:t>
      </w:r>
      <w:r>
        <w:rPr>
          <w:rFonts w:eastAsia="方正仿宋_GBK"/>
          <w:color w:val="000000"/>
          <w:szCs w:val="32"/>
        </w:rPr>
        <w:t>本行政区域内，按照</w:t>
      </w:r>
      <w:proofErr w:type="gramStart"/>
      <w:r>
        <w:rPr>
          <w:rFonts w:eastAsia="方正仿宋_GBK"/>
          <w:color w:val="000000"/>
          <w:szCs w:val="32"/>
        </w:rPr>
        <w:t>国家发改委</w:t>
      </w:r>
      <w:proofErr w:type="gramEnd"/>
      <w:r>
        <w:rPr>
          <w:rFonts w:eastAsia="方正仿宋_GBK"/>
          <w:color w:val="000000"/>
          <w:szCs w:val="32"/>
        </w:rPr>
        <w:t>第</w:t>
      </w:r>
      <w:r>
        <w:rPr>
          <w:rFonts w:eastAsia="方正仿宋_GBK"/>
          <w:color w:val="000000"/>
          <w:szCs w:val="32"/>
        </w:rPr>
        <w:t>16</w:t>
      </w:r>
      <w:r>
        <w:rPr>
          <w:rFonts w:eastAsia="方正仿宋_GBK"/>
          <w:color w:val="000000"/>
          <w:szCs w:val="32"/>
        </w:rPr>
        <w:t>号令《必须招标的工程项目规定》中依法必须招标项目及单项合同估算金额在</w:t>
      </w:r>
      <w:r>
        <w:rPr>
          <w:rFonts w:eastAsia="方正仿宋_GBK"/>
          <w:color w:val="000000"/>
          <w:szCs w:val="32"/>
        </w:rPr>
        <w:t>200</w:t>
      </w:r>
      <w:r>
        <w:rPr>
          <w:rFonts w:eastAsia="方正仿宋_GBK"/>
          <w:color w:val="000000"/>
          <w:szCs w:val="32"/>
        </w:rPr>
        <w:t>万元以上或采用竞争性</w:t>
      </w:r>
      <w:r>
        <w:rPr>
          <w:rFonts w:eastAsia="方正仿宋_GBK"/>
          <w:szCs w:val="32"/>
        </w:rPr>
        <w:t>比选</w:t>
      </w:r>
      <w:r>
        <w:rPr>
          <w:rFonts w:eastAsia="方正仿宋_GBK"/>
          <w:color w:val="000000"/>
          <w:szCs w:val="32"/>
        </w:rPr>
        <w:t>方式的工程建设项目及工程相关服务的招标代理服务发包行为应当遵循本规定。</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第三条</w:t>
      </w:r>
      <w:r>
        <w:rPr>
          <w:rFonts w:eastAsia="方正仿宋_GBK"/>
          <w:color w:val="000000"/>
          <w:szCs w:val="32"/>
        </w:rPr>
        <w:t xml:space="preserve"> </w:t>
      </w:r>
      <w:r>
        <w:rPr>
          <w:rFonts w:eastAsia="方正仿宋_GBK"/>
          <w:color w:val="000000"/>
          <w:szCs w:val="32"/>
        </w:rPr>
        <w:t>项目法人作为政府投资项目实施主体</w:t>
      </w:r>
      <w:r>
        <w:rPr>
          <w:rFonts w:eastAsia="方正仿宋_GBK"/>
          <w:szCs w:val="32"/>
        </w:rPr>
        <w:t>向区政府负责，</w:t>
      </w:r>
      <w:r>
        <w:rPr>
          <w:rFonts w:eastAsia="方正仿宋_GBK"/>
          <w:color w:val="000000"/>
          <w:szCs w:val="32"/>
        </w:rPr>
        <w:t>承担招标代理事项的发包人主体责任，遵循区政府对工程建设项目招标代理发包规则。</w:t>
      </w:r>
      <w:r>
        <w:rPr>
          <w:rFonts w:eastAsia="方正仿宋_GBK"/>
          <w:color w:val="000000"/>
          <w:szCs w:val="32"/>
        </w:rPr>
        <w:t xml:space="preserve"> </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第四条</w:t>
      </w:r>
      <w:r>
        <w:rPr>
          <w:rFonts w:eastAsia="方正仿宋_GBK"/>
          <w:color w:val="000000"/>
          <w:szCs w:val="32"/>
        </w:rPr>
        <w:t xml:space="preserve"> </w:t>
      </w:r>
      <w:r>
        <w:rPr>
          <w:rFonts w:eastAsia="方正仿宋_GBK"/>
          <w:color w:val="000000"/>
          <w:szCs w:val="32"/>
        </w:rPr>
        <w:t>区公共资源交易监督管理局（以下简称区公管局）负责监督指导沙坪坝区限额以上项目招标代理发包活动，行业主管部门负责对本行业限额以下项目招标代理发包活动实施监督指导。</w:t>
      </w:r>
    </w:p>
    <w:p w:rsidR="00656168" w:rsidRDefault="006B0D8D">
      <w:pPr>
        <w:spacing w:line="594" w:lineRule="exact"/>
        <w:ind w:firstLineChars="200" w:firstLine="640"/>
        <w:rPr>
          <w:rFonts w:eastAsia="方正仿宋_GBK"/>
          <w:color w:val="000000"/>
          <w:szCs w:val="32"/>
        </w:rPr>
      </w:pPr>
      <w:r>
        <w:rPr>
          <w:rFonts w:eastAsia="方正仿宋_GBK"/>
          <w:color w:val="000000"/>
          <w:szCs w:val="32"/>
        </w:rPr>
        <w:t>行</w:t>
      </w:r>
      <w:r>
        <w:rPr>
          <w:rFonts w:eastAsia="方正仿宋_GBK"/>
          <w:color w:val="000000"/>
          <w:szCs w:val="32"/>
        </w:rPr>
        <w:t>业主管部门作为发包人的项目招标代理服务发包活动由区公管局监督指导。</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第五条</w:t>
      </w:r>
      <w:r>
        <w:rPr>
          <w:rFonts w:eastAsia="方正仿宋_GBK"/>
          <w:color w:val="000000"/>
          <w:szCs w:val="32"/>
        </w:rPr>
        <w:t xml:space="preserve"> </w:t>
      </w:r>
      <w:r>
        <w:rPr>
          <w:rFonts w:eastAsia="方正仿宋_GBK"/>
          <w:color w:val="000000"/>
          <w:szCs w:val="32"/>
        </w:rPr>
        <w:t>项目法人在确定招标代理机构时，应对备选的招标代理机构的从业</w:t>
      </w:r>
      <w:r>
        <w:rPr>
          <w:rFonts w:eastAsia="方正仿宋_GBK"/>
          <w:szCs w:val="32"/>
        </w:rPr>
        <w:t>能力</w:t>
      </w:r>
      <w:r>
        <w:rPr>
          <w:rFonts w:eastAsia="方正仿宋_GBK"/>
          <w:color w:val="000000"/>
          <w:szCs w:val="32"/>
        </w:rPr>
        <w:t>、行业水平、信用记录等进行确认，满足以</w:t>
      </w:r>
      <w:r>
        <w:rPr>
          <w:rFonts w:eastAsia="方正仿宋_GBK"/>
          <w:color w:val="000000"/>
          <w:szCs w:val="32"/>
        </w:rPr>
        <w:lastRenderedPageBreak/>
        <w:t>下条件：</w:t>
      </w:r>
    </w:p>
    <w:p w:rsidR="00656168" w:rsidRDefault="006B0D8D">
      <w:pPr>
        <w:spacing w:line="594" w:lineRule="exact"/>
        <w:ind w:firstLineChars="200" w:firstLine="640"/>
        <w:rPr>
          <w:rFonts w:eastAsia="方正仿宋_GBK"/>
          <w:color w:val="000000"/>
          <w:szCs w:val="32"/>
        </w:rPr>
      </w:pPr>
      <w:r>
        <w:rPr>
          <w:rFonts w:eastAsia="方正仿宋_GBK"/>
          <w:color w:val="000000"/>
          <w:szCs w:val="32"/>
        </w:rPr>
        <w:t>（一）符合《重庆市招标代理机构及从业人员管理暂行办法》对招标代理机构的要求</w:t>
      </w:r>
      <w:r>
        <w:rPr>
          <w:rFonts w:eastAsia="方正仿宋_GBK" w:hint="eastAsia"/>
          <w:color w:val="000000"/>
          <w:szCs w:val="32"/>
        </w:rPr>
        <w:t>。</w:t>
      </w:r>
    </w:p>
    <w:p w:rsidR="00656168" w:rsidRDefault="006B0D8D">
      <w:pPr>
        <w:spacing w:line="594" w:lineRule="exact"/>
        <w:ind w:firstLineChars="200" w:firstLine="640"/>
        <w:rPr>
          <w:rFonts w:eastAsia="方正仿宋_GBK"/>
          <w:color w:val="000000"/>
          <w:szCs w:val="32"/>
        </w:rPr>
      </w:pPr>
      <w:r>
        <w:rPr>
          <w:rFonts w:eastAsia="方正仿宋_GBK"/>
          <w:color w:val="000000"/>
          <w:szCs w:val="32"/>
        </w:rPr>
        <w:t>（二）招标人选取的招标代理机构中不得有扣分累计记分达</w:t>
      </w:r>
      <w:r>
        <w:rPr>
          <w:rFonts w:eastAsia="方正仿宋_GBK"/>
          <w:color w:val="000000"/>
          <w:szCs w:val="32"/>
        </w:rPr>
        <w:t>6</w:t>
      </w:r>
      <w:r>
        <w:rPr>
          <w:rFonts w:eastAsia="方正仿宋_GBK"/>
          <w:color w:val="000000"/>
          <w:szCs w:val="32"/>
        </w:rPr>
        <w:t>分之日起未满</w:t>
      </w:r>
      <w:r>
        <w:rPr>
          <w:rFonts w:eastAsia="方正仿宋_GBK"/>
          <w:color w:val="000000"/>
          <w:szCs w:val="32"/>
        </w:rPr>
        <w:t>6</w:t>
      </w:r>
      <w:r>
        <w:rPr>
          <w:rFonts w:eastAsia="方正仿宋_GBK"/>
          <w:color w:val="000000"/>
          <w:szCs w:val="32"/>
        </w:rPr>
        <w:t>个月、扣分累计记分达</w:t>
      </w:r>
      <w:r>
        <w:rPr>
          <w:rFonts w:eastAsia="方正仿宋_GBK"/>
          <w:color w:val="000000"/>
          <w:szCs w:val="32"/>
        </w:rPr>
        <w:t>9</w:t>
      </w:r>
      <w:r>
        <w:rPr>
          <w:rFonts w:eastAsia="方正仿宋_GBK"/>
          <w:color w:val="000000"/>
          <w:szCs w:val="32"/>
        </w:rPr>
        <w:t>分之日起未满</w:t>
      </w:r>
      <w:r>
        <w:rPr>
          <w:rFonts w:eastAsia="方正仿宋_GBK"/>
          <w:color w:val="000000"/>
          <w:szCs w:val="32"/>
        </w:rPr>
        <w:t>12</w:t>
      </w:r>
      <w:r>
        <w:rPr>
          <w:rFonts w:eastAsia="方正仿宋_GBK"/>
          <w:color w:val="000000"/>
          <w:szCs w:val="32"/>
        </w:rPr>
        <w:t>个月、扣分累计记分达</w:t>
      </w:r>
      <w:r>
        <w:rPr>
          <w:rFonts w:eastAsia="方正仿宋_GBK"/>
          <w:color w:val="000000"/>
          <w:szCs w:val="32"/>
        </w:rPr>
        <w:t>12</w:t>
      </w:r>
      <w:r>
        <w:rPr>
          <w:rFonts w:eastAsia="方正仿宋_GBK"/>
          <w:color w:val="000000"/>
          <w:szCs w:val="32"/>
        </w:rPr>
        <w:t>分之日起未满</w:t>
      </w:r>
      <w:r>
        <w:rPr>
          <w:rFonts w:eastAsia="方正仿宋_GBK"/>
          <w:color w:val="000000"/>
          <w:szCs w:val="32"/>
        </w:rPr>
        <w:t>24</w:t>
      </w:r>
      <w:r>
        <w:rPr>
          <w:rFonts w:eastAsia="方正仿宋_GBK"/>
          <w:color w:val="000000"/>
          <w:szCs w:val="32"/>
        </w:rPr>
        <w:t>个月的从业人员。</w:t>
      </w:r>
    </w:p>
    <w:p w:rsidR="00656168" w:rsidRDefault="006B0D8D">
      <w:pPr>
        <w:spacing w:line="594" w:lineRule="exact"/>
        <w:ind w:firstLineChars="200" w:firstLine="640"/>
        <w:rPr>
          <w:rFonts w:eastAsia="方正仿宋_GBK"/>
          <w:szCs w:val="32"/>
        </w:rPr>
      </w:pPr>
      <w:r>
        <w:rPr>
          <w:rFonts w:eastAsia="方正仿宋_GBK"/>
          <w:color w:val="000000"/>
          <w:szCs w:val="32"/>
        </w:rPr>
        <w:t>（三）招标人选取的招标代理机构不得有一个记分周期内全部从业人员累计扣分至</w:t>
      </w:r>
      <w:r>
        <w:rPr>
          <w:rFonts w:eastAsia="方正仿宋_GBK"/>
          <w:color w:val="000000"/>
          <w:szCs w:val="32"/>
        </w:rPr>
        <w:t>24</w:t>
      </w:r>
      <w:r>
        <w:rPr>
          <w:rFonts w:eastAsia="方正仿宋_GBK"/>
          <w:color w:val="000000"/>
          <w:szCs w:val="32"/>
        </w:rPr>
        <w:t>分，或者招标代理机构扣分累计至</w:t>
      </w:r>
      <w:r>
        <w:rPr>
          <w:rFonts w:eastAsia="方正仿宋_GBK"/>
          <w:color w:val="000000"/>
          <w:szCs w:val="32"/>
        </w:rPr>
        <w:t>12</w:t>
      </w:r>
      <w:r>
        <w:rPr>
          <w:rFonts w:eastAsia="方正仿宋_GBK"/>
          <w:color w:val="000000"/>
          <w:szCs w:val="32"/>
        </w:rPr>
        <w:t>分的情形，</w:t>
      </w:r>
      <w:proofErr w:type="gramStart"/>
      <w:r>
        <w:rPr>
          <w:rFonts w:eastAsia="方正仿宋_GBK"/>
          <w:color w:val="000000"/>
          <w:szCs w:val="32"/>
        </w:rPr>
        <w:t>自达到</w:t>
      </w:r>
      <w:proofErr w:type="gramEnd"/>
      <w:r>
        <w:rPr>
          <w:rFonts w:eastAsia="方正仿宋_GBK"/>
          <w:color w:val="000000"/>
          <w:szCs w:val="32"/>
        </w:rPr>
        <w:t>上述分值之日起</w:t>
      </w:r>
      <w:r>
        <w:rPr>
          <w:rFonts w:eastAsia="方正仿宋_GBK"/>
          <w:color w:val="000000"/>
          <w:szCs w:val="32"/>
        </w:rPr>
        <w:t>12</w:t>
      </w:r>
      <w:r>
        <w:rPr>
          <w:rFonts w:eastAsia="方正仿宋_GBK"/>
          <w:color w:val="000000"/>
          <w:szCs w:val="32"/>
        </w:rPr>
        <w:t>个月内不得选取该招标代理机构。</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第六条</w:t>
      </w:r>
      <w:r>
        <w:rPr>
          <w:rFonts w:eastAsia="方正仿宋_GBK"/>
          <w:color w:val="000000"/>
          <w:szCs w:val="32"/>
        </w:rPr>
        <w:t xml:space="preserve"> </w:t>
      </w:r>
      <w:r>
        <w:rPr>
          <w:rFonts w:eastAsia="方正仿宋_GBK"/>
          <w:color w:val="000000"/>
          <w:szCs w:val="32"/>
        </w:rPr>
        <w:t>沙坪坝区对工程建设项目招标代理服务实行代理项目服务后评价加分制，项目业主在选择招标代理机构时应对照公示的招标代理机构得分，优先选择分值较高招标代理机构，政府投资工程项目不建议选择分值低于</w:t>
      </w:r>
      <w:r>
        <w:rPr>
          <w:rFonts w:eastAsia="方正仿宋_GBK"/>
          <w:color w:val="000000"/>
          <w:szCs w:val="32"/>
        </w:rPr>
        <w:t>70</w:t>
      </w:r>
      <w:r>
        <w:rPr>
          <w:rFonts w:eastAsia="方正仿宋_GBK"/>
          <w:color w:val="000000"/>
          <w:szCs w:val="32"/>
        </w:rPr>
        <w:t>分的招标代理机构从事代理服务。建议采用电子随机抽选系统从沙坪坝区代理机构推荐名单中选取。</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第七条</w:t>
      </w:r>
      <w:r>
        <w:rPr>
          <w:rFonts w:eastAsia="方正仿宋_GBK"/>
          <w:color w:val="000000"/>
          <w:szCs w:val="32"/>
        </w:rPr>
        <w:t xml:space="preserve"> </w:t>
      </w:r>
      <w:r>
        <w:rPr>
          <w:rFonts w:eastAsia="方正仿宋_GBK"/>
          <w:color w:val="000000"/>
          <w:szCs w:val="32"/>
        </w:rPr>
        <w:t>项目法人对承担项目的招标代理机构按照合同</w:t>
      </w:r>
      <w:r>
        <w:rPr>
          <w:rFonts w:eastAsia="方正仿宋_GBK"/>
          <w:color w:val="000000"/>
          <w:szCs w:val="32"/>
        </w:rPr>
        <w:t>履约给予满分</w:t>
      </w:r>
      <w:r>
        <w:rPr>
          <w:rFonts w:eastAsia="方正仿宋_GBK"/>
          <w:color w:val="000000"/>
          <w:szCs w:val="32"/>
        </w:rPr>
        <w:t>50</w:t>
      </w:r>
      <w:r>
        <w:rPr>
          <w:rFonts w:eastAsia="方正仿宋_GBK"/>
          <w:color w:val="000000"/>
          <w:szCs w:val="32"/>
        </w:rPr>
        <w:t>分的评价，有扣分情况必须注明理由和相关依据，在项目招标完成后</w:t>
      </w:r>
      <w:r>
        <w:rPr>
          <w:rFonts w:eastAsia="方正仿宋_GBK"/>
          <w:color w:val="000000"/>
          <w:szCs w:val="32"/>
        </w:rPr>
        <w:t>15</w:t>
      </w:r>
      <w:r>
        <w:rPr>
          <w:rFonts w:eastAsia="方正仿宋_GBK"/>
          <w:color w:val="000000"/>
          <w:szCs w:val="32"/>
        </w:rPr>
        <w:t>天内</w:t>
      </w:r>
      <w:proofErr w:type="gramStart"/>
      <w:r>
        <w:rPr>
          <w:rFonts w:eastAsia="方正仿宋_GBK"/>
          <w:color w:val="000000"/>
          <w:szCs w:val="32"/>
        </w:rPr>
        <w:t>报项目</w:t>
      </w:r>
      <w:proofErr w:type="gramEnd"/>
      <w:r>
        <w:rPr>
          <w:rFonts w:eastAsia="方正仿宋_GBK"/>
          <w:color w:val="000000"/>
          <w:szCs w:val="32"/>
        </w:rPr>
        <w:t>监督部门。</w:t>
      </w:r>
    </w:p>
    <w:p w:rsidR="00656168" w:rsidRDefault="006B0D8D">
      <w:pPr>
        <w:spacing w:line="594" w:lineRule="exact"/>
        <w:ind w:firstLineChars="200" w:firstLine="640"/>
        <w:rPr>
          <w:rFonts w:eastAsia="方正仿宋_GBK"/>
          <w:color w:val="000000"/>
          <w:szCs w:val="32"/>
        </w:rPr>
      </w:pPr>
      <w:r>
        <w:rPr>
          <w:rFonts w:eastAsia="方正仿宋_GBK"/>
          <w:color w:val="000000"/>
          <w:szCs w:val="32"/>
        </w:rPr>
        <w:t>项目监督部门审核合同履约评价分值，可根据实际情况予以调整，同时按照招标组织规范性满分</w:t>
      </w:r>
      <w:r>
        <w:rPr>
          <w:rFonts w:eastAsia="方正仿宋_GBK"/>
          <w:color w:val="000000"/>
          <w:szCs w:val="32"/>
        </w:rPr>
        <w:t>30</w:t>
      </w:r>
      <w:r>
        <w:rPr>
          <w:rFonts w:eastAsia="方正仿宋_GBK"/>
          <w:color w:val="000000"/>
          <w:szCs w:val="32"/>
        </w:rPr>
        <w:t>分，档案管理完整性满分</w:t>
      </w:r>
      <w:r>
        <w:rPr>
          <w:rFonts w:eastAsia="方正仿宋_GBK"/>
          <w:color w:val="000000"/>
          <w:szCs w:val="32"/>
        </w:rPr>
        <w:t>10</w:t>
      </w:r>
      <w:r>
        <w:rPr>
          <w:rFonts w:eastAsia="方正仿宋_GBK"/>
          <w:color w:val="000000"/>
          <w:szCs w:val="32"/>
        </w:rPr>
        <w:t>分，廉政从业情况满分</w:t>
      </w:r>
      <w:r>
        <w:rPr>
          <w:rFonts w:eastAsia="方正仿宋_GBK"/>
          <w:color w:val="000000"/>
          <w:szCs w:val="32"/>
        </w:rPr>
        <w:t>10</w:t>
      </w:r>
      <w:r>
        <w:rPr>
          <w:rFonts w:eastAsia="方正仿宋_GBK"/>
          <w:color w:val="000000"/>
          <w:szCs w:val="32"/>
        </w:rPr>
        <w:t>分进行评分。加入合同履约分值</w:t>
      </w:r>
      <w:r>
        <w:rPr>
          <w:rFonts w:eastAsia="方正仿宋_GBK"/>
          <w:color w:val="000000"/>
          <w:szCs w:val="32"/>
        </w:rPr>
        <w:lastRenderedPageBreak/>
        <w:t>后报区公管局。</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第八条</w:t>
      </w:r>
      <w:r>
        <w:rPr>
          <w:rFonts w:eastAsia="方正仿宋_GBK"/>
          <w:color w:val="000000"/>
          <w:szCs w:val="32"/>
        </w:rPr>
        <w:t xml:space="preserve"> </w:t>
      </w:r>
      <w:r>
        <w:rPr>
          <w:rFonts w:eastAsia="方正仿宋_GBK"/>
          <w:color w:val="000000"/>
          <w:szCs w:val="32"/>
        </w:rPr>
        <w:t>区公管局根据项目监督上报分值、代理机构代理项目个数，按下列规则进行计分并在区公共资源交易中心和各监管部门网站进行公示：</w:t>
      </w:r>
    </w:p>
    <w:p w:rsidR="00656168" w:rsidRDefault="006B0D8D">
      <w:pPr>
        <w:spacing w:line="594" w:lineRule="exact"/>
        <w:ind w:firstLineChars="200" w:firstLine="640"/>
        <w:rPr>
          <w:rFonts w:eastAsia="方正仿宋_GBK"/>
          <w:color w:val="000000"/>
          <w:szCs w:val="32"/>
        </w:rPr>
      </w:pPr>
      <w:r>
        <w:rPr>
          <w:rFonts w:eastAsia="方正仿宋_GBK"/>
          <w:color w:val="000000"/>
          <w:szCs w:val="32"/>
        </w:rPr>
        <w:t>（一）针对每个招标代理机构后评价分数汇总，按项目</w:t>
      </w:r>
      <w:r>
        <w:rPr>
          <w:rFonts w:eastAsia="方正仿宋_GBK"/>
          <w:szCs w:val="32"/>
        </w:rPr>
        <w:t>个数</w:t>
      </w:r>
      <w:r>
        <w:rPr>
          <w:rFonts w:eastAsia="方正仿宋_GBK"/>
          <w:color w:val="000000"/>
          <w:szCs w:val="32"/>
        </w:rPr>
        <w:t>计算平均值，</w:t>
      </w:r>
      <w:proofErr w:type="gramStart"/>
      <w:r>
        <w:rPr>
          <w:rFonts w:eastAsia="方正仿宋_GBK"/>
          <w:color w:val="000000"/>
          <w:szCs w:val="32"/>
        </w:rPr>
        <w:t>未代</w:t>
      </w:r>
      <w:proofErr w:type="gramEnd"/>
      <w:r>
        <w:rPr>
          <w:rFonts w:eastAsia="方正仿宋_GBK"/>
          <w:color w:val="000000"/>
          <w:szCs w:val="32"/>
        </w:rPr>
        <w:t>理招标项目的招标代理机构按</w:t>
      </w:r>
      <w:r>
        <w:rPr>
          <w:rFonts w:eastAsia="方正仿宋_GBK"/>
          <w:color w:val="000000"/>
          <w:szCs w:val="32"/>
        </w:rPr>
        <w:t>80</w:t>
      </w:r>
      <w:r>
        <w:rPr>
          <w:rFonts w:eastAsia="方正仿宋_GBK"/>
          <w:color w:val="000000"/>
          <w:szCs w:val="32"/>
        </w:rPr>
        <w:t>分</w:t>
      </w:r>
      <w:proofErr w:type="gramStart"/>
      <w:r>
        <w:rPr>
          <w:rFonts w:eastAsia="方正仿宋_GBK"/>
          <w:color w:val="000000"/>
          <w:szCs w:val="32"/>
        </w:rPr>
        <w:t>记基础分</w:t>
      </w:r>
      <w:proofErr w:type="gramEnd"/>
      <w:r>
        <w:rPr>
          <w:rFonts w:eastAsia="方正仿宋_GBK"/>
          <w:color w:val="000000"/>
          <w:szCs w:val="32"/>
        </w:rPr>
        <w:t>。</w:t>
      </w:r>
    </w:p>
    <w:p w:rsidR="00656168" w:rsidRDefault="006B0D8D">
      <w:pPr>
        <w:spacing w:line="594" w:lineRule="exact"/>
        <w:ind w:firstLineChars="200" w:firstLine="640"/>
        <w:rPr>
          <w:rFonts w:eastAsia="方正仿宋_GBK"/>
          <w:color w:val="000000"/>
          <w:szCs w:val="32"/>
        </w:rPr>
      </w:pPr>
      <w:r>
        <w:rPr>
          <w:rFonts w:eastAsia="方正仿宋_GBK"/>
          <w:color w:val="000000"/>
          <w:szCs w:val="32"/>
        </w:rPr>
        <w:t>（二）在平均值基础上按承担项目个数加分，每个项目加</w:t>
      </w:r>
      <w:r>
        <w:rPr>
          <w:rFonts w:eastAsia="方正仿宋_GBK"/>
          <w:color w:val="000000"/>
          <w:szCs w:val="32"/>
        </w:rPr>
        <w:t>0.5</w:t>
      </w:r>
      <w:r>
        <w:rPr>
          <w:rFonts w:eastAsia="方正仿宋_GBK"/>
          <w:color w:val="000000"/>
          <w:szCs w:val="32"/>
        </w:rPr>
        <w:t>分。</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第九条</w:t>
      </w:r>
      <w:r>
        <w:rPr>
          <w:rFonts w:eastAsia="方正仿宋_GBK"/>
          <w:color w:val="000000"/>
          <w:szCs w:val="32"/>
        </w:rPr>
        <w:t xml:space="preserve"> </w:t>
      </w:r>
      <w:r>
        <w:rPr>
          <w:rFonts w:eastAsia="方正仿宋_GBK"/>
          <w:color w:val="000000"/>
          <w:szCs w:val="32"/>
        </w:rPr>
        <w:t>区公管局根据年度得分合计，每年公布排名前</w:t>
      </w:r>
      <w:r>
        <w:rPr>
          <w:rFonts w:eastAsia="方正仿宋_GBK"/>
          <w:color w:val="000000"/>
          <w:szCs w:val="32"/>
        </w:rPr>
        <w:t>15</w:t>
      </w:r>
      <w:r>
        <w:rPr>
          <w:rFonts w:eastAsia="方正仿宋_GBK"/>
          <w:color w:val="000000"/>
          <w:szCs w:val="32"/>
        </w:rPr>
        <w:t>的招标代理机构为优秀招标代理机构，纳入代理机构随机抽选推荐名单。其余得分</w:t>
      </w:r>
      <w:r>
        <w:rPr>
          <w:rFonts w:eastAsia="方正仿宋_GBK"/>
          <w:color w:val="000000"/>
          <w:szCs w:val="32"/>
        </w:rPr>
        <w:t>70</w:t>
      </w:r>
      <w:r>
        <w:rPr>
          <w:rFonts w:eastAsia="方正仿宋_GBK"/>
          <w:color w:val="000000"/>
          <w:szCs w:val="32"/>
        </w:rPr>
        <w:t>以上的代理机构随机抽选</w:t>
      </w:r>
      <w:r>
        <w:rPr>
          <w:rFonts w:eastAsia="方正仿宋_GBK"/>
          <w:color w:val="000000"/>
          <w:szCs w:val="32"/>
        </w:rPr>
        <w:t>5</w:t>
      </w:r>
      <w:r>
        <w:rPr>
          <w:rFonts w:eastAsia="方正仿宋_GBK"/>
          <w:color w:val="000000"/>
          <w:szCs w:val="32"/>
        </w:rPr>
        <w:t>个作为补充招标代理机构，纳入代理机构随机抽选推荐名单。</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第十条</w:t>
      </w:r>
      <w:r>
        <w:rPr>
          <w:rFonts w:eastAsia="方正仿宋_GBK"/>
          <w:color w:val="000000"/>
          <w:szCs w:val="32"/>
        </w:rPr>
        <w:t xml:space="preserve"> </w:t>
      </w:r>
      <w:r>
        <w:rPr>
          <w:rFonts w:eastAsia="方正仿宋_GBK"/>
          <w:color w:val="000000"/>
          <w:szCs w:val="32"/>
        </w:rPr>
        <w:t>随机抽选名单中的招标代理机构估算代理费用达到</w:t>
      </w:r>
      <w:r>
        <w:rPr>
          <w:rFonts w:eastAsia="方正仿宋_GBK"/>
          <w:color w:val="000000"/>
          <w:szCs w:val="32"/>
        </w:rPr>
        <w:t>100</w:t>
      </w:r>
      <w:r>
        <w:rPr>
          <w:rFonts w:eastAsia="方正仿宋_GBK"/>
          <w:color w:val="000000"/>
          <w:szCs w:val="32"/>
        </w:rPr>
        <w:t>万元后将暂停抽选资格，至本年度随机抽选名单中其他代理机构最低代理估算费用达到</w:t>
      </w:r>
      <w:r>
        <w:rPr>
          <w:rFonts w:eastAsia="方正仿宋_GBK"/>
          <w:color w:val="000000"/>
          <w:szCs w:val="32"/>
        </w:rPr>
        <w:t>50</w:t>
      </w:r>
      <w:r>
        <w:rPr>
          <w:rFonts w:eastAsia="方正仿宋_GBK"/>
          <w:color w:val="000000"/>
          <w:szCs w:val="32"/>
        </w:rPr>
        <w:t>万元以上后恢复。</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第十一条</w:t>
      </w:r>
      <w:r>
        <w:rPr>
          <w:rFonts w:eastAsia="方正仿宋_GBK"/>
          <w:color w:val="000000"/>
          <w:szCs w:val="32"/>
        </w:rPr>
        <w:t> </w:t>
      </w:r>
      <w:r>
        <w:rPr>
          <w:rFonts w:eastAsia="方正仿宋_GBK"/>
          <w:color w:val="000000"/>
          <w:szCs w:val="32"/>
        </w:rPr>
        <w:t>电子随机抽选系统由区公管局负责建设管理。招标人通过系统抽选，负责</w:t>
      </w:r>
      <w:r>
        <w:rPr>
          <w:rFonts w:eastAsia="方正仿宋_GBK"/>
          <w:color w:val="000000"/>
          <w:szCs w:val="32"/>
        </w:rPr>
        <w:t>合同履约部分评价。项目监督部门负责对其他部分进行评价并汇总报送监督项目评价结果。</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第十二条</w:t>
      </w:r>
      <w:r>
        <w:rPr>
          <w:rFonts w:eastAsia="方正仿宋_GBK"/>
          <w:color w:val="000000"/>
          <w:szCs w:val="32"/>
        </w:rPr>
        <w:t xml:space="preserve"> </w:t>
      </w:r>
      <w:r>
        <w:rPr>
          <w:rFonts w:eastAsia="方正仿宋_GBK"/>
          <w:color w:val="000000"/>
          <w:szCs w:val="32"/>
        </w:rPr>
        <w:t>项目法人要严格按照本规则确定招标代理机构，对不按本规则选择招标代理机构的由区公管局责令改正。</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t>第十三条</w:t>
      </w:r>
      <w:r>
        <w:rPr>
          <w:rFonts w:eastAsia="方正仿宋_GBK"/>
          <w:color w:val="000000"/>
          <w:szCs w:val="32"/>
        </w:rPr>
        <w:t> </w:t>
      </w:r>
      <w:r>
        <w:rPr>
          <w:rFonts w:eastAsia="方正仿宋_GBK"/>
          <w:color w:val="000000"/>
          <w:szCs w:val="32"/>
        </w:rPr>
        <w:t>行政监督部门人员在代理机构管理中存在滥用职权、玩忽职守、徇私舞弊等违法违纪行为的，依法追究相关责任。</w:t>
      </w:r>
    </w:p>
    <w:p w:rsidR="00656168" w:rsidRDefault="006B0D8D">
      <w:pPr>
        <w:spacing w:line="594" w:lineRule="exact"/>
        <w:ind w:firstLineChars="200" w:firstLine="640"/>
        <w:rPr>
          <w:rFonts w:eastAsia="方正仿宋_GBK"/>
          <w:color w:val="000000"/>
          <w:szCs w:val="32"/>
        </w:rPr>
      </w:pPr>
      <w:r>
        <w:rPr>
          <w:rFonts w:ascii="方正黑体_GBK" w:eastAsia="方正黑体_GBK" w:hint="eastAsia"/>
          <w:color w:val="000000"/>
          <w:szCs w:val="32"/>
        </w:rPr>
        <w:lastRenderedPageBreak/>
        <w:t>第十四条</w:t>
      </w:r>
      <w:r>
        <w:rPr>
          <w:rFonts w:eastAsia="方正仿宋_GBK"/>
          <w:color w:val="000000"/>
          <w:szCs w:val="32"/>
        </w:rPr>
        <w:t xml:space="preserve"> </w:t>
      </w:r>
      <w:r>
        <w:rPr>
          <w:rFonts w:eastAsia="方正仿宋_GBK"/>
          <w:color w:val="000000"/>
          <w:szCs w:val="32"/>
        </w:rPr>
        <w:t>本规则自发布之日起</w:t>
      </w:r>
      <w:r>
        <w:rPr>
          <w:rFonts w:eastAsia="方正仿宋_GBK"/>
          <w:color w:val="000000"/>
          <w:szCs w:val="32"/>
        </w:rPr>
        <w:t>30</w:t>
      </w:r>
      <w:r>
        <w:rPr>
          <w:rFonts w:eastAsia="方正仿宋_GBK"/>
          <w:color w:val="000000"/>
          <w:szCs w:val="32"/>
        </w:rPr>
        <w:t>日后施行，由区公共资源交易监督管理局负责解释。</w:t>
      </w:r>
    </w:p>
    <w:p w:rsidR="00656168" w:rsidRDefault="00656168">
      <w:pPr>
        <w:spacing w:line="594" w:lineRule="exact"/>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sz w:val="28"/>
          <w:szCs w:val="28"/>
        </w:rPr>
      </w:pPr>
    </w:p>
    <w:p w:rsidR="00656168" w:rsidRDefault="00656168">
      <w:pPr>
        <w:spacing w:line="594" w:lineRule="exact"/>
        <w:rPr>
          <w:rFonts w:eastAsia="方正仿宋_GBK" w:hint="eastAsia"/>
          <w:sz w:val="28"/>
          <w:szCs w:val="28"/>
        </w:rPr>
      </w:pPr>
    </w:p>
    <w:p w:rsidR="00656168" w:rsidRDefault="00656168">
      <w:pPr>
        <w:spacing w:line="594" w:lineRule="exact"/>
        <w:rPr>
          <w:rFonts w:eastAsia="方正仿宋_GBK" w:hint="eastAsia"/>
          <w:sz w:val="28"/>
          <w:szCs w:val="28"/>
        </w:rPr>
      </w:pPr>
    </w:p>
    <w:p w:rsidR="00656168" w:rsidRDefault="00656168">
      <w:pPr>
        <w:spacing w:line="594" w:lineRule="exact"/>
        <w:rPr>
          <w:rFonts w:eastAsia="方正仿宋_GBK" w:hint="eastAsia"/>
          <w:sz w:val="28"/>
          <w:szCs w:val="28"/>
        </w:rPr>
      </w:pPr>
      <w:bookmarkStart w:id="0" w:name="_GoBack"/>
      <w:bookmarkEnd w:id="0"/>
    </w:p>
    <w:sectPr w:rsidR="00656168">
      <w:footerReference w:type="even" r:id="rId7"/>
      <w:footerReference w:type="default" r:id="rId8"/>
      <w:pgSz w:w="11906" w:h="16838"/>
      <w:pgMar w:top="1985" w:right="1446" w:bottom="1644" w:left="1446"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8D" w:rsidRDefault="006B0D8D">
      <w:r>
        <w:separator/>
      </w:r>
    </w:p>
  </w:endnote>
  <w:endnote w:type="continuationSeparator" w:id="0">
    <w:p w:rsidR="006B0D8D" w:rsidRDefault="006B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Tahoma">
    <w:altName w:val="Droid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68" w:rsidRDefault="006B0D8D">
    <w:pPr>
      <w:pStyle w:val="a5"/>
      <w:rPr>
        <w:rFonts w:asciiTheme="minorEastAsia" w:eastAsiaTheme="minorEastAsia" w:hAnsiTheme="minorEastAsia"/>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713CC" w:rsidRPr="00E713CC">
      <w:rPr>
        <w:rFonts w:asciiTheme="minorEastAsia" w:eastAsiaTheme="minorEastAsia" w:hAnsiTheme="minorEastAsia"/>
        <w:noProof/>
        <w:sz w:val="28"/>
        <w:szCs w:val="28"/>
        <w:lang w:val="zh-CN"/>
      </w:rPr>
      <w:t>4</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68" w:rsidRDefault="006B0D8D">
    <w:pPr>
      <w:pStyle w:val="a5"/>
      <w:jc w:val="right"/>
      <w:rPr>
        <w:rFonts w:asciiTheme="minorEastAsia" w:eastAsiaTheme="minorEastAsia" w:hAnsiTheme="minorEastAsia"/>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713CC" w:rsidRPr="00E713CC">
      <w:rPr>
        <w:rFonts w:asciiTheme="minorEastAsia" w:eastAsiaTheme="minorEastAsia" w:hAnsiTheme="minorEastAsia"/>
        <w:noProof/>
        <w:sz w:val="28"/>
        <w:szCs w:val="28"/>
        <w:lang w:val="zh-CN"/>
      </w:rPr>
      <w:t>5</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8D" w:rsidRDefault="006B0D8D">
      <w:r>
        <w:separator/>
      </w:r>
    </w:p>
  </w:footnote>
  <w:footnote w:type="continuationSeparator" w:id="0">
    <w:p w:rsidR="006B0D8D" w:rsidRDefault="006B0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evenAndOddHeaders/>
  <w:drawingGridHorizontalSpacing w:val="160"/>
  <w:drawingGridVerticalSpacing w:val="435"/>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E6"/>
    <w:rsid w:val="A7DF739B"/>
    <w:rsid w:val="EAFB9FD1"/>
    <w:rsid w:val="F7FF5E86"/>
    <w:rsid w:val="00011D0C"/>
    <w:rsid w:val="00025233"/>
    <w:rsid w:val="00025CEC"/>
    <w:rsid w:val="00030472"/>
    <w:rsid w:val="00032D26"/>
    <w:rsid w:val="000335BA"/>
    <w:rsid w:val="0003690F"/>
    <w:rsid w:val="000713C8"/>
    <w:rsid w:val="0007367B"/>
    <w:rsid w:val="00074CFB"/>
    <w:rsid w:val="00075D69"/>
    <w:rsid w:val="000774DD"/>
    <w:rsid w:val="000807AA"/>
    <w:rsid w:val="00081DA9"/>
    <w:rsid w:val="00087B77"/>
    <w:rsid w:val="000948B3"/>
    <w:rsid w:val="000A2391"/>
    <w:rsid w:val="000A3301"/>
    <w:rsid w:val="000B1259"/>
    <w:rsid w:val="000B54F5"/>
    <w:rsid w:val="000B600E"/>
    <w:rsid w:val="000B6EA9"/>
    <w:rsid w:val="000B74E0"/>
    <w:rsid w:val="000C5560"/>
    <w:rsid w:val="000D2C91"/>
    <w:rsid w:val="000D5CFE"/>
    <w:rsid w:val="000D6FF5"/>
    <w:rsid w:val="000F51EF"/>
    <w:rsid w:val="001010E7"/>
    <w:rsid w:val="001213B6"/>
    <w:rsid w:val="00135821"/>
    <w:rsid w:val="001419CB"/>
    <w:rsid w:val="00155275"/>
    <w:rsid w:val="001607D0"/>
    <w:rsid w:val="00183391"/>
    <w:rsid w:val="0019759F"/>
    <w:rsid w:val="001A11AD"/>
    <w:rsid w:val="001A1B90"/>
    <w:rsid w:val="001A3FC9"/>
    <w:rsid w:val="001A6231"/>
    <w:rsid w:val="001C1D57"/>
    <w:rsid w:val="001D31FB"/>
    <w:rsid w:val="001D5CC7"/>
    <w:rsid w:val="001E646D"/>
    <w:rsid w:val="001E7DC0"/>
    <w:rsid w:val="001F2638"/>
    <w:rsid w:val="001F7890"/>
    <w:rsid w:val="00205ADE"/>
    <w:rsid w:val="00212B7E"/>
    <w:rsid w:val="00214E13"/>
    <w:rsid w:val="0021764E"/>
    <w:rsid w:val="0022167D"/>
    <w:rsid w:val="00224F08"/>
    <w:rsid w:val="0022600B"/>
    <w:rsid w:val="00226771"/>
    <w:rsid w:val="0023223C"/>
    <w:rsid w:val="00235921"/>
    <w:rsid w:val="00237B83"/>
    <w:rsid w:val="0025027B"/>
    <w:rsid w:val="00262B09"/>
    <w:rsid w:val="00262B2C"/>
    <w:rsid w:val="002638E8"/>
    <w:rsid w:val="002734A4"/>
    <w:rsid w:val="002821F9"/>
    <w:rsid w:val="002825B4"/>
    <w:rsid w:val="002A6E45"/>
    <w:rsid w:val="002B0B1E"/>
    <w:rsid w:val="002B1FBF"/>
    <w:rsid w:val="002B2100"/>
    <w:rsid w:val="002B2444"/>
    <w:rsid w:val="002C429C"/>
    <w:rsid w:val="002C6AD5"/>
    <w:rsid w:val="002C7772"/>
    <w:rsid w:val="002D358A"/>
    <w:rsid w:val="002D5359"/>
    <w:rsid w:val="002F39F6"/>
    <w:rsid w:val="002F61D1"/>
    <w:rsid w:val="00310F86"/>
    <w:rsid w:val="00313014"/>
    <w:rsid w:val="003140A3"/>
    <w:rsid w:val="00323B43"/>
    <w:rsid w:val="003422ED"/>
    <w:rsid w:val="0034639D"/>
    <w:rsid w:val="0035259E"/>
    <w:rsid w:val="00390D81"/>
    <w:rsid w:val="00392CF8"/>
    <w:rsid w:val="003B22A1"/>
    <w:rsid w:val="003B64DD"/>
    <w:rsid w:val="003D37D8"/>
    <w:rsid w:val="003D3D3D"/>
    <w:rsid w:val="003D500D"/>
    <w:rsid w:val="003E6473"/>
    <w:rsid w:val="003F0AC9"/>
    <w:rsid w:val="003F3E7F"/>
    <w:rsid w:val="004107EA"/>
    <w:rsid w:val="0041209E"/>
    <w:rsid w:val="00416030"/>
    <w:rsid w:val="00417534"/>
    <w:rsid w:val="00420F3C"/>
    <w:rsid w:val="004309A7"/>
    <w:rsid w:val="004358AB"/>
    <w:rsid w:val="00474257"/>
    <w:rsid w:val="00476062"/>
    <w:rsid w:val="004769BD"/>
    <w:rsid w:val="00487722"/>
    <w:rsid w:val="0049393D"/>
    <w:rsid w:val="004A237C"/>
    <w:rsid w:val="004A5D52"/>
    <w:rsid w:val="004A6EB9"/>
    <w:rsid w:val="004B117A"/>
    <w:rsid w:val="004B46B3"/>
    <w:rsid w:val="004C7452"/>
    <w:rsid w:val="004D1314"/>
    <w:rsid w:val="004D5D32"/>
    <w:rsid w:val="0050556B"/>
    <w:rsid w:val="005100D3"/>
    <w:rsid w:val="00511DE1"/>
    <w:rsid w:val="0051577C"/>
    <w:rsid w:val="00525121"/>
    <w:rsid w:val="00536641"/>
    <w:rsid w:val="00536BE3"/>
    <w:rsid w:val="005425FB"/>
    <w:rsid w:val="00553C2B"/>
    <w:rsid w:val="005601A3"/>
    <w:rsid w:val="00571A56"/>
    <w:rsid w:val="00571D70"/>
    <w:rsid w:val="00576CBC"/>
    <w:rsid w:val="00583046"/>
    <w:rsid w:val="0059157E"/>
    <w:rsid w:val="00595DDE"/>
    <w:rsid w:val="005A6310"/>
    <w:rsid w:val="005B0162"/>
    <w:rsid w:val="005B0185"/>
    <w:rsid w:val="005D179E"/>
    <w:rsid w:val="005D19BD"/>
    <w:rsid w:val="005D4620"/>
    <w:rsid w:val="005E39EC"/>
    <w:rsid w:val="005E66B3"/>
    <w:rsid w:val="005F74C2"/>
    <w:rsid w:val="00607C4F"/>
    <w:rsid w:val="00617E4E"/>
    <w:rsid w:val="006279D5"/>
    <w:rsid w:val="00634FC7"/>
    <w:rsid w:val="0063770E"/>
    <w:rsid w:val="00644348"/>
    <w:rsid w:val="00646D1F"/>
    <w:rsid w:val="00653778"/>
    <w:rsid w:val="00655A63"/>
    <w:rsid w:val="00656168"/>
    <w:rsid w:val="006562C8"/>
    <w:rsid w:val="0066379A"/>
    <w:rsid w:val="00664D15"/>
    <w:rsid w:val="006664EF"/>
    <w:rsid w:val="00693C3B"/>
    <w:rsid w:val="006A6D6E"/>
    <w:rsid w:val="006B0D8D"/>
    <w:rsid w:val="006B584E"/>
    <w:rsid w:val="006C76FC"/>
    <w:rsid w:val="006D4082"/>
    <w:rsid w:val="006E140F"/>
    <w:rsid w:val="006F10FA"/>
    <w:rsid w:val="006F2FC5"/>
    <w:rsid w:val="006F75EB"/>
    <w:rsid w:val="00700A29"/>
    <w:rsid w:val="00703E8C"/>
    <w:rsid w:val="00704C2D"/>
    <w:rsid w:val="0072517B"/>
    <w:rsid w:val="007328A7"/>
    <w:rsid w:val="007345E3"/>
    <w:rsid w:val="00735570"/>
    <w:rsid w:val="00735E3F"/>
    <w:rsid w:val="0076148A"/>
    <w:rsid w:val="00762E66"/>
    <w:rsid w:val="007C2C3D"/>
    <w:rsid w:val="007C6098"/>
    <w:rsid w:val="007D3D2F"/>
    <w:rsid w:val="007E03F0"/>
    <w:rsid w:val="007E575E"/>
    <w:rsid w:val="007F5897"/>
    <w:rsid w:val="007F5BD4"/>
    <w:rsid w:val="008028BA"/>
    <w:rsid w:val="0080430E"/>
    <w:rsid w:val="008065B4"/>
    <w:rsid w:val="00806DBA"/>
    <w:rsid w:val="00812ED6"/>
    <w:rsid w:val="00815881"/>
    <w:rsid w:val="00815898"/>
    <w:rsid w:val="00815FA9"/>
    <w:rsid w:val="00817E4B"/>
    <w:rsid w:val="00824135"/>
    <w:rsid w:val="008270E3"/>
    <w:rsid w:val="008328CD"/>
    <w:rsid w:val="008416F7"/>
    <w:rsid w:val="00843363"/>
    <w:rsid w:val="00843840"/>
    <w:rsid w:val="00852A6B"/>
    <w:rsid w:val="00854771"/>
    <w:rsid w:val="0087029F"/>
    <w:rsid w:val="00871362"/>
    <w:rsid w:val="00871AE6"/>
    <w:rsid w:val="008851D3"/>
    <w:rsid w:val="008901AB"/>
    <w:rsid w:val="00895253"/>
    <w:rsid w:val="008A0954"/>
    <w:rsid w:val="008A0BB1"/>
    <w:rsid w:val="008B50A6"/>
    <w:rsid w:val="008B7726"/>
    <w:rsid w:val="008C1C67"/>
    <w:rsid w:val="008C3054"/>
    <w:rsid w:val="008C7B48"/>
    <w:rsid w:val="008E0702"/>
    <w:rsid w:val="008E7010"/>
    <w:rsid w:val="008E7020"/>
    <w:rsid w:val="008F558A"/>
    <w:rsid w:val="008F669B"/>
    <w:rsid w:val="0090175D"/>
    <w:rsid w:val="00916FC6"/>
    <w:rsid w:val="009224D4"/>
    <w:rsid w:val="009334E9"/>
    <w:rsid w:val="00933A3B"/>
    <w:rsid w:val="00935DAE"/>
    <w:rsid w:val="00937256"/>
    <w:rsid w:val="00937CAC"/>
    <w:rsid w:val="009563BA"/>
    <w:rsid w:val="009650E7"/>
    <w:rsid w:val="009720DE"/>
    <w:rsid w:val="009746E1"/>
    <w:rsid w:val="00975697"/>
    <w:rsid w:val="009759E8"/>
    <w:rsid w:val="00977EB0"/>
    <w:rsid w:val="009879D8"/>
    <w:rsid w:val="00987AF9"/>
    <w:rsid w:val="0099122B"/>
    <w:rsid w:val="00993B73"/>
    <w:rsid w:val="009A2B84"/>
    <w:rsid w:val="009B1171"/>
    <w:rsid w:val="009B737F"/>
    <w:rsid w:val="009C0A4E"/>
    <w:rsid w:val="009D0865"/>
    <w:rsid w:val="009D60A9"/>
    <w:rsid w:val="009E1DDC"/>
    <w:rsid w:val="009F1A39"/>
    <w:rsid w:val="00A02DFF"/>
    <w:rsid w:val="00A268A1"/>
    <w:rsid w:val="00A3612B"/>
    <w:rsid w:val="00A43C11"/>
    <w:rsid w:val="00A521F1"/>
    <w:rsid w:val="00A60B6E"/>
    <w:rsid w:val="00A74262"/>
    <w:rsid w:val="00A7714F"/>
    <w:rsid w:val="00A77FE9"/>
    <w:rsid w:val="00A96743"/>
    <w:rsid w:val="00AA4B37"/>
    <w:rsid w:val="00AA51AE"/>
    <w:rsid w:val="00AA6645"/>
    <w:rsid w:val="00AB189D"/>
    <w:rsid w:val="00AB593E"/>
    <w:rsid w:val="00AC399C"/>
    <w:rsid w:val="00AD121C"/>
    <w:rsid w:val="00AD12D4"/>
    <w:rsid w:val="00AD505C"/>
    <w:rsid w:val="00AE3F87"/>
    <w:rsid w:val="00AF2DEF"/>
    <w:rsid w:val="00AF549B"/>
    <w:rsid w:val="00AF768B"/>
    <w:rsid w:val="00B21783"/>
    <w:rsid w:val="00B3074F"/>
    <w:rsid w:val="00B500C7"/>
    <w:rsid w:val="00B502BD"/>
    <w:rsid w:val="00B659DC"/>
    <w:rsid w:val="00B77842"/>
    <w:rsid w:val="00B80FED"/>
    <w:rsid w:val="00B83401"/>
    <w:rsid w:val="00B856FA"/>
    <w:rsid w:val="00B860A4"/>
    <w:rsid w:val="00B86871"/>
    <w:rsid w:val="00B90205"/>
    <w:rsid w:val="00B91441"/>
    <w:rsid w:val="00B95132"/>
    <w:rsid w:val="00B96CCA"/>
    <w:rsid w:val="00BA54F9"/>
    <w:rsid w:val="00BC365F"/>
    <w:rsid w:val="00BD12C4"/>
    <w:rsid w:val="00BD60EE"/>
    <w:rsid w:val="00BF2575"/>
    <w:rsid w:val="00C0452F"/>
    <w:rsid w:val="00C12B7A"/>
    <w:rsid w:val="00C146F9"/>
    <w:rsid w:val="00C20184"/>
    <w:rsid w:val="00C22130"/>
    <w:rsid w:val="00C24027"/>
    <w:rsid w:val="00C40335"/>
    <w:rsid w:val="00C403D1"/>
    <w:rsid w:val="00C508AD"/>
    <w:rsid w:val="00C55E15"/>
    <w:rsid w:val="00C56CBB"/>
    <w:rsid w:val="00C609F9"/>
    <w:rsid w:val="00C637D4"/>
    <w:rsid w:val="00C67E6A"/>
    <w:rsid w:val="00C7074B"/>
    <w:rsid w:val="00C817A4"/>
    <w:rsid w:val="00CA7C04"/>
    <w:rsid w:val="00CD7507"/>
    <w:rsid w:val="00CE7745"/>
    <w:rsid w:val="00CF2E3F"/>
    <w:rsid w:val="00CF3BA7"/>
    <w:rsid w:val="00D049C8"/>
    <w:rsid w:val="00D10C91"/>
    <w:rsid w:val="00D121BC"/>
    <w:rsid w:val="00D245DF"/>
    <w:rsid w:val="00D25F30"/>
    <w:rsid w:val="00D34085"/>
    <w:rsid w:val="00D550D3"/>
    <w:rsid w:val="00D7216C"/>
    <w:rsid w:val="00D8131A"/>
    <w:rsid w:val="00D96173"/>
    <w:rsid w:val="00DA5972"/>
    <w:rsid w:val="00DD34E1"/>
    <w:rsid w:val="00DD6731"/>
    <w:rsid w:val="00DD679C"/>
    <w:rsid w:val="00DE095F"/>
    <w:rsid w:val="00DF493A"/>
    <w:rsid w:val="00E01574"/>
    <w:rsid w:val="00E13EE3"/>
    <w:rsid w:val="00E15ABA"/>
    <w:rsid w:val="00E270C2"/>
    <w:rsid w:val="00E273F5"/>
    <w:rsid w:val="00E57538"/>
    <w:rsid w:val="00E62C8D"/>
    <w:rsid w:val="00E713CC"/>
    <w:rsid w:val="00E72D21"/>
    <w:rsid w:val="00E825EE"/>
    <w:rsid w:val="00E92C14"/>
    <w:rsid w:val="00E9443F"/>
    <w:rsid w:val="00EA73BD"/>
    <w:rsid w:val="00EB3659"/>
    <w:rsid w:val="00EB7568"/>
    <w:rsid w:val="00EC766D"/>
    <w:rsid w:val="00EE5EA6"/>
    <w:rsid w:val="00EF0121"/>
    <w:rsid w:val="00EF5382"/>
    <w:rsid w:val="00F06B61"/>
    <w:rsid w:val="00F2715E"/>
    <w:rsid w:val="00F31002"/>
    <w:rsid w:val="00F339B3"/>
    <w:rsid w:val="00F44C6D"/>
    <w:rsid w:val="00F61063"/>
    <w:rsid w:val="00F77D0E"/>
    <w:rsid w:val="00F85546"/>
    <w:rsid w:val="00F97A30"/>
    <w:rsid w:val="00FA65EA"/>
    <w:rsid w:val="00FB439E"/>
    <w:rsid w:val="00FC1B48"/>
    <w:rsid w:val="00FC354D"/>
    <w:rsid w:val="00FC7761"/>
    <w:rsid w:val="00FC7861"/>
    <w:rsid w:val="00FD21DF"/>
    <w:rsid w:val="00FE0876"/>
    <w:rsid w:val="00FF699A"/>
    <w:rsid w:val="16FD5099"/>
    <w:rsid w:val="1F3130A9"/>
    <w:rsid w:val="38775BB7"/>
    <w:rsid w:val="3B0524B0"/>
    <w:rsid w:val="3C0129CB"/>
    <w:rsid w:val="3D89162D"/>
    <w:rsid w:val="3FAF127F"/>
    <w:rsid w:val="4C8F1380"/>
    <w:rsid w:val="57AB1FE8"/>
    <w:rsid w:val="6C022D75"/>
    <w:rsid w:val="6FA904F0"/>
    <w:rsid w:val="76B4530C"/>
    <w:rsid w:val="7CD173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512B9B6-7811-4E1F-9B86-B038AED0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kern w:val="44"/>
      <w:sz w:val="48"/>
      <w:szCs w:val="48"/>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paragraph" w:styleId="a6">
    <w:name w:val="header"/>
    <w:basedOn w:val="a"/>
    <w:link w:val="Char2"/>
    <w:uiPriority w:val="99"/>
    <w:unhideWhenUsed/>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a7">
    <w:name w:val="Normal (Web)"/>
    <w:basedOn w:val="a"/>
    <w:uiPriority w:val="99"/>
    <w:unhideWhenUsed/>
    <w:qFormat/>
    <w:pPr>
      <w:spacing w:beforeAutospacing="1" w:afterAutospacing="1"/>
      <w:jc w:val="left"/>
    </w:pPr>
    <w:rPr>
      <w:kern w:val="0"/>
      <w:sz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rPr>
  </w:style>
  <w:style w:type="character" w:styleId="aa">
    <w:name w:val="Emphasis"/>
    <w:basedOn w:val="a0"/>
    <w:uiPriority w:val="20"/>
    <w:qFormat/>
    <w:rPr>
      <w:i/>
      <w:iCs/>
    </w:rPr>
  </w:style>
  <w:style w:type="character" w:customStyle="1" w:styleId="Char2">
    <w:name w:val="页眉 Char"/>
    <w:basedOn w:val="a0"/>
    <w:link w:val="a6"/>
    <w:uiPriority w:val="99"/>
    <w:semiHidden/>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paragraph" w:customStyle="1" w:styleId="10">
    <w:name w:val="列出段落1"/>
    <w:basedOn w:val="a"/>
    <w:uiPriority w:val="34"/>
    <w:qFormat/>
    <w:pPr>
      <w:ind w:firstLineChars="200" w:firstLine="420"/>
    </w:pPr>
  </w:style>
  <w:style w:type="paragraph" w:customStyle="1" w:styleId="msonormalcxspmiddle">
    <w:name w:val="msonormalcxspmidd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Pr>
      <w:rFonts w:eastAsia="仿宋_GB2312"/>
      <w:kern w:val="2"/>
      <w:sz w:val="18"/>
      <w:szCs w:val="18"/>
    </w:rPr>
  </w:style>
  <w:style w:type="paragraph" w:styleId="ab">
    <w:name w:val="List Paragraph"/>
    <w:basedOn w:val="a"/>
    <w:uiPriority w:val="99"/>
    <w:qFormat/>
    <w:pPr>
      <w:ind w:firstLineChars="200" w:firstLine="420"/>
    </w:pPr>
  </w:style>
  <w:style w:type="character" w:customStyle="1" w:styleId="Char">
    <w:name w:val="日期 Char"/>
    <w:basedOn w:val="a0"/>
    <w:link w:val="a3"/>
    <w:uiPriority w:val="99"/>
    <w:semiHidden/>
    <w:qFormat/>
    <w:rPr>
      <w:rFonts w:eastAsia="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278</Words>
  <Characters>1590</Characters>
  <Application>Microsoft Office Word</Application>
  <DocSecurity>0</DocSecurity>
  <Lines>13</Lines>
  <Paragraphs>3</Paragraphs>
  <ScaleCrop>false</ScaleCrop>
  <Company>Sky123.Org</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蒲睿</dc:creator>
  <cp:lastModifiedBy>Administrator</cp:lastModifiedBy>
  <cp:revision>32</cp:revision>
  <cp:lastPrinted>2022-05-24T10:15:00Z</cp:lastPrinted>
  <dcterms:created xsi:type="dcterms:W3CDTF">2021-02-04T16:49:00Z</dcterms:created>
  <dcterms:modified xsi:type="dcterms:W3CDTF">2022-08-10T02:56:00Z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