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p>
    <w:p>
      <w:pPr>
        <w:spacing w:line="1600" w:lineRule="exact"/>
        <w:jc w:val="center"/>
        <w:outlineLvl w:val="0"/>
        <w:rPr>
          <w:rFonts w:ascii="方正黑体_GBK" w:eastAsia="方正黑体_GBK"/>
          <w:sz w:val="100"/>
        </w:rPr>
      </w:pPr>
      <w:r>
        <w:rPr>
          <w:rFonts w:hint="eastAsia" w:ascii="方正黑体_GBK" w:eastAsia="方正黑体_GBK"/>
          <w:sz w:val="100"/>
        </w:rPr>
        <w:t>政府采购</w:t>
      </w:r>
    </w:p>
    <w:p>
      <w:pPr>
        <w:spacing w:line="1600" w:lineRule="exact"/>
        <w:jc w:val="center"/>
        <w:outlineLvl w:val="0"/>
        <w:rPr>
          <w:rFonts w:ascii="方正黑体_GBK" w:hAnsi="宋体" w:eastAsia="方正黑体_GBK"/>
          <w:sz w:val="130"/>
          <w:szCs w:val="130"/>
        </w:rPr>
      </w:pPr>
      <w:r>
        <w:rPr>
          <w:rFonts w:hint="eastAsia" w:ascii="方正黑体_GBK" w:hAnsi="宋体" w:eastAsia="方正黑体_GBK"/>
          <w:sz w:val="130"/>
          <w:szCs w:val="130"/>
        </w:rPr>
        <w:t>竞争性磋商文件</w:t>
      </w:r>
    </w:p>
    <w:p>
      <w:pPr>
        <w:spacing w:line="700" w:lineRule="exact"/>
        <w:jc w:val="center"/>
        <w:rPr>
          <w:rFonts w:ascii="方正黑体_GBK" w:eastAsia="方正黑体_GBK"/>
          <w:sz w:val="72"/>
          <w:szCs w:val="7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outlineLvl w:val="0"/>
        <w:rPr>
          <w:rFonts w:ascii="方正小标宋_GBK" w:hAnsi="宋体" w:eastAsia="方正小标宋_GBK"/>
          <w:sz w:val="36"/>
          <w:szCs w:val="36"/>
        </w:rPr>
      </w:pPr>
    </w:p>
    <w:p>
      <w:pPr>
        <w:spacing w:line="500" w:lineRule="exact"/>
        <w:outlineLvl w:val="0"/>
        <w:rPr>
          <w:rFonts w:ascii="方正小标宋_GBK" w:hAnsi="宋体" w:eastAsia="方正小标宋_GBK"/>
          <w:sz w:val="36"/>
          <w:szCs w:val="36"/>
        </w:rPr>
      </w:pPr>
    </w:p>
    <w:p>
      <w:pPr>
        <w:spacing w:line="500" w:lineRule="exact"/>
        <w:outlineLvl w:val="0"/>
        <w:rPr>
          <w:rFonts w:ascii="方正小标宋_GBK" w:hAnsi="宋体" w:eastAsia="方正小标宋_GBK"/>
          <w:sz w:val="36"/>
          <w:szCs w:val="36"/>
        </w:rPr>
      </w:pPr>
    </w:p>
    <w:p>
      <w:pPr>
        <w:spacing w:line="500" w:lineRule="exact"/>
        <w:ind w:firstLine="720" w:firstLineChars="200"/>
        <w:outlineLvl w:val="0"/>
        <w:rPr>
          <w:rFonts w:ascii="方正小标宋_GBK" w:hAnsi="宋体" w:eastAsia="方正小标宋_GBK"/>
          <w:sz w:val="36"/>
          <w:szCs w:val="36"/>
        </w:rPr>
      </w:pPr>
      <w:r>
        <w:rPr>
          <w:rFonts w:hint="eastAsia" w:ascii="方正小标宋_GBK" w:hAnsi="宋体" w:eastAsia="方正小标宋_GBK"/>
          <w:sz w:val="36"/>
          <w:szCs w:val="36"/>
        </w:rPr>
        <w:t xml:space="preserve">项   目   号：ZC2022147 </w:t>
      </w:r>
    </w:p>
    <w:p>
      <w:pPr>
        <w:spacing w:line="500" w:lineRule="exact"/>
        <w:ind w:firstLine="720" w:firstLineChars="200"/>
        <w:outlineLvl w:val="0"/>
        <w:rPr>
          <w:rFonts w:ascii="方正小标宋_GBK" w:hAnsi="宋体" w:eastAsia="方正小标宋_GBK"/>
          <w:sz w:val="36"/>
          <w:szCs w:val="36"/>
        </w:rPr>
      </w:pPr>
      <w:r>
        <w:rPr>
          <w:rFonts w:hint="eastAsia" w:ascii="方正小标宋_GBK" w:hAnsi="宋体" w:eastAsia="方正小标宋_GBK"/>
          <w:sz w:val="36"/>
          <w:szCs w:val="36"/>
        </w:rPr>
        <w:t xml:space="preserve">采购执行编号：SPB22C01224 </w:t>
      </w:r>
    </w:p>
    <w:p>
      <w:pPr>
        <w:spacing w:line="500" w:lineRule="exact"/>
        <w:ind w:left="3237" w:leftChars="256" w:hanging="2520" w:hangingChars="700"/>
        <w:outlineLvl w:val="0"/>
        <w:rPr>
          <w:rFonts w:ascii="方正小标宋_GBK" w:hAnsi="宋体" w:eastAsia="方正小标宋_GBK"/>
          <w:sz w:val="36"/>
          <w:szCs w:val="36"/>
        </w:rPr>
      </w:pPr>
      <w:r>
        <w:rPr>
          <w:rFonts w:hint="eastAsia" w:ascii="方正小标宋_GBK" w:hAnsi="宋体" w:eastAsia="方正小标宋_GBK"/>
          <w:sz w:val="36"/>
          <w:szCs w:val="36"/>
        </w:rPr>
        <w:t>磋商项目名称：重庆市沙坪坝区城市更新项目石井坡片区策划设计服务</w:t>
      </w:r>
    </w:p>
    <w:p>
      <w:pPr>
        <w:spacing w:line="700" w:lineRule="exact"/>
        <w:ind w:firstLine="1749" w:firstLineChars="486"/>
        <w:rPr>
          <w:rFonts w:ascii="方正小标宋_GBK" w:hAnsi="宋体" w:eastAsia="方正小标宋_GBK"/>
          <w:sz w:val="36"/>
          <w:szCs w:val="36"/>
        </w:rPr>
      </w:pPr>
    </w:p>
    <w:p>
      <w:pPr>
        <w:spacing w:line="700" w:lineRule="exact"/>
        <w:ind w:firstLine="1749" w:firstLineChars="486"/>
        <w:rPr>
          <w:rFonts w:ascii="方正小标宋_GBK" w:hAnsi="宋体" w:eastAsia="方正小标宋_GBK"/>
          <w:sz w:val="36"/>
          <w:szCs w:val="36"/>
        </w:rPr>
      </w:pPr>
    </w:p>
    <w:p>
      <w:pPr>
        <w:spacing w:line="700" w:lineRule="exact"/>
        <w:rPr>
          <w:rFonts w:ascii="方正小标宋_GBK" w:hAnsi="宋体" w:eastAsia="方正小标宋_GBK"/>
          <w:sz w:val="36"/>
          <w:szCs w:val="36"/>
        </w:rPr>
      </w:pPr>
    </w:p>
    <w:p>
      <w:pPr>
        <w:spacing w:line="700" w:lineRule="exact"/>
        <w:jc w:val="center"/>
        <w:rPr>
          <w:rFonts w:ascii="方正小标宋_GBK" w:hAnsi="宋体" w:eastAsia="方正小标宋_GBK"/>
          <w:b/>
          <w:sz w:val="36"/>
          <w:szCs w:val="36"/>
        </w:rPr>
      </w:pPr>
    </w:p>
    <w:p>
      <w:pPr>
        <w:spacing w:line="500" w:lineRule="exact"/>
        <w:ind w:firstLine="720" w:firstLineChars="200"/>
        <w:outlineLvl w:val="0"/>
        <w:rPr>
          <w:rFonts w:ascii="方正小标宋_GBK" w:eastAsia="方正小标宋_GBK"/>
          <w:sz w:val="36"/>
          <w:szCs w:val="36"/>
        </w:rPr>
      </w:pPr>
      <w:r>
        <w:rPr>
          <w:rFonts w:hint="eastAsia" w:ascii="方正小标宋_GBK" w:eastAsia="方正小标宋_GBK"/>
          <w:sz w:val="36"/>
          <w:szCs w:val="36"/>
        </w:rPr>
        <w:t>采   购   人：</w:t>
      </w:r>
      <w:r>
        <w:rPr>
          <w:rFonts w:hint="eastAsia" w:ascii="方正小标宋_GBK" w:hAnsi="宋体" w:eastAsia="方正小标宋_GBK"/>
          <w:sz w:val="36"/>
          <w:szCs w:val="36"/>
        </w:rPr>
        <w:t>重庆市沙坪坝区住房和城乡建设委员会</w:t>
      </w:r>
      <w:r>
        <w:rPr>
          <w:rFonts w:hint="eastAsia" w:ascii="方正小标宋_GBK" w:eastAsia="方正小标宋_GBK"/>
          <w:sz w:val="36"/>
          <w:szCs w:val="36"/>
        </w:rPr>
        <w:t xml:space="preserve"> </w:t>
      </w:r>
    </w:p>
    <w:p>
      <w:pPr>
        <w:spacing w:line="500" w:lineRule="exact"/>
        <w:ind w:firstLine="720" w:firstLineChars="200"/>
        <w:outlineLvl w:val="0"/>
        <w:rPr>
          <w:rFonts w:ascii="方正小标宋_GBK" w:eastAsia="方正小标宋_GBK"/>
          <w:sz w:val="36"/>
          <w:szCs w:val="36"/>
        </w:rPr>
      </w:pPr>
      <w:r>
        <w:rPr>
          <w:rFonts w:hint="eastAsia" w:ascii="方正小标宋_GBK" w:eastAsia="方正小标宋_GBK"/>
          <w:sz w:val="36"/>
          <w:szCs w:val="36"/>
        </w:rPr>
        <w:t>采购代理机构：重庆市沙坪坝区公共资源交易中心</w:t>
      </w:r>
    </w:p>
    <w:p>
      <w:pPr>
        <w:spacing w:line="500" w:lineRule="exact"/>
        <w:jc w:val="center"/>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二〇二二年十二月</w:t>
      </w:r>
    </w:p>
    <w:p>
      <w:pPr>
        <w:spacing w:line="720" w:lineRule="exact"/>
        <w:jc w:val="center"/>
        <w:outlineLvl w:val="0"/>
        <w:rPr>
          <w:rFonts w:ascii="方正黑体_GBK" w:hAnsi="宋体" w:eastAsia="方正黑体_GBK"/>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pStyle w:val="3"/>
        <w:spacing w:line="360" w:lineRule="auto"/>
        <w:jc w:val="center"/>
        <w:rPr>
          <w:rFonts w:ascii="方正小标宋_GBK" w:hAnsi="宋体" w:eastAsia="方正小标宋_GBK"/>
          <w:b w:val="0"/>
          <w:szCs w:val="30"/>
        </w:rPr>
      </w:pPr>
      <w:bookmarkStart w:id="0" w:name="_Toc12789052"/>
      <w:bookmarkStart w:id="1" w:name="_Toc106030870"/>
      <w:bookmarkStart w:id="2" w:name="_Toc11641050"/>
      <w:bookmarkStart w:id="3" w:name="_Toc76462316"/>
      <w:r>
        <w:rPr>
          <w:rFonts w:hint="eastAsia" w:ascii="方正小标宋_GBK" w:hAnsi="宋体" w:eastAsia="方正小标宋_GBK"/>
          <w:b w:val="0"/>
          <w:sz w:val="36"/>
          <w:szCs w:val="30"/>
        </w:rPr>
        <w:t>第一篇  采购邀请书</w:t>
      </w:r>
      <w:bookmarkEnd w:id="0"/>
      <w:bookmarkEnd w:id="1"/>
      <w:bookmarkEnd w:id="2"/>
      <w:bookmarkEnd w:id="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沙坪坝区公共资源交易中心（以下简称：采购代理机构）接受重庆市沙坪坝区住房和城乡建设委员会（以下简称：采购人）的委托，对重庆市沙坪坝区城市更新项目石井坡片区策划设计服务项目进行竞争性磋商采购。欢迎有资格的供应商前来参与磋商。</w:t>
      </w:r>
    </w:p>
    <w:p>
      <w:pPr>
        <w:pStyle w:val="3"/>
        <w:adjustRightInd w:val="0"/>
        <w:snapToGrid w:val="0"/>
        <w:spacing w:before="0" w:after="0" w:line="400" w:lineRule="exact"/>
        <w:ind w:firstLine="482" w:firstLineChars="200"/>
        <w:rPr>
          <w:rFonts w:ascii="方正仿宋_GBK" w:hAnsi="宋体" w:eastAsia="方正仿宋_GBK"/>
          <w:sz w:val="24"/>
        </w:rPr>
      </w:pPr>
      <w:bookmarkStart w:id="4" w:name="_Toc106030871"/>
      <w:bookmarkStart w:id="5" w:name="_Toc313893526"/>
      <w:bookmarkStart w:id="6" w:name="_Toc76462317"/>
      <w:bookmarkStart w:id="7" w:name="_Toc317775175"/>
      <w:r>
        <w:rPr>
          <w:rFonts w:hint="eastAsia" w:ascii="方正仿宋_GBK" w:hAnsi="宋体" w:eastAsia="方正仿宋_GBK"/>
          <w:sz w:val="24"/>
        </w:rPr>
        <w:t>一、竞争性磋商内容</w:t>
      </w:r>
      <w:bookmarkEnd w:id="4"/>
      <w:bookmarkEnd w:id="5"/>
      <w:bookmarkEnd w:id="6"/>
      <w:bookmarkEnd w:id="7"/>
    </w:p>
    <w:tbl>
      <w:tblPr>
        <w:tblStyle w:val="1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1662"/>
        <w:gridCol w:w="993"/>
        <w:gridCol w:w="1267"/>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84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名称</w:t>
            </w:r>
          </w:p>
        </w:tc>
        <w:tc>
          <w:tcPr>
            <w:tcW w:w="1662"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993"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保证金</w:t>
            </w:r>
          </w:p>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1267"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2516"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84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bookmarkStart w:id="8" w:name="_Hlk344477914"/>
            <w:r>
              <w:rPr>
                <w:rFonts w:hint="eastAsia" w:ascii="方正仿宋_GBK" w:hAnsi="宋体" w:eastAsia="方正仿宋_GBK" w:cs="宋体"/>
                <w:b/>
                <w:bCs/>
                <w:kern w:val="0"/>
                <w:sz w:val="21"/>
                <w:szCs w:val="24"/>
              </w:rPr>
              <w:t>重庆市沙坪坝区城市更新项目石井坡片区策划设计服务</w:t>
            </w:r>
          </w:p>
        </w:tc>
        <w:tc>
          <w:tcPr>
            <w:tcW w:w="1662"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68</w:t>
            </w:r>
          </w:p>
        </w:tc>
        <w:tc>
          <w:tcPr>
            <w:tcW w:w="993"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1.36</w:t>
            </w:r>
          </w:p>
        </w:tc>
        <w:tc>
          <w:tcPr>
            <w:tcW w:w="1267"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1</w:t>
            </w:r>
          </w:p>
        </w:tc>
        <w:tc>
          <w:tcPr>
            <w:tcW w:w="2516" w:type="dxa"/>
            <w:tcBorders>
              <w:top w:val="single" w:color="auto" w:sz="4" w:space="0"/>
              <w:left w:val="single" w:color="auto" w:sz="4" w:space="0"/>
              <w:right w:val="single" w:color="auto" w:sz="4" w:space="0"/>
            </w:tcBorders>
            <w:vAlign w:val="center"/>
          </w:tcPr>
          <w:p>
            <w:pPr>
              <w:jc w:val="center"/>
              <w:rPr>
                <w:rFonts w:ascii="方正仿宋_GBK" w:hAnsi="宋体" w:eastAsia="方正仿宋_GBK"/>
                <w:b/>
                <w:bCs/>
                <w:sz w:val="21"/>
                <w:szCs w:val="21"/>
              </w:rPr>
            </w:pPr>
            <w:r>
              <w:rPr>
                <w:rFonts w:hint="eastAsia" w:ascii="方正仿宋_GBK" w:hAnsi="宋体" w:eastAsia="方正仿宋_GBK" w:cs="宋体"/>
                <w:b/>
                <w:bCs/>
                <w:kern w:val="0"/>
                <w:sz w:val="21"/>
                <w:szCs w:val="24"/>
              </w:rPr>
              <w:t>建筑业</w:t>
            </w:r>
          </w:p>
        </w:tc>
      </w:tr>
      <w:bookmarkEnd w:id="8"/>
    </w:tbl>
    <w:p>
      <w:pPr>
        <w:pStyle w:val="3"/>
        <w:adjustRightInd w:val="0"/>
        <w:snapToGrid w:val="0"/>
        <w:spacing w:before="0" w:after="0" w:line="400" w:lineRule="exact"/>
        <w:ind w:firstLine="482" w:firstLineChars="200"/>
        <w:rPr>
          <w:rFonts w:ascii="方正仿宋_GBK" w:hAnsi="宋体" w:eastAsia="方正仿宋_GBK"/>
          <w:sz w:val="24"/>
        </w:rPr>
      </w:pPr>
      <w:bookmarkStart w:id="9" w:name="_Toc76462318"/>
      <w:bookmarkStart w:id="10" w:name="_Toc106030872"/>
      <w:bookmarkStart w:id="11" w:name="_Toc373860293"/>
      <w:bookmarkStart w:id="12" w:name="_Toc317775178"/>
      <w:r>
        <w:rPr>
          <w:rFonts w:hint="eastAsia" w:ascii="方正仿宋_GBK" w:hAnsi="宋体" w:eastAsia="方正仿宋_GBK"/>
          <w:sz w:val="24"/>
          <w:szCs w:val="24"/>
        </w:rPr>
        <w:t>注：供应商可同时参加一个或多个分包的磋商，但须分别制作响应文件（有分包时）</w:t>
      </w:r>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二、资金来源</w:t>
      </w:r>
      <w:bookmarkEnd w:id="9"/>
      <w:bookmarkEnd w:id="10"/>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财政预算资金，预算金额为</w:t>
      </w:r>
      <w:r>
        <w:rPr>
          <w:rFonts w:hint="eastAsia" w:ascii="方正仿宋_GBK" w:hAnsi="宋体" w:eastAsia="方正仿宋_GBK" w:cs="宋体"/>
          <w:kern w:val="0"/>
          <w:sz w:val="21"/>
          <w:szCs w:val="24"/>
        </w:rPr>
        <w:t>68</w:t>
      </w:r>
      <w:r>
        <w:rPr>
          <w:rFonts w:hint="eastAsia" w:ascii="方正仿宋_GBK" w:hAnsi="仿宋" w:eastAsia="方正仿宋_GBK"/>
          <w:sz w:val="24"/>
          <w:szCs w:val="24"/>
        </w:rPr>
        <w:t>万元</w:t>
      </w:r>
      <w:r>
        <w:rPr>
          <w:rFonts w:hint="eastAsia" w:ascii="方正仿宋_GBK" w:hAnsi="宋体" w:eastAsia="方正仿宋_GBK"/>
          <w:sz w:val="24"/>
          <w:szCs w:val="24"/>
        </w:rPr>
        <w:t>。</w:t>
      </w:r>
    </w:p>
    <w:p>
      <w:pPr>
        <w:pStyle w:val="3"/>
        <w:adjustRightInd w:val="0"/>
        <w:snapToGrid w:val="0"/>
        <w:spacing w:before="0" w:after="0" w:line="400" w:lineRule="exact"/>
        <w:ind w:firstLine="482" w:firstLineChars="200"/>
        <w:rPr>
          <w:rFonts w:ascii="方正仿宋_GBK" w:hAnsi="宋体" w:eastAsia="方正仿宋_GBK"/>
          <w:sz w:val="24"/>
        </w:rPr>
      </w:pPr>
      <w:bookmarkStart w:id="13" w:name="_Toc76462319"/>
      <w:bookmarkStart w:id="14" w:name="_Toc106030873"/>
      <w:r>
        <w:rPr>
          <w:rFonts w:hint="eastAsia" w:ascii="方正仿宋_GBK" w:hAnsi="宋体" w:eastAsia="方正仿宋_GBK"/>
          <w:sz w:val="24"/>
        </w:rPr>
        <w:t>三、供应商资格条件</w:t>
      </w:r>
      <w:bookmarkEnd w:id="13"/>
      <w:bookmarkEnd w:id="1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pStyle w:val="3"/>
        <w:adjustRightInd w:val="0"/>
        <w:snapToGrid w:val="0"/>
        <w:spacing w:before="0" w:after="0" w:line="400" w:lineRule="exact"/>
        <w:ind w:firstLine="482"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（二）落实政府采购政策需满足的资格要求：本项目属于专门面向中小企业采购的项目（</w:t>
      </w:r>
      <w:r>
        <w:rPr>
          <w:rFonts w:hint="eastAsia" w:ascii="方正仿宋_GBK" w:hAnsi="仿宋" w:eastAsia="方正仿宋_GBK"/>
          <w:b w:val="0"/>
          <w:bCs/>
          <w:color w:val="FF0000"/>
          <w:sz w:val="24"/>
          <w:szCs w:val="24"/>
        </w:rPr>
        <w:t>监狱企业、残疾人福利性单位视同小型、微型企业</w:t>
      </w:r>
      <w:r>
        <w:rPr>
          <w:rFonts w:hint="eastAsia" w:ascii="方正仿宋_GBK" w:hAnsi="宋体" w:eastAsia="方正仿宋_GBK"/>
          <w:color w:val="FF0000"/>
          <w:sz w:val="24"/>
          <w:szCs w:val="24"/>
        </w:rPr>
        <w:t>），投标人应按照投标文件格式第五章提供中小企业声明函。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（三）本项目的特定资格要求：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1.城乡规划编制甲级；</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2.建设行政主管部门颁发的工程设计建筑行业（建筑工程）甲级或建筑行业甲级或工程设计综合甲级资质；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3.已按规定缴纳保证金的证明材料。</w:t>
      </w:r>
    </w:p>
    <w:p>
      <w:pPr>
        <w:pStyle w:val="3"/>
        <w:adjustRightInd w:val="0"/>
        <w:snapToGrid w:val="0"/>
        <w:spacing w:before="0" w:after="0" w:line="400" w:lineRule="exact"/>
        <w:ind w:firstLine="482" w:firstLineChars="200"/>
        <w:rPr>
          <w:rFonts w:ascii="方正仿宋_GBK" w:hAnsi="宋体" w:eastAsia="方正仿宋_GBK"/>
          <w:sz w:val="24"/>
        </w:rPr>
      </w:pPr>
      <w:bookmarkStart w:id="15" w:name="_Toc106030874"/>
      <w:bookmarkStart w:id="16" w:name="_Toc76462320"/>
      <w:r>
        <w:rPr>
          <w:rFonts w:hint="eastAsia" w:ascii="方正仿宋_GBK" w:hAnsi="宋体" w:eastAsia="方正仿宋_GBK"/>
          <w:sz w:val="24"/>
        </w:rPr>
        <w:t>四、磋商有关说明</w:t>
      </w:r>
      <w:bookmarkEnd w:id="11"/>
      <w:bookmarkEnd w:id="15"/>
      <w:bookmarkEnd w:id="16"/>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（一）供应商应通过重庆市政府采购网（</w:t>
      </w:r>
      <w:r>
        <w:fldChar w:fldCharType="begin"/>
      </w:r>
      <w:r>
        <w:instrText xml:space="preserve"> HYPERLINK "http://www.cqgp.gov.cn" </w:instrText>
      </w:r>
      <w:r>
        <w:fldChar w:fldCharType="separate"/>
      </w:r>
      <w:r>
        <w:rPr>
          <w:rStyle w:val="18"/>
          <w:rFonts w:hint="eastAsia" w:ascii="方正仿宋_GBK" w:hAnsi="宋体" w:eastAsia="方正仿宋_GBK"/>
          <w:color w:val="auto"/>
          <w:szCs w:val="24"/>
        </w:rPr>
        <w:t>www.ccgp-chongqing.gov.cn</w:t>
      </w:r>
      <w:r>
        <w:rPr>
          <w:rStyle w:val="18"/>
          <w:rFonts w:hint="eastAsia" w:ascii="方正仿宋_GBK" w:hAnsi="宋体" w:eastAsia="方正仿宋_GBK"/>
          <w:color w:val="auto"/>
          <w:szCs w:val="24"/>
        </w:rPr>
        <w:fldChar w:fldCharType="end"/>
      </w:r>
      <w:r>
        <w:rPr>
          <w:rFonts w:hint="eastAsia" w:ascii="方正仿宋_GBK" w:hAnsi="宋体" w:eastAsia="方正仿宋_GBK"/>
          <w:sz w:val="24"/>
          <w:szCs w:val="24"/>
        </w:rPr>
        <w:t>）登记加入“重庆市政府采购供应商库”。</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（二）凡有意参加磋商的供应商，请在重庆市政府采购网上下载本项目竞争性磋商文件以及图纸、附件、补遗、澄清等磋商前公布的所有项目资料，无论供应商下载与否，均视为已知晓所有磋商实质性要求内容。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（三）竞争性磋商公告期限：自采购公告发布之日起五个工作日。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（四）竞争性磋商文件发售期限：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1.竞争性磋商文件发售期：202</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日起五个工作日。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2.报名方式：本项目无须报名。</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3.竞争性磋商文件售价：人民币0元/包。</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（五）递交响应文件地点：</w:t>
      </w:r>
      <w:r>
        <w:rPr>
          <w:rFonts w:hint="eastAsia" w:ascii="方正仿宋_GBK" w:hAnsi="宋体" w:eastAsia="方正仿宋_GBK"/>
          <w:color w:val="000000"/>
          <w:sz w:val="24"/>
          <w:szCs w:val="24"/>
        </w:rPr>
        <w:t>重庆市沙坪坝区公共资源交易中心（重庆市沙坪坝区沙中路6号附6号）。</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（六）响应文件递交截止时间：202</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w:t>
      </w:r>
      <w:r>
        <w:rPr>
          <w:rFonts w:hint="eastAsia" w:ascii="方正仿宋_GBK" w:hAnsi="宋体" w:eastAsia="方正仿宋_GBK"/>
          <w:color w:val="0000FF"/>
          <w:sz w:val="24"/>
          <w:szCs w:val="24"/>
          <w:lang w:val="en-US" w:eastAsia="zh-CN"/>
        </w:rPr>
        <w:t>3</w:t>
      </w:r>
      <w:r>
        <w:rPr>
          <w:rFonts w:hint="eastAsia" w:ascii="方正仿宋_GBK" w:hAnsi="宋体" w:eastAsia="方正仿宋_GBK"/>
          <w:color w:val="0000FF"/>
          <w:sz w:val="24"/>
          <w:szCs w:val="24"/>
        </w:rPr>
        <w:t>月</w:t>
      </w:r>
      <w:r>
        <w:rPr>
          <w:rFonts w:hint="eastAsia" w:ascii="方正仿宋_GBK" w:hAnsi="宋体" w:eastAsia="方正仿宋_GBK"/>
          <w:color w:val="0000FF"/>
          <w:sz w:val="24"/>
          <w:szCs w:val="24"/>
          <w:lang w:val="en-US" w:eastAsia="zh-CN"/>
        </w:rPr>
        <w:t>14</w:t>
      </w:r>
      <w:r>
        <w:rPr>
          <w:rFonts w:hint="eastAsia" w:ascii="方正仿宋_GBK" w:hAnsi="宋体" w:eastAsia="方正仿宋_GBK"/>
          <w:color w:val="0000FF"/>
          <w:sz w:val="24"/>
          <w:szCs w:val="24"/>
        </w:rPr>
        <w:t>日北京时间10:00</w:t>
      </w:r>
      <w:r>
        <w:rPr>
          <w:rFonts w:hint="eastAsia" w:ascii="方正仿宋_GBK" w:hAnsi="宋体" w:eastAsia="方正仿宋_GBK"/>
          <w:sz w:val="24"/>
          <w:szCs w:val="24"/>
        </w:rPr>
        <w:t>（以本项目开标室门口显示屏时间为准）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（七）磋商开始时间：202</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w:t>
      </w:r>
      <w:r>
        <w:rPr>
          <w:rFonts w:hint="eastAsia" w:ascii="方正仿宋_GBK" w:hAnsi="宋体" w:eastAsia="方正仿宋_GBK"/>
          <w:color w:val="0000FF"/>
          <w:sz w:val="24"/>
          <w:szCs w:val="24"/>
          <w:lang w:val="en-US" w:eastAsia="zh-CN"/>
        </w:rPr>
        <w:t>3</w:t>
      </w:r>
      <w:r>
        <w:rPr>
          <w:rFonts w:hint="eastAsia" w:ascii="方正仿宋_GBK" w:hAnsi="宋体" w:eastAsia="方正仿宋_GBK"/>
          <w:color w:val="0000FF"/>
          <w:sz w:val="24"/>
          <w:szCs w:val="24"/>
        </w:rPr>
        <w:t>月</w:t>
      </w:r>
      <w:r>
        <w:rPr>
          <w:rFonts w:hint="eastAsia" w:ascii="方正仿宋_GBK" w:hAnsi="宋体" w:eastAsia="方正仿宋_GBK"/>
          <w:color w:val="0000FF"/>
          <w:sz w:val="24"/>
          <w:szCs w:val="24"/>
          <w:lang w:val="en-US" w:eastAsia="zh-CN"/>
        </w:rPr>
        <w:t>14</w:t>
      </w:r>
      <w:r>
        <w:rPr>
          <w:rFonts w:hint="eastAsia" w:ascii="方正仿宋_GBK" w:hAnsi="宋体" w:eastAsia="方正仿宋_GBK"/>
          <w:color w:val="0000FF"/>
          <w:sz w:val="24"/>
          <w:szCs w:val="24"/>
        </w:rPr>
        <w:t>日北京时间10:00</w:t>
      </w:r>
      <w:r>
        <w:rPr>
          <w:rFonts w:hint="eastAsia" w:ascii="方正仿宋_GBK" w:hAnsi="宋体" w:eastAsia="方正仿宋_GBK"/>
          <w:sz w:val="24"/>
          <w:szCs w:val="24"/>
        </w:rPr>
        <w:t>（以本项目开标室门口显示屏时间为准）</w:t>
      </w:r>
    </w:p>
    <w:bookmarkEnd w:id="12"/>
    <w:p>
      <w:pPr>
        <w:pStyle w:val="3"/>
        <w:adjustRightInd w:val="0"/>
        <w:snapToGrid w:val="0"/>
        <w:spacing w:before="0" w:after="0" w:line="400" w:lineRule="exact"/>
        <w:ind w:firstLine="482" w:firstLineChars="200"/>
        <w:rPr>
          <w:rFonts w:ascii="方正仿宋_GBK" w:hAnsi="宋体" w:eastAsia="方正仿宋_GBK"/>
          <w:sz w:val="24"/>
        </w:rPr>
      </w:pPr>
      <w:bookmarkStart w:id="17" w:name="_Toc525047161"/>
      <w:bookmarkStart w:id="18" w:name="_Toc4638"/>
      <w:bookmarkStart w:id="19" w:name="_Toc521053053"/>
      <w:bookmarkStart w:id="20" w:name="_Toc6178"/>
      <w:bookmarkStart w:id="21" w:name="_Toc11956"/>
      <w:bookmarkStart w:id="22" w:name="_Toc106034774"/>
      <w:bookmarkStart w:id="23" w:name="_Toc65660334"/>
      <w:bookmarkStart w:id="24" w:name="_Toc106030875"/>
      <w:bookmarkStart w:id="25" w:name="_Toc76462321"/>
      <w:bookmarkStart w:id="26" w:name="_Toc479668114"/>
      <w:bookmarkStart w:id="27" w:name="_Toc480466698"/>
      <w:r>
        <w:rPr>
          <w:rFonts w:hint="eastAsia" w:ascii="方正仿宋_GBK" w:hAnsi="宋体" w:eastAsia="方正仿宋_GBK"/>
          <w:sz w:val="24"/>
        </w:rPr>
        <w:t>五、保证金</w:t>
      </w:r>
      <w:bookmarkEnd w:id="17"/>
      <w:bookmarkEnd w:id="18"/>
      <w:bookmarkEnd w:id="19"/>
      <w:bookmarkEnd w:id="20"/>
      <w:bookmarkEnd w:id="21"/>
      <w:bookmarkEnd w:id="22"/>
      <w:bookmarkEnd w:id="2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（一）缴纳保证金方式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方式1：转账（若供应商选择此方式，须执行本规定）</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1.1供应商必须于202</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w:t>
      </w:r>
      <w:r>
        <w:rPr>
          <w:rFonts w:hint="eastAsia" w:ascii="方正仿宋_GBK" w:hAnsi="宋体" w:eastAsia="方正仿宋_GBK"/>
          <w:color w:val="0000FF"/>
          <w:sz w:val="24"/>
          <w:szCs w:val="24"/>
          <w:lang w:val="en-US" w:eastAsia="zh-CN"/>
        </w:rPr>
        <w:t>3</w:t>
      </w:r>
      <w:r>
        <w:rPr>
          <w:rFonts w:hint="eastAsia" w:ascii="方正仿宋_GBK" w:hAnsi="宋体" w:eastAsia="方正仿宋_GBK"/>
          <w:color w:val="0000FF"/>
          <w:sz w:val="24"/>
          <w:szCs w:val="24"/>
        </w:rPr>
        <w:t>月</w:t>
      </w:r>
      <w:r>
        <w:rPr>
          <w:rFonts w:hint="eastAsia" w:ascii="方正仿宋_GBK" w:hAnsi="宋体" w:eastAsia="方正仿宋_GBK"/>
          <w:color w:val="0000FF"/>
          <w:sz w:val="24"/>
          <w:szCs w:val="24"/>
          <w:lang w:val="en-US" w:eastAsia="zh-CN"/>
        </w:rPr>
        <w:t>13</w:t>
      </w:r>
      <w:r>
        <w:rPr>
          <w:rFonts w:hint="eastAsia" w:ascii="方正仿宋_GBK" w:hAnsi="宋体" w:eastAsia="方正仿宋_GBK"/>
          <w:color w:val="0000FF"/>
          <w:sz w:val="24"/>
          <w:szCs w:val="24"/>
        </w:rPr>
        <w:t>日北京时间17:00′00″</w:t>
      </w:r>
      <w:r>
        <w:rPr>
          <w:rFonts w:hint="eastAsia" w:ascii="方正仿宋_GBK" w:hAnsi="宋体" w:eastAsia="方正仿宋_GBK"/>
          <w:sz w:val="24"/>
          <w:szCs w:val="24"/>
        </w:rPr>
        <w:t>前将投标保证金以非现金形式从本单位账户转入重庆市沙坪坝区公共资源交易中心指定的保证金账户。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保证金应按招标文件规定的方式和金额缴纳;有分包的应按各分包对应的缴纳保证金专户信息（由母账号及子账号组成）缴纳;供应商应按本次采购项目公告提供的专户信息（由母账号及子账号组成）及保证金金额一次性足额缴纳保证金,否则将认定为无效投标。</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注：投标人须自行考虑转账时间风险，因银行等原因造成的保证金到账确认时间延迟，重庆市沙坪坝区公共资源交易中心不承担任何责任。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1.3保证金退还方式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1.3.1《成交通知书》发出后无息退还未成交供应商的保证金，在采购合同签订后无息退还成交供应商的保证金。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方式2：电子投标保函（若供应商选择此方式，须执行本规定）</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2.1电子投标保函交纳形式及要求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供应商在投标文件递交截止时间前通过金融服务支撑平台向金融机构申请开具电子投标保函，电子投标保函应至少体现如下内容：</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2.1.1担保项目必须为本项目。</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2.1.2受益人必须为本项目采购人。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2.1.3保函担保金额必须满足本项目招标文件要求：详见本篇“一、招标项目内容”。</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2.1.4保函生效时间必须在202</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w:t>
      </w:r>
      <w:r>
        <w:rPr>
          <w:rFonts w:hint="eastAsia" w:ascii="方正仿宋_GBK" w:hAnsi="宋体" w:eastAsia="方正仿宋_GBK"/>
          <w:color w:val="0000FF"/>
          <w:sz w:val="24"/>
          <w:szCs w:val="24"/>
          <w:lang w:val="en-US" w:eastAsia="zh-CN"/>
        </w:rPr>
        <w:t>3</w:t>
      </w:r>
      <w:r>
        <w:rPr>
          <w:rFonts w:hint="eastAsia" w:ascii="方正仿宋_GBK" w:hAnsi="宋体" w:eastAsia="方正仿宋_GBK"/>
          <w:color w:val="0000FF"/>
          <w:sz w:val="24"/>
          <w:szCs w:val="24"/>
        </w:rPr>
        <w:t>月</w:t>
      </w:r>
      <w:r>
        <w:rPr>
          <w:rFonts w:hint="eastAsia" w:ascii="方正仿宋_GBK" w:hAnsi="宋体" w:eastAsia="方正仿宋_GBK"/>
          <w:color w:val="0000FF"/>
          <w:sz w:val="24"/>
          <w:szCs w:val="24"/>
          <w:lang w:val="en-US" w:eastAsia="zh-CN"/>
        </w:rPr>
        <w:t>13</w:t>
      </w:r>
      <w:r>
        <w:rPr>
          <w:rFonts w:hint="eastAsia" w:ascii="方正仿宋_GBK" w:hAnsi="宋体" w:eastAsia="方正仿宋_GBK"/>
          <w:color w:val="0000FF"/>
          <w:sz w:val="24"/>
          <w:szCs w:val="24"/>
        </w:rPr>
        <w:t>日</w:t>
      </w:r>
      <w:r>
        <w:rPr>
          <w:rFonts w:hint="eastAsia" w:ascii="方正仿宋_GBK" w:hAnsi="宋体" w:eastAsia="方正仿宋_GBK"/>
          <w:sz w:val="24"/>
          <w:szCs w:val="24"/>
        </w:rPr>
        <w:t>前（含），有效期限必须至少包含至整个投标有效期结束后30日。否则，投标保函无效，判定为不符合本项目资格要求。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2.2投标保函有效性</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电子投标保函的有效性以重庆市沙坪坝区公共资源交易中心开标现场提交的投标保函缴纳情况的信息为准。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2.3若供应商为联合体，则由联合体牵头人提供投标保函。</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2.4技术咨询电话：023-65360409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方式3：纸质投标保函（若供应商选择此方式，须执行本规定）</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3.1纸质投标保函交纳形式及要求：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3.1.1缴纳形式：投标人提供不可撤销且见索即付的金融机构或担保机构保函。</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3.1.2具体要求：投标人须在投标文件的“资格文件”中提供开具的纸质投标保函正本复制件，纸质投标保函正本原件应当于投标文件提交截止时间前在开标现场递交，由采购代理机构保管。纸质投标保函应至少体现如下内容：</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3.1.2.1担保项目必须为本项目。</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3.1.2.2受益人必须为本项目采购人。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3.1.2.3保函担保金额必须满足本项目招标文件要求。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3.1.2.4保函生效时间必须在202</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w:t>
      </w:r>
      <w:r>
        <w:rPr>
          <w:rFonts w:hint="eastAsia" w:ascii="方正仿宋_GBK" w:hAnsi="宋体" w:eastAsia="方正仿宋_GBK"/>
          <w:color w:val="0000FF"/>
          <w:sz w:val="24"/>
          <w:szCs w:val="24"/>
          <w:lang w:val="en-US" w:eastAsia="zh-CN"/>
        </w:rPr>
        <w:t>3</w:t>
      </w:r>
      <w:r>
        <w:rPr>
          <w:rFonts w:hint="eastAsia" w:ascii="方正仿宋_GBK" w:hAnsi="宋体" w:eastAsia="方正仿宋_GBK"/>
          <w:color w:val="0000FF"/>
          <w:sz w:val="24"/>
          <w:szCs w:val="24"/>
        </w:rPr>
        <w:t>月</w:t>
      </w:r>
      <w:r>
        <w:rPr>
          <w:rFonts w:hint="eastAsia" w:ascii="方正仿宋_GBK" w:hAnsi="宋体" w:eastAsia="方正仿宋_GBK"/>
          <w:color w:val="0000FF"/>
          <w:sz w:val="24"/>
          <w:szCs w:val="24"/>
          <w:lang w:val="en-US" w:eastAsia="zh-CN"/>
        </w:rPr>
        <w:t>13</w:t>
      </w:r>
      <w:r>
        <w:rPr>
          <w:rFonts w:hint="eastAsia" w:ascii="方正仿宋_GBK" w:hAnsi="宋体" w:eastAsia="方正仿宋_GBK"/>
          <w:color w:val="0000FF"/>
          <w:sz w:val="24"/>
          <w:szCs w:val="24"/>
        </w:rPr>
        <w:t>日</w:t>
      </w:r>
      <w:r>
        <w:rPr>
          <w:rFonts w:hint="eastAsia" w:ascii="方正仿宋_GBK" w:hAnsi="宋体" w:eastAsia="方正仿宋_GBK"/>
          <w:sz w:val="24"/>
          <w:szCs w:val="24"/>
        </w:rPr>
        <w:t>前（含），有效期限必须至少包含至整个投标有效期结束后30日；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3.1.2.5保函须不可撤销且见索即付。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3.2若投标截止时间延期，则纸质投标保函递交的截止时间和投标截止时间保持一致。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3.3采购代理机构展示纸质投标保函方式保证金的交纳情况，并对异常情况进行记录。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3.4资格审查委员会负责对保函内容进行形式审查，不满足上述要求的纸质投标保函无效。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3.5以纸质投标保函形式担保的投标保证金的金额：详见本篇“一、招标项目内容”。</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3.6投标人须确保其递交的纸质投标保函能在重庆市核验真伪，并在投标文件的“资格文件”中提供纸质投标保函的核验地点、方式和联系人，否则该纸质投标保函视为无效。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3.7投标人在开标现场递交的纸质投标保函原件应与投标文件中提供的纸质投标保函扫描件一致，否则判定为不符合本项目资格要求。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3.8在发出中标通知书前，采购人应当对投标人（至少中标候选人或成交供应商）的纸质投标保函开展核验。采购人按照投标人提供的核验地点、方式和联系人等信息无法对该纸质投标保函进行核验的，或发现投标人递交的纸质投标保函弄虚作假的，对已取得中标候选人资格或中标资格的投标人，取消中标候选人资格或中标资格，给采购人造成损失的，投标人依法承担赔偿责任。采购人对纸质投标保函无法核验的，应当报行政监管部门依法依规处理；对纸质投标保函弄虚作假的，应当报行政监管部门和公安机关依法依规处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3.9若投标人为联合体，则由联合体牵头人提供纸质投标保函。</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3.10纸质投标保函的退还、注销</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3.10.1采购人应当在法定时间内确定成交供应商，采购代理机构向成交供应商发出中标通知书，同时向除成交供应商以外的其他投标人退还纸质投标保函正本并书面通知担保人本项目准予提前注销纸质投标保函。具体注销事宜由投标人负责办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3.10.2采购人应在法定时间内和成交供应商签订合同，并同时书面通知担保人向成交供应商注销纸质投标保函。具体注销事宜由投标人负责办理</w:t>
      </w:r>
      <w:r>
        <w:rPr>
          <w:rFonts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（二）履约保证金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采购人要求成交供应商提交履约保证金的，成交供应商应在签订合同前将履约保证金以非现金形式提交至采购人指定账户，履约保证金的金额不超过成交金额的10%。</w:t>
      </w:r>
    </w:p>
    <w:p>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采购项目需落实的政府采购政策</w:t>
      </w:r>
      <w:bookmarkEnd w:id="24"/>
      <w:bookmarkEnd w:id="25"/>
      <w:bookmarkEnd w:id="26"/>
      <w:bookmarkEnd w:id="27"/>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（二）按照财政部、工业和信息化部关于印发《政府采购促进中小企业发展管理办法》的通知（财库〔2020〕46号）的规定，落实促进中小企业发展政策。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（三）按照《财政部、司法部关于政府采购支持监狱企业发展有关问题的通知》（财库〔2014〕68号）的规定，落实支持监狱企业发展政策。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（四）按照《三部门联合发布关于促进残疾人就业政府采购政策的通知》（财库〔2017〕 141号）的规定，落实支持残疾人福利性单位发展政策。</w:t>
      </w:r>
    </w:p>
    <w:p>
      <w:pPr>
        <w:pStyle w:val="3"/>
        <w:adjustRightInd w:val="0"/>
        <w:snapToGrid w:val="0"/>
        <w:spacing w:before="0" w:after="0" w:line="400" w:lineRule="exact"/>
        <w:ind w:firstLine="482" w:firstLineChars="200"/>
        <w:rPr>
          <w:rFonts w:ascii="方正仿宋_GBK" w:hAnsi="宋体" w:eastAsia="方正仿宋_GBK"/>
          <w:sz w:val="24"/>
        </w:rPr>
      </w:pPr>
      <w:bookmarkStart w:id="28" w:name="_Toc480466699"/>
      <w:bookmarkStart w:id="29" w:name="_Toc76462322"/>
      <w:bookmarkStart w:id="30" w:name="_Toc106030876"/>
      <w:r>
        <w:rPr>
          <w:rFonts w:hint="eastAsia" w:ascii="方正仿宋_GBK" w:hAnsi="宋体" w:eastAsia="方正仿宋_GBK"/>
          <w:sz w:val="24"/>
        </w:rPr>
        <w:t>六、其它有关规定</w:t>
      </w:r>
      <w:bookmarkEnd w:id="28"/>
      <w:bookmarkEnd w:id="29"/>
      <w:bookmarkEnd w:id="30"/>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，否则均为无效响应。</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（三）本项目的澄清文件（如果有）一律在重庆市政府采购网（www.ccgp-chongqing.gov.cn）上发布，请各供应商注意下载；无论供应商下载与否，均视同供应商已知晓本项目澄清文件（如果有）的内容。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（五）磋商费用：无论磋商结果如何，供应商参与本项目磋商的所有费用均应由供应商自行承担。</w:t>
      </w:r>
    </w:p>
    <w:p>
      <w:pPr>
        <w:snapToGrid w:val="0"/>
        <w:spacing w:line="400" w:lineRule="exact"/>
        <w:ind w:firstLine="361" w:firstLineChars="150"/>
        <w:rPr>
          <w:rFonts w:ascii="方正仿宋_GBK" w:hAnsi="宋体" w:eastAsia="方正仿宋_GBK"/>
          <w:b/>
          <w:sz w:val="24"/>
          <w:szCs w:val="22"/>
        </w:rPr>
      </w:pPr>
      <w:r>
        <w:rPr>
          <w:rFonts w:hint="eastAsia" w:ascii="方正仿宋_GBK" w:hAnsi="宋体" w:eastAsia="方正仿宋_GBK"/>
          <w:b/>
          <w:sz w:val="24"/>
          <w:szCs w:val="22"/>
        </w:rPr>
        <w:t>（六）本项目不接受联合体参与磋商，否则按无效处理。</w:t>
      </w:r>
    </w:p>
    <w:p>
      <w:pPr>
        <w:snapToGrid w:val="0"/>
        <w:spacing w:line="400" w:lineRule="exact"/>
        <w:ind w:firstLine="361" w:firstLineChars="150"/>
        <w:rPr>
          <w:rFonts w:ascii="方正仿宋_GBK" w:hAnsi="宋体" w:eastAsia="方正仿宋_GBK"/>
          <w:b/>
          <w:sz w:val="24"/>
          <w:szCs w:val="22"/>
        </w:rPr>
      </w:pPr>
      <w:r>
        <w:rPr>
          <w:rFonts w:hint="eastAsia" w:ascii="方正仿宋_GBK" w:hAnsi="宋体" w:eastAsia="方正仿宋_GBK"/>
          <w:b/>
          <w:sz w:val="24"/>
          <w:szCs w:val="22"/>
        </w:rPr>
        <w:t>（七）本项目不接受合同分包，否则按无效处理。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w:t>
      </w:r>
      <w:bookmarkStart w:id="31" w:name="_Toc480466700"/>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adjustRightInd w:val="0"/>
        <w:snapToGrid w:val="0"/>
        <w:spacing w:before="0" w:after="0" w:line="400" w:lineRule="exact"/>
        <w:ind w:firstLine="482" w:firstLineChars="200"/>
        <w:rPr>
          <w:rFonts w:ascii="方正仿宋_GBK" w:hAnsi="宋体" w:eastAsia="方正仿宋_GBK"/>
          <w:sz w:val="24"/>
        </w:rPr>
      </w:pPr>
      <w:bookmarkStart w:id="32" w:name="_Toc76462323"/>
      <w:bookmarkStart w:id="33" w:name="_Toc106030877"/>
      <w:r>
        <w:rPr>
          <w:rFonts w:hint="eastAsia" w:ascii="方正仿宋_GBK" w:hAnsi="宋体" w:eastAsia="方正仿宋_GBK"/>
          <w:sz w:val="24"/>
        </w:rPr>
        <w:t>七、联系方式</w:t>
      </w:r>
      <w:bookmarkEnd w:id="31"/>
      <w:bookmarkEnd w:id="32"/>
      <w:bookmarkEnd w:id="33"/>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（一）采购人：重庆市沙坪坝区住房和城乡建设委员会</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联系人：肖老师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电  话：18166482777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址：重庆市沙坪坝区渝碚路99-9号宏信大厦B座</w:t>
      </w:r>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（二）采购代理机构：</w:t>
      </w:r>
      <w:r>
        <w:rPr>
          <w:rFonts w:hint="eastAsia" w:ascii="方正仿宋_GBK" w:hAnsi="宋体" w:eastAsia="方正仿宋_GBK"/>
          <w:color w:val="000000"/>
          <w:sz w:val="24"/>
          <w:szCs w:val="24"/>
        </w:rPr>
        <w:t>重庆市沙坪坝区公共资源交易中心</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联系人：尹老师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话：023-65360407</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质疑联系人：周老师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联系电话：023-81151009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w:t>
      </w:r>
      <w:r>
        <w:rPr>
          <w:rFonts w:hint="eastAsia" w:ascii="方正仿宋_GBK" w:hAnsi="宋体" w:eastAsia="方正仿宋_GBK"/>
          <w:color w:val="000000"/>
          <w:sz w:val="24"/>
          <w:szCs w:val="24"/>
        </w:rPr>
        <w:t>重庆市沙坪坝区沙中路6号附6号</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2" w:firstLineChars="200"/>
        <w:rPr>
          <w:rFonts w:ascii="宋体" w:hAnsi="宋体"/>
          <w:b/>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pStyle w:val="3"/>
        <w:spacing w:before="0" w:after="0" w:line="360" w:lineRule="auto"/>
        <w:jc w:val="center"/>
        <w:rPr>
          <w:rFonts w:ascii="方正小标宋_GBK" w:hAnsi="宋体" w:eastAsia="方正小标宋_GBK"/>
          <w:b w:val="0"/>
          <w:sz w:val="30"/>
          <w:szCs w:val="30"/>
        </w:rPr>
      </w:pPr>
      <w:bookmarkStart w:id="34" w:name="_Toc76462324"/>
      <w:bookmarkStart w:id="35" w:name="_Toc106030878"/>
      <w:r>
        <w:rPr>
          <w:rFonts w:hint="eastAsia" w:ascii="方正小标宋_GBK" w:hAnsi="宋体" w:eastAsia="方正小标宋_GBK"/>
          <w:b w:val="0"/>
          <w:sz w:val="36"/>
          <w:szCs w:val="30"/>
        </w:rPr>
        <w:t>第二篇  项目服务需求</w:t>
      </w:r>
      <w:bookmarkEnd w:id="34"/>
      <w:bookmarkEnd w:id="35"/>
    </w:p>
    <w:p>
      <w:pPr>
        <w:spacing w:line="400" w:lineRule="exact"/>
        <w:ind w:firstLine="480" w:firstLineChars="200"/>
        <w:rPr>
          <w:rFonts w:ascii="方正仿宋_GBK" w:hAnsi="宋体" w:eastAsia="方正仿宋_GBK"/>
          <w:sz w:val="24"/>
          <w:szCs w:val="24"/>
        </w:rPr>
      </w:pPr>
      <w:bookmarkStart w:id="36" w:name="_Toc76462325"/>
      <w:bookmarkStart w:id="37" w:name="_Toc12789058"/>
      <w:r>
        <w:rPr>
          <w:rFonts w:hint="eastAsia" w:ascii="方正仿宋_GBK" w:hAnsi="宋体" w:eastAsia="方正仿宋_GBK"/>
          <w:sz w:val="24"/>
          <w:szCs w:val="24"/>
        </w:rPr>
        <w:t>“※”标注的服务需求为符合性审查中的实质性要求，响应文件若不满足按无效响应处理。</w:t>
      </w:r>
    </w:p>
    <w:p>
      <w:pPr>
        <w:pStyle w:val="3"/>
        <w:adjustRightInd w:val="0"/>
        <w:snapToGrid w:val="0"/>
        <w:spacing w:before="0" w:after="0" w:line="400" w:lineRule="exact"/>
        <w:ind w:firstLine="482" w:firstLineChars="200"/>
        <w:rPr>
          <w:rFonts w:ascii="方正仿宋_GBK" w:hAnsi="宋体" w:eastAsia="方正仿宋_GBK"/>
          <w:sz w:val="24"/>
        </w:rPr>
      </w:pPr>
      <w:bookmarkStart w:id="38" w:name="_Toc106030879"/>
      <w:r>
        <w:rPr>
          <w:rFonts w:hint="eastAsia" w:ascii="方正仿宋_GBK" w:hAnsi="宋体" w:eastAsia="方正仿宋_GBK"/>
          <w:sz w:val="24"/>
          <w:szCs w:val="24"/>
        </w:rPr>
        <w:t>※</w:t>
      </w:r>
      <w:r>
        <w:rPr>
          <w:rFonts w:hint="eastAsia" w:ascii="方正仿宋_GBK" w:hAnsi="宋体" w:eastAsia="方正仿宋_GBK"/>
          <w:sz w:val="24"/>
        </w:rPr>
        <w:t>一、项目基本概况介绍</w:t>
      </w:r>
      <w:bookmarkEnd w:id="36"/>
      <w:bookmarkEnd w:id="38"/>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2667"/>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283" w:type="dxa"/>
            <w:vAlign w:val="center"/>
          </w:tcPr>
          <w:p>
            <w:pPr>
              <w:jc w:val="center"/>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名称</w:t>
            </w:r>
          </w:p>
        </w:tc>
        <w:tc>
          <w:tcPr>
            <w:tcW w:w="2667" w:type="dxa"/>
            <w:vAlign w:val="center"/>
          </w:tcPr>
          <w:p>
            <w:pPr>
              <w:jc w:val="center"/>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成交供应商数量（名）</w:t>
            </w:r>
          </w:p>
        </w:tc>
        <w:tc>
          <w:tcPr>
            <w:tcW w:w="3678" w:type="dxa"/>
            <w:vAlign w:val="center"/>
          </w:tcPr>
          <w:p>
            <w:pPr>
              <w:jc w:val="center"/>
              <w:rPr>
                <w:rFonts w:ascii="微软雅黑" w:hAnsi="微软雅黑" w:eastAsia="微软雅黑" w:cs="微软雅黑"/>
                <w:sz w:val="24"/>
                <w:szCs w:val="24"/>
                <w:lang w:val="zh-CN"/>
              </w:rPr>
            </w:pPr>
            <w:r>
              <w:rPr>
                <w:rFonts w:hint="eastAsia" w:ascii="微软雅黑" w:hAnsi="微软雅黑" w:eastAsia="微软雅黑" w:cs="微软雅黑"/>
                <w:sz w:val="24"/>
                <w:szCs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283" w:type="dxa"/>
          </w:tcPr>
          <w:p>
            <w:pPr>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重庆市沙坪坝区城市更新项目石井坡片区策划设计服务</w:t>
            </w:r>
          </w:p>
        </w:tc>
        <w:tc>
          <w:tcPr>
            <w:tcW w:w="2667" w:type="dxa"/>
            <w:vAlign w:val="center"/>
          </w:tcPr>
          <w:p>
            <w:pPr>
              <w:jc w:val="center"/>
              <w:rPr>
                <w:rFonts w:ascii="微软雅黑" w:hAnsi="微软雅黑" w:eastAsia="微软雅黑" w:cs="微软雅黑"/>
                <w:sz w:val="24"/>
                <w:szCs w:val="24"/>
                <w:lang w:val="zh-CN"/>
              </w:rPr>
            </w:pPr>
            <w:r>
              <w:rPr>
                <w:rFonts w:hint="eastAsia" w:ascii="微软雅黑" w:hAnsi="微软雅黑" w:eastAsia="微软雅黑" w:cs="微软雅黑"/>
                <w:sz w:val="24"/>
                <w:szCs w:val="24"/>
              </w:rPr>
              <w:t>1</w:t>
            </w:r>
          </w:p>
        </w:tc>
        <w:tc>
          <w:tcPr>
            <w:tcW w:w="3678" w:type="dxa"/>
            <w:vAlign w:val="center"/>
          </w:tcPr>
          <w:p>
            <w:pPr>
              <w:jc w:val="center"/>
              <w:rPr>
                <w:rFonts w:ascii="微软雅黑" w:hAnsi="微软雅黑" w:eastAsia="微软雅黑" w:cs="微软雅黑"/>
                <w:sz w:val="24"/>
                <w:szCs w:val="24"/>
              </w:rPr>
            </w:pPr>
            <w:r>
              <w:rPr>
                <w:rFonts w:hint="eastAsia" w:ascii="微软雅黑" w:hAnsi="微软雅黑" w:eastAsia="微软雅黑" w:cs="微软雅黑"/>
                <w:sz w:val="24"/>
                <w:szCs w:val="24"/>
              </w:rPr>
              <w:t>采购合同签订后的30日历日内实施完成。</w:t>
            </w:r>
          </w:p>
        </w:tc>
      </w:tr>
    </w:tbl>
    <w:p>
      <w:pPr>
        <w:pStyle w:val="3"/>
        <w:adjustRightInd w:val="0"/>
        <w:snapToGrid w:val="0"/>
        <w:spacing w:before="0" w:after="0" w:line="400" w:lineRule="exact"/>
        <w:ind w:firstLine="482" w:firstLineChars="200"/>
        <w:rPr>
          <w:rFonts w:ascii="方正仿宋_GBK" w:hAnsi="宋体" w:eastAsia="方正仿宋_GBK"/>
          <w:sz w:val="24"/>
        </w:rPr>
      </w:pPr>
      <w:bookmarkStart w:id="39" w:name="_Toc106030880"/>
      <w:r>
        <w:rPr>
          <w:rFonts w:hint="eastAsia" w:ascii="方正仿宋_GBK" w:hAnsi="宋体" w:eastAsia="方正仿宋_GBK"/>
          <w:sz w:val="24"/>
          <w:szCs w:val="24"/>
        </w:rPr>
        <w:t>※</w:t>
      </w:r>
      <w:r>
        <w:rPr>
          <w:rFonts w:hint="eastAsia" w:ascii="方正仿宋_GBK" w:hAnsi="宋体" w:eastAsia="方正仿宋_GBK"/>
          <w:sz w:val="24"/>
        </w:rPr>
        <w:t>二、</w:t>
      </w:r>
      <w:bookmarkEnd w:id="39"/>
      <w:r>
        <w:rPr>
          <w:rFonts w:hint="eastAsia" w:ascii="方正仿宋_GBK" w:hAnsi="宋体" w:eastAsia="方正仿宋_GBK"/>
          <w:sz w:val="24"/>
        </w:rPr>
        <w:t>招标项目基本情况</w:t>
      </w:r>
    </w:p>
    <w:p>
      <w:pPr>
        <w:spacing w:line="400" w:lineRule="exact"/>
        <w:ind w:firstLine="480" w:firstLineChars="200"/>
        <w:rPr>
          <w:rFonts w:ascii="方正仿宋_GBK" w:hAnsi="宋体" w:eastAsia="方正仿宋_GBK"/>
          <w:sz w:val="24"/>
          <w:szCs w:val="24"/>
          <w:lang w:val="zh-CN"/>
        </w:rPr>
      </w:pPr>
      <w:r>
        <w:rPr>
          <w:rFonts w:hint="eastAsia" w:ascii="方正仿宋_GBK" w:hAnsi="宋体" w:eastAsia="方正仿宋_GBK"/>
          <w:sz w:val="24"/>
          <w:szCs w:val="24"/>
        </w:rPr>
        <w:t>石井坡片区位于重庆市沙坪坝区石井坡街道，北至双碑大桥，南至凌云路，东至嘉陵江，西至大河沟附近，占地面积约2.9平方公里。</w:t>
      </w:r>
    </w:p>
    <w:p>
      <w:pPr>
        <w:pStyle w:val="3"/>
        <w:adjustRightInd w:val="0"/>
        <w:snapToGrid w:val="0"/>
        <w:spacing w:before="0" w:after="0" w:line="400" w:lineRule="exact"/>
        <w:ind w:firstLine="482" w:firstLineChars="200"/>
        <w:rPr>
          <w:rFonts w:ascii="微软雅黑" w:hAnsi="微软雅黑" w:eastAsia="微软雅黑" w:cs="微软雅黑"/>
          <w:bCs/>
          <w:sz w:val="24"/>
          <w:szCs w:val="24"/>
          <w:lang w:val="zh-CN"/>
        </w:rPr>
      </w:pPr>
      <w:bookmarkStart w:id="40" w:name="_Toc313536013"/>
      <w:bookmarkStart w:id="41" w:name="_Toc344475116"/>
      <w:bookmarkStart w:id="42" w:name="_Toc76462326"/>
      <w:bookmarkStart w:id="43" w:name="_Toc106030881"/>
      <w:r>
        <w:rPr>
          <w:rFonts w:hint="eastAsia" w:ascii="方正仿宋_GBK" w:hAnsi="宋体" w:eastAsia="方正仿宋_GBK"/>
          <w:sz w:val="24"/>
          <w:szCs w:val="22"/>
        </w:rPr>
        <w:t>※三、</w:t>
      </w:r>
      <w:bookmarkEnd w:id="40"/>
      <w:bookmarkEnd w:id="41"/>
      <w:bookmarkEnd w:id="42"/>
      <w:bookmarkEnd w:id="43"/>
      <w:r>
        <w:rPr>
          <w:rFonts w:hint="eastAsia" w:ascii="方正仿宋_GBK" w:hAnsi="宋体" w:eastAsia="方正仿宋_GBK"/>
          <w:sz w:val="24"/>
          <w:szCs w:val="22"/>
          <w:lang w:val="zh-CN"/>
        </w:rPr>
        <w:t>招标项目服务内容</w:t>
      </w:r>
    </w:p>
    <w:p>
      <w:pPr>
        <w:spacing w:line="400" w:lineRule="exact"/>
        <w:ind w:firstLine="480" w:firstLineChars="200"/>
        <w:rPr>
          <w:rFonts w:ascii="方正仿宋_GBK" w:hAnsi="宋体" w:eastAsia="方正仿宋_GBK"/>
          <w:sz w:val="24"/>
          <w:szCs w:val="24"/>
          <w:lang w:val="zh-CN"/>
        </w:rPr>
      </w:pPr>
      <w:r>
        <w:rPr>
          <w:rFonts w:hint="eastAsia" w:ascii="方正仿宋_GBK" w:hAnsi="宋体" w:eastAsia="方正仿宋_GBK"/>
          <w:sz w:val="24"/>
          <w:szCs w:val="24"/>
          <w:lang w:val="zh-CN"/>
        </w:rPr>
        <w:t>策划内容应充分挖掘区域特色资源，充分挖掘城市存量土地资源，实现资源最大化利用。应从国家及地方城市更新政策背景，空间区位，基础数据调查，产业、交通、人文、生态、配套设施等专项分析等方面进行全面的项目认知与重难点分析，识别城市更新对象，判断更新方式，策划城市更新重点项目。在充分调研的基础之上，形成策划方案，对关键问题提出合理化建议。策划内容包括但不限于城市更新目标定位、更新实施、更新项目策划、规划调整建议、土地整理、供地方式等。</w:t>
      </w:r>
    </w:p>
    <w:p>
      <w:pPr>
        <w:pStyle w:val="13"/>
        <w:ind w:firstLine="480" w:firstLineChars="200"/>
        <w:rPr>
          <w:rFonts w:ascii="方正仿宋_GBK" w:hAnsi="宋体" w:eastAsia="方正仿宋_GBK"/>
          <w:b/>
          <w:sz w:val="24"/>
          <w:szCs w:val="22"/>
          <w:lang w:val="zh-CN"/>
        </w:rPr>
      </w:pPr>
      <w:r>
        <w:rPr>
          <w:rFonts w:hint="eastAsia" w:ascii="方正仿宋_GBK" w:hAnsi="宋体" w:eastAsia="方正仿宋_GBK"/>
          <w:sz w:val="24"/>
          <w:szCs w:val="24"/>
        </w:rPr>
        <w:t>※</w:t>
      </w:r>
      <w:r>
        <w:rPr>
          <w:rFonts w:hint="eastAsia" w:ascii="方正仿宋_GBK" w:hAnsi="宋体" w:eastAsia="方正仿宋_GBK"/>
          <w:b/>
          <w:sz w:val="24"/>
          <w:szCs w:val="22"/>
          <w:lang w:val="zh-CN"/>
        </w:rPr>
        <w:t>四、招标项目服务标准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在合同约定时间前提交沙坪坝区石井坡片区更新策划项目终稿，完成征求意见、通过相关评审及验收，并提交成果文本6套，电子版2套。</w:t>
      </w:r>
    </w:p>
    <w:p>
      <w:pPr>
        <w:spacing w:line="400" w:lineRule="exact"/>
        <w:ind w:firstLine="482" w:firstLineChars="200"/>
        <w:rPr>
          <w:rFonts w:ascii="方正仿宋_GBK" w:hAnsi="宋体" w:eastAsia="方正仿宋_GBK"/>
          <w:b/>
          <w:bCs/>
          <w:sz w:val="24"/>
          <w:szCs w:val="24"/>
          <w:lang w:val="zh-CN"/>
        </w:rPr>
      </w:pPr>
      <w:r>
        <w:rPr>
          <w:rFonts w:hint="eastAsia" w:ascii="方正仿宋_GBK" w:hAnsi="宋体" w:eastAsia="方正仿宋_GBK"/>
          <w:b/>
          <w:bCs/>
          <w:sz w:val="24"/>
          <w:szCs w:val="24"/>
        </w:rPr>
        <w:t>五</w:t>
      </w:r>
      <w:r>
        <w:rPr>
          <w:rFonts w:hint="eastAsia" w:ascii="方正仿宋_GBK" w:hAnsi="宋体" w:eastAsia="方正仿宋_GBK"/>
          <w:b/>
          <w:bCs/>
          <w:sz w:val="24"/>
          <w:szCs w:val="24"/>
          <w:lang w:val="zh-CN"/>
        </w:rPr>
        <w:t>、实施方案</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供应商针对本项目需求提供详细的《重庆市沙坪坝区城市更新项目石井坡片区策划设计服务》，包括但不限于区位和策划背景、片区现状、更新资源识别、片区更新指引、更新项目、策划工作组织和进度安排等。响应供应商在编制投标文件时不得更改以上方案的名称。</w:t>
      </w:r>
    </w:p>
    <w:p>
      <w:pPr>
        <w:spacing w:line="400" w:lineRule="exact"/>
        <w:ind w:firstLine="480" w:firstLineChars="200"/>
        <w:rPr>
          <w:rFonts w:ascii="方正仿宋_GBK" w:hAnsi="宋体" w:eastAsia="方正仿宋_GBK"/>
          <w:sz w:val="24"/>
          <w:szCs w:val="24"/>
          <w:lang w:val="zh-CN"/>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pPr>
        <w:pStyle w:val="3"/>
        <w:spacing w:before="0" w:after="0" w:line="360" w:lineRule="auto"/>
        <w:jc w:val="center"/>
        <w:rPr>
          <w:rFonts w:ascii="方正小标宋_GBK" w:hAnsi="宋体" w:eastAsia="方正小标宋_GBK"/>
          <w:b w:val="0"/>
          <w:sz w:val="36"/>
          <w:szCs w:val="30"/>
        </w:rPr>
      </w:pPr>
      <w:bookmarkStart w:id="44" w:name="_Toc106030882"/>
      <w:bookmarkStart w:id="45" w:name="_Toc76462327"/>
      <w:r>
        <w:rPr>
          <w:rFonts w:hint="eastAsia" w:ascii="方正小标宋_GBK" w:hAnsi="宋体" w:eastAsia="方正小标宋_GBK"/>
          <w:b w:val="0"/>
          <w:sz w:val="36"/>
          <w:szCs w:val="30"/>
        </w:rPr>
        <w:t xml:space="preserve">第三篇  </w:t>
      </w:r>
      <w:bookmarkEnd w:id="37"/>
      <w:r>
        <w:rPr>
          <w:rFonts w:hint="eastAsia" w:ascii="方正小标宋_GBK" w:hAnsi="宋体" w:eastAsia="方正小标宋_GBK"/>
          <w:b w:val="0"/>
          <w:sz w:val="36"/>
          <w:szCs w:val="30"/>
        </w:rPr>
        <w:t>项目商务需求</w:t>
      </w:r>
      <w:bookmarkEnd w:id="44"/>
      <w:bookmarkEnd w:id="45"/>
    </w:p>
    <w:p>
      <w:pPr>
        <w:pStyle w:val="7"/>
        <w:spacing w:line="400" w:lineRule="exact"/>
        <w:ind w:firstLine="480" w:firstLineChars="200"/>
        <w:rPr>
          <w:rFonts w:ascii="方正仿宋_GBK" w:hAnsi="宋体" w:eastAsia="方正仿宋_GBK"/>
          <w:sz w:val="24"/>
          <w:szCs w:val="24"/>
        </w:rPr>
      </w:pPr>
      <w:bookmarkStart w:id="46" w:name="_Toc344475120"/>
      <w:bookmarkStart w:id="47" w:name="_Toc76462328"/>
      <w:r>
        <w:rPr>
          <w:rFonts w:hint="eastAsia" w:ascii="方正仿宋_GBK" w:hAnsi="宋体" w:eastAsia="方正仿宋_GBK"/>
          <w:sz w:val="24"/>
          <w:szCs w:val="24"/>
        </w:rPr>
        <w:t>“※”标注的商务需求为符合性审查中的实质性要求，响应文件若不满足按无效响应处理。</w:t>
      </w:r>
    </w:p>
    <w:p>
      <w:pPr>
        <w:pStyle w:val="3"/>
        <w:adjustRightInd w:val="0"/>
        <w:snapToGrid w:val="0"/>
        <w:spacing w:before="0" w:after="0" w:line="400" w:lineRule="exact"/>
        <w:ind w:firstLine="482" w:firstLineChars="200"/>
        <w:rPr>
          <w:rFonts w:ascii="方正仿宋_GBK" w:hAnsi="宋体" w:eastAsia="方正仿宋_GBK"/>
          <w:sz w:val="24"/>
        </w:rPr>
      </w:pPr>
      <w:bookmarkStart w:id="48" w:name="_Toc106030883"/>
      <w:r>
        <w:rPr>
          <w:rFonts w:hint="eastAsia" w:ascii="方正仿宋_GBK" w:hAnsi="宋体" w:eastAsia="方正仿宋_GBK"/>
          <w:sz w:val="24"/>
          <w:szCs w:val="24"/>
        </w:rPr>
        <w:t>※</w:t>
      </w:r>
      <w:r>
        <w:rPr>
          <w:rFonts w:hint="eastAsia" w:ascii="方正仿宋_GBK" w:hAnsi="宋体" w:eastAsia="方正仿宋_GBK"/>
          <w:sz w:val="24"/>
        </w:rPr>
        <w:t>一、服务期限、地点</w:t>
      </w:r>
      <w:bookmarkEnd w:id="46"/>
      <w:bookmarkEnd w:id="47"/>
      <w:bookmarkEnd w:id="48"/>
      <w:r>
        <w:rPr>
          <w:rFonts w:hint="eastAsia" w:ascii="方正仿宋_GBK" w:hAnsi="宋体" w:eastAsia="方正仿宋_GBK"/>
          <w:sz w:val="24"/>
        </w:rPr>
        <w:t>及验收方式</w:t>
      </w:r>
    </w:p>
    <w:p>
      <w:pPr>
        <w:pStyle w:val="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（一）服务期限：成交供应商应当在采购合同签订后的30日历日内实施完成。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（二）服务地点：重庆市沙坪坝区石井坡片区；</w:t>
      </w:r>
    </w:p>
    <w:p>
      <w:pPr>
        <w:pStyle w:val="2"/>
        <w:ind w:firstLine="240" w:firstLineChars="100"/>
        <w:rPr>
          <w:rFonts w:ascii="方正仿宋_GBK" w:hAnsi="宋体" w:eastAsia="方正仿宋_GBK"/>
          <w:sz w:val="24"/>
          <w:szCs w:val="24"/>
        </w:rPr>
      </w:pPr>
      <w:r>
        <w:rPr>
          <w:rFonts w:hint="eastAsia" w:ascii="方正仿宋_GBK" w:hAnsi="宋体" w:eastAsia="方正仿宋_GBK"/>
          <w:sz w:val="24"/>
          <w:szCs w:val="24"/>
        </w:rPr>
        <w:t xml:space="preserve">  （三）验收方式：按照竞争性磋商文件和响应文件的内容执行。</w:t>
      </w:r>
    </w:p>
    <w:p>
      <w:pPr>
        <w:autoSpaceDE w:val="0"/>
        <w:autoSpaceDN w:val="0"/>
        <w:adjustRightInd w:val="0"/>
        <w:snapToGrid w:val="0"/>
        <w:ind w:firstLine="482" w:firstLineChars="200"/>
        <w:rPr>
          <w:rFonts w:ascii="方正仿宋_GBK" w:hAnsi="宋体" w:eastAsia="方正仿宋_GBK"/>
          <w:b/>
          <w:sz w:val="24"/>
        </w:rPr>
      </w:pPr>
      <w:bookmarkStart w:id="49" w:name="_Toc344475121"/>
      <w:bookmarkStart w:id="50" w:name="_Toc106030884"/>
      <w:bookmarkStart w:id="51" w:name="_Toc76462329"/>
      <w:r>
        <w:rPr>
          <w:rFonts w:hint="eastAsia" w:ascii="方正仿宋_GBK" w:hAnsi="宋体" w:eastAsia="方正仿宋_GBK"/>
          <w:b/>
          <w:sz w:val="24"/>
        </w:rPr>
        <w:t>※二、</w:t>
      </w:r>
      <w:bookmarkEnd w:id="49"/>
      <w:r>
        <w:rPr>
          <w:rFonts w:hint="eastAsia" w:ascii="方正仿宋_GBK" w:hAnsi="宋体" w:eastAsia="方正仿宋_GBK"/>
          <w:b/>
          <w:sz w:val="24"/>
        </w:rPr>
        <w:t>报价要求</w:t>
      </w:r>
      <w:bookmarkEnd w:id="50"/>
      <w:bookmarkEnd w:id="51"/>
    </w:p>
    <w:p>
      <w:pPr>
        <w:spacing w:line="400" w:lineRule="exact"/>
        <w:ind w:firstLine="480" w:firstLineChars="200"/>
        <w:rPr>
          <w:rFonts w:ascii="方正仿宋_GBK" w:hAnsi="宋体" w:eastAsia="方正仿宋_GBK"/>
          <w:sz w:val="24"/>
          <w:szCs w:val="24"/>
        </w:rPr>
      </w:pPr>
      <w:r>
        <w:rPr>
          <w:rFonts w:hint="eastAsia" w:eastAsia="方正仿宋_GBK"/>
          <w:sz w:val="24"/>
          <w:szCs w:val="24"/>
        </w:rPr>
        <w:t>投标人报价包含完成本项目所需的一切费用。投标人应根据本项目的实际与自身情况，并充分考虑不确定性因素可能导致的风险。若因投标人原因造成的漏报、错报而导致本项目无法履行的，由投标人负责，采购人不承担任何费用</w:t>
      </w:r>
      <w:r>
        <w:rPr>
          <w:rFonts w:hint="eastAsia" w:ascii="方正仿宋_GBK" w:hAnsi="宋体" w:eastAsia="方正仿宋_GBK"/>
          <w:sz w:val="24"/>
          <w:szCs w:val="24"/>
        </w:rPr>
        <w:t>。</w:t>
      </w:r>
    </w:p>
    <w:p>
      <w:pPr>
        <w:pStyle w:val="3"/>
        <w:adjustRightInd w:val="0"/>
        <w:snapToGrid w:val="0"/>
        <w:spacing w:before="0" w:after="0" w:line="400" w:lineRule="exact"/>
        <w:ind w:firstLine="482" w:firstLineChars="200"/>
        <w:rPr>
          <w:rFonts w:ascii="方正仿宋_GBK" w:hAnsi="宋体" w:eastAsia="方正仿宋_GBK"/>
          <w:sz w:val="24"/>
        </w:rPr>
      </w:pPr>
      <w:bookmarkStart w:id="52" w:name="_Toc106030885"/>
      <w:bookmarkStart w:id="53" w:name="_Toc344475122"/>
      <w:bookmarkStart w:id="54" w:name="_Toc76462330"/>
      <w:r>
        <w:rPr>
          <w:rFonts w:hint="eastAsia" w:ascii="方正仿宋_GBK" w:hAnsi="宋体" w:eastAsia="方正仿宋_GBK"/>
          <w:sz w:val="24"/>
          <w:szCs w:val="24"/>
        </w:rPr>
        <w:t>※</w:t>
      </w:r>
      <w:r>
        <w:rPr>
          <w:rFonts w:hint="eastAsia" w:ascii="方正仿宋_GBK" w:hAnsi="宋体" w:eastAsia="方正仿宋_GBK"/>
          <w:sz w:val="24"/>
        </w:rPr>
        <w:t>三、付款方式</w:t>
      </w:r>
      <w:bookmarkEnd w:id="52"/>
      <w:bookmarkEnd w:id="53"/>
      <w:bookmarkEnd w:id="5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（一）采购人和成交供应商正式签订合同并生效后，成交供应商出具正式发票或行政事业单位的正式收据后，采购人在15个工作日内向成交供应商支付中标价的40%；</w:t>
      </w:r>
    </w:p>
    <w:p>
      <w:pPr>
        <w:spacing w:line="400" w:lineRule="exact"/>
        <w:ind w:firstLine="480" w:firstLineChars="200"/>
        <w:rPr>
          <w:rFonts w:ascii="微软雅黑" w:hAnsi="微软雅黑" w:eastAsia="微软雅黑" w:cs="微软雅黑"/>
          <w:sz w:val="24"/>
          <w:szCs w:val="24"/>
          <w:lang w:val="zh-CN"/>
        </w:rPr>
      </w:pPr>
      <w:r>
        <w:rPr>
          <w:rFonts w:hint="eastAsia" w:ascii="方正仿宋_GBK" w:hAnsi="宋体" w:eastAsia="方正仿宋_GBK"/>
          <w:sz w:val="24"/>
          <w:szCs w:val="24"/>
        </w:rPr>
        <w:t>（二）成交供应商提交了策划初步报告，并经采购人确认后，开具正式发票或行政事业单位的正式收据，采购人在10个工作日内向成交供应商支付中标价的40%</w:t>
      </w:r>
      <w:r>
        <w:rPr>
          <w:rFonts w:hint="eastAsia" w:ascii="微软雅黑" w:hAnsi="微软雅黑" w:eastAsia="微软雅黑" w:cs="微软雅黑"/>
          <w:sz w:val="24"/>
          <w:szCs w:val="24"/>
          <w:lang w:val="zh-CN"/>
        </w:rPr>
        <w:t>；</w:t>
      </w:r>
    </w:p>
    <w:p>
      <w:pPr>
        <w:pStyle w:val="2"/>
        <w:ind w:firstLine="480" w:firstLineChars="200"/>
        <w:rPr>
          <w:rFonts w:ascii="方正仿宋_GBK" w:hAnsi="宋体" w:eastAsia="方正仿宋_GBK"/>
          <w:sz w:val="24"/>
          <w:szCs w:val="24"/>
          <w:lang w:val="zh-CN"/>
        </w:rPr>
      </w:pPr>
      <w:r>
        <w:rPr>
          <w:rFonts w:hint="eastAsia" w:ascii="方正仿宋_GBK" w:hAnsi="宋体" w:eastAsia="方正仿宋_GBK"/>
          <w:sz w:val="24"/>
          <w:szCs w:val="24"/>
          <w:lang w:val="zh-CN"/>
        </w:rPr>
        <w:t>（三）成交供应商提交了策划正式报告，通过经采购人组织的评审，出具后续服务承诺函，且成交供应商开具正式发票或行政事业单位的正式收据，采购人在10个工作日内向成交供应商支付中标价的20%。</w:t>
      </w:r>
    </w:p>
    <w:p>
      <w:pPr>
        <w:topLinePunct/>
        <w:autoSpaceDN w:val="0"/>
        <w:adjustRightInd w:val="0"/>
        <w:snapToGrid w:val="0"/>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※四、知识产权</w:t>
      </w:r>
    </w:p>
    <w:p>
      <w:pPr>
        <w:topLinePunct/>
        <w:autoSpaceDN w:val="0"/>
        <w:adjustRightInd w:val="0"/>
        <w:snapToGrid w:val="0"/>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topLinePunct/>
        <w:autoSpaceDN w:val="0"/>
        <w:adjustRightInd w:val="0"/>
        <w:snapToGrid w:val="0"/>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※五、其他要求</w:t>
      </w:r>
    </w:p>
    <w:p>
      <w:pPr>
        <w:topLinePunct/>
        <w:autoSpaceDN w:val="0"/>
        <w:adjustRightInd w:val="0"/>
        <w:snapToGrid w:val="0"/>
        <w:spacing w:line="400" w:lineRule="exact"/>
        <w:ind w:firstLine="480" w:firstLineChars="200"/>
        <w:rPr>
          <w:rFonts w:ascii="方正仿宋_GBK" w:hAnsi="宋体" w:eastAsia="方正仿宋_GBK"/>
          <w:sz w:val="24"/>
          <w:szCs w:val="24"/>
          <w:lang w:val="zh-CN"/>
        </w:rPr>
      </w:pPr>
      <w:r>
        <w:rPr>
          <w:rFonts w:hint="eastAsia" w:ascii="方正仿宋_GBK" w:hAnsi="宋体" w:eastAsia="方正仿宋_GBK"/>
          <w:sz w:val="24"/>
          <w:szCs w:val="24"/>
          <w:lang w:val="zh-CN"/>
        </w:rPr>
        <w:t>（一）在履约服务期限内，响应供应商自行组织人员完成合同约定事务，并按国家法律法规的要求完善用工制度，响应供应商为完成合同约定事务自行聘请的人员工资、福利、社保等用工责任由响应供应商自行承担，因响应供应商未完善而引起的劳动争议由响应供应商自行负责。</w:t>
      </w:r>
    </w:p>
    <w:p>
      <w:pPr>
        <w:topLinePunct/>
        <w:autoSpaceDN w:val="0"/>
        <w:adjustRightInd w:val="0"/>
        <w:snapToGrid w:val="0"/>
        <w:spacing w:line="400" w:lineRule="exact"/>
        <w:ind w:firstLine="480" w:firstLineChars="200"/>
        <w:rPr>
          <w:rFonts w:ascii="方正仿宋_GBK" w:hAnsi="宋体" w:eastAsia="方正仿宋_GBK"/>
          <w:sz w:val="24"/>
          <w:szCs w:val="24"/>
          <w:lang w:val="zh-CN"/>
        </w:rPr>
      </w:pPr>
      <w:r>
        <w:rPr>
          <w:rFonts w:hint="eastAsia" w:ascii="方正仿宋_GBK" w:hAnsi="宋体" w:eastAsia="方正仿宋_GBK"/>
          <w:sz w:val="24"/>
          <w:szCs w:val="24"/>
          <w:lang w:val="zh-CN"/>
        </w:rPr>
        <w:t>（</w:t>
      </w:r>
      <w:r>
        <w:rPr>
          <w:rFonts w:hint="eastAsia" w:ascii="方正仿宋_GBK" w:hAnsi="宋体" w:eastAsia="方正仿宋_GBK"/>
          <w:sz w:val="24"/>
          <w:szCs w:val="24"/>
        </w:rPr>
        <w:t>二</w:t>
      </w:r>
      <w:r>
        <w:rPr>
          <w:rFonts w:hint="eastAsia" w:ascii="方正仿宋_GBK" w:hAnsi="宋体" w:eastAsia="方正仿宋_GBK"/>
          <w:sz w:val="24"/>
          <w:szCs w:val="24"/>
          <w:lang w:val="zh-CN"/>
        </w:rPr>
        <w:t>）履约服务期限内所发生的一切安全事故均由响应供应商自行负责。</w:t>
      </w:r>
    </w:p>
    <w:p>
      <w:pPr>
        <w:topLinePunct/>
        <w:autoSpaceDN w:val="0"/>
        <w:adjustRightInd w:val="0"/>
        <w:snapToGrid w:val="0"/>
        <w:spacing w:line="400" w:lineRule="exact"/>
        <w:ind w:firstLine="480" w:firstLineChars="200"/>
        <w:rPr>
          <w:rFonts w:ascii="方正仿宋_GBK" w:hAnsi="宋体" w:eastAsia="方正仿宋_GBK"/>
          <w:sz w:val="24"/>
          <w:szCs w:val="24"/>
          <w:lang w:val="zh-CN"/>
        </w:rPr>
      </w:pPr>
      <w:r>
        <w:rPr>
          <w:rFonts w:hint="eastAsia" w:ascii="方正仿宋_GBK" w:hAnsi="宋体" w:eastAsia="方正仿宋_GBK"/>
          <w:sz w:val="24"/>
          <w:szCs w:val="24"/>
        </w:rPr>
        <w:t>（三</w:t>
      </w:r>
      <w:r>
        <w:rPr>
          <w:rFonts w:hint="eastAsia" w:ascii="方正仿宋_GBK" w:hAnsi="宋体" w:eastAsia="方正仿宋_GBK"/>
          <w:sz w:val="24"/>
          <w:szCs w:val="24"/>
          <w:lang w:val="zh-CN"/>
        </w:rPr>
        <w:t>）响应供应商必须在响应文件中对以上条款和服务承诺明确列出，承诺内容必须达到磋商文件的要求。</w:t>
      </w:r>
    </w:p>
    <w:p>
      <w:pPr>
        <w:topLinePunct/>
        <w:autoSpaceDN w:val="0"/>
        <w:adjustRightInd w:val="0"/>
        <w:snapToGrid w:val="0"/>
        <w:spacing w:line="400" w:lineRule="exact"/>
        <w:ind w:firstLine="480" w:firstLineChars="200"/>
        <w:rPr>
          <w:rFonts w:ascii="方正仿宋_GBK" w:hAnsi="宋体" w:eastAsia="方正仿宋_GBK"/>
          <w:sz w:val="24"/>
          <w:szCs w:val="24"/>
          <w:lang w:val="zh-CN"/>
        </w:rPr>
      </w:pPr>
      <w:r>
        <w:rPr>
          <w:rFonts w:hint="eastAsia" w:ascii="方正仿宋_GBK" w:hAnsi="宋体" w:eastAsia="方正仿宋_GBK"/>
          <w:sz w:val="24"/>
          <w:szCs w:val="24"/>
          <w:lang w:val="zh-CN"/>
        </w:rPr>
        <w:t>（</w:t>
      </w:r>
      <w:r>
        <w:rPr>
          <w:rFonts w:hint="eastAsia" w:ascii="方正仿宋_GBK" w:hAnsi="宋体" w:eastAsia="方正仿宋_GBK"/>
          <w:sz w:val="24"/>
          <w:szCs w:val="24"/>
        </w:rPr>
        <w:t>四</w:t>
      </w:r>
      <w:r>
        <w:rPr>
          <w:rFonts w:hint="eastAsia" w:ascii="方正仿宋_GBK" w:hAnsi="宋体" w:eastAsia="方正仿宋_GBK"/>
          <w:sz w:val="24"/>
          <w:szCs w:val="24"/>
          <w:lang w:val="zh-CN"/>
        </w:rPr>
        <w:t>）成交供应商不得分包、转包、挂靠成交项目。</w:t>
      </w:r>
    </w:p>
    <w:p>
      <w:pPr>
        <w:topLinePunct/>
        <w:autoSpaceDN w:val="0"/>
        <w:adjustRightInd w:val="0"/>
        <w:snapToGrid w:val="0"/>
        <w:spacing w:line="400" w:lineRule="exact"/>
        <w:ind w:firstLine="480" w:firstLineChars="200"/>
        <w:rPr>
          <w:rFonts w:ascii="方正仿宋_GBK" w:hAnsi="宋体" w:eastAsia="方正仿宋_GBK"/>
          <w:sz w:val="24"/>
          <w:szCs w:val="24"/>
          <w:lang w:val="zh-CN"/>
        </w:rPr>
      </w:pPr>
      <w:r>
        <w:rPr>
          <w:rFonts w:hint="eastAsia" w:ascii="方正仿宋_GBK" w:hAnsi="宋体" w:eastAsia="方正仿宋_GBK"/>
          <w:sz w:val="24"/>
          <w:szCs w:val="24"/>
          <w:lang w:val="zh-CN"/>
        </w:rPr>
        <w:t>（</w:t>
      </w:r>
      <w:r>
        <w:rPr>
          <w:rFonts w:hint="eastAsia" w:ascii="方正仿宋_GBK" w:hAnsi="宋体" w:eastAsia="方正仿宋_GBK"/>
          <w:sz w:val="24"/>
          <w:szCs w:val="24"/>
        </w:rPr>
        <w:t>五</w:t>
      </w:r>
      <w:r>
        <w:rPr>
          <w:rFonts w:hint="eastAsia" w:ascii="方正仿宋_GBK" w:hAnsi="宋体" w:eastAsia="方正仿宋_GBK"/>
          <w:sz w:val="24"/>
          <w:szCs w:val="24"/>
          <w:lang w:val="zh-CN"/>
        </w:rPr>
        <w:t>）其他未尽事宜由采购人和响应供应商双方在采购合同中详细约定。</w:t>
      </w:r>
    </w:p>
    <w:p>
      <w:pPr>
        <w:pStyle w:val="3"/>
        <w:pageBreakBefore/>
        <w:spacing w:before="0" w:after="0" w:line="360" w:lineRule="auto"/>
        <w:jc w:val="center"/>
        <w:rPr>
          <w:rFonts w:ascii="方正小标宋_GBK" w:hAnsi="宋体" w:eastAsia="方正小标宋_GBK"/>
          <w:b w:val="0"/>
          <w:sz w:val="36"/>
          <w:szCs w:val="30"/>
        </w:rPr>
      </w:pPr>
      <w:bookmarkStart w:id="55" w:name="_Toc106030887"/>
      <w:bookmarkStart w:id="56" w:name="_Toc76462332"/>
      <w:r>
        <w:rPr>
          <w:rFonts w:hint="eastAsia" w:ascii="方正小标宋_GBK" w:hAnsi="宋体" w:eastAsia="方正小标宋_GBK"/>
          <w:b w:val="0"/>
          <w:sz w:val="36"/>
          <w:szCs w:val="30"/>
        </w:rPr>
        <w:t>第四篇  磋商程序及方法、评审标准、无效响应和</w:t>
      </w:r>
      <w:r>
        <w:rPr>
          <w:rFonts w:hint="eastAsia" w:ascii="方正小标宋_GBK" w:eastAsia="方正小标宋_GBK"/>
          <w:b w:val="0"/>
          <w:sz w:val="36"/>
          <w:szCs w:val="36"/>
        </w:rPr>
        <w:t>采购终止</w:t>
      </w:r>
      <w:bookmarkEnd w:id="55"/>
      <w:bookmarkEnd w:id="56"/>
    </w:p>
    <w:p>
      <w:pPr>
        <w:pStyle w:val="3"/>
        <w:adjustRightInd w:val="0"/>
        <w:snapToGrid w:val="0"/>
        <w:spacing w:before="0" w:after="0" w:line="400" w:lineRule="exact"/>
        <w:ind w:firstLine="482" w:firstLineChars="200"/>
        <w:rPr>
          <w:rFonts w:ascii="方正仿宋_GBK" w:hAnsi="宋体" w:eastAsia="方正仿宋_GBK"/>
          <w:sz w:val="24"/>
        </w:rPr>
      </w:pPr>
      <w:bookmarkStart w:id="57" w:name="_Toc76462333"/>
      <w:bookmarkStart w:id="58" w:name="_Toc106030888"/>
      <w:r>
        <w:rPr>
          <w:rFonts w:hint="eastAsia" w:ascii="方正仿宋_GBK" w:hAnsi="宋体" w:eastAsia="方正仿宋_GBK"/>
          <w:sz w:val="24"/>
        </w:rPr>
        <w:t>一、磋商程序及方法</w:t>
      </w:r>
      <w:bookmarkEnd w:id="57"/>
      <w:bookmarkEnd w:id="58"/>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资格性审查。依据法律法规和竞争性磋商文件的规定，对响应文件中的资格证明、等进行审查，以确定供应商是否具备磋商资格。资格性审查资料表如下：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3118"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3118"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7" w:type="dxa"/>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（二）</w:t>
            </w:r>
          </w:p>
        </w:tc>
        <w:tc>
          <w:tcPr>
            <w:tcW w:w="3827" w:type="dxa"/>
            <w:gridSpan w:val="2"/>
            <w:vAlign w:val="center"/>
          </w:tcPr>
          <w:p>
            <w:pPr>
              <w:rPr>
                <w:rFonts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4984"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7" w:type="dxa"/>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（三）</w:t>
            </w:r>
          </w:p>
        </w:tc>
        <w:tc>
          <w:tcPr>
            <w:tcW w:w="3827" w:type="dxa"/>
            <w:gridSpan w:val="2"/>
          </w:tcPr>
          <w:p>
            <w:pPr>
              <w:jc w:val="left"/>
              <w:rPr>
                <w:rFonts w:ascii="方正仿宋_GBK" w:hAnsi="仿宋" w:eastAsia="方正仿宋_GBK"/>
                <w:sz w:val="21"/>
                <w:szCs w:val="21"/>
              </w:rPr>
            </w:pPr>
            <w:r>
              <w:rPr>
                <w:rFonts w:hint="eastAsia" w:ascii="方正仿宋_GBK" w:hAnsi="仿宋" w:eastAsia="方正仿宋_GBK"/>
                <w:sz w:val="21"/>
                <w:szCs w:val="21"/>
              </w:rPr>
              <w:t>保证金</w:t>
            </w:r>
          </w:p>
        </w:tc>
        <w:tc>
          <w:tcPr>
            <w:tcW w:w="4984" w:type="dxa"/>
          </w:tcPr>
          <w:p>
            <w:pPr>
              <w:rPr>
                <w:rFonts w:ascii="方正仿宋_GBK" w:hAnsi="仿宋" w:eastAsia="方正仿宋_GBK"/>
                <w:sz w:val="21"/>
                <w:szCs w:val="21"/>
              </w:rPr>
            </w:pPr>
            <w:r>
              <w:rPr>
                <w:rFonts w:hint="eastAsia" w:ascii="方正仿宋_GBK" w:hAnsi="仿宋" w:eastAsia="方正仿宋_GBK"/>
                <w:sz w:val="21"/>
                <w:szCs w:val="21"/>
              </w:rPr>
              <w:t>按磋商文件要求足额交纳所参与包的保证金，并提供相关证明材料。</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以联合体形式参与磋商的，共同联合协议中应确定主办方（主体），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3</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sz w:val="24"/>
        </w:rPr>
        <w:t>以联合体形式参加本项目的，联合体各方均为中小企业的，联合体视同中小企业（其中，联合体各方均为小微企业的，联合体视同小微企业</w:t>
      </w:r>
      <w:r>
        <w:rPr>
          <w:rFonts w:hint="eastAsia" w:ascii="方正仿宋_GBK" w:hAnsi="宋体" w:eastAsia="方正仿宋_GBK" w:cs="宋体"/>
          <w:kern w:val="0"/>
          <w:sz w:val="24"/>
          <w:szCs w:val="24"/>
        </w:rPr>
        <w:t>）。</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kern w:val="0"/>
          <w:sz w:val="24"/>
          <w:szCs w:val="24"/>
        </w:rPr>
        <w:t>符合性审查资料表如下：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竞争性磋商</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pPr>
              <w:pStyle w:val="6"/>
              <w:rPr>
                <w:rFonts w:ascii="方正仿宋_GBK" w:hAnsi="宋体" w:eastAsia="方正仿宋_GBK" w:cs="宋体"/>
                <w:kern w:val="0"/>
                <w:sz w:val="21"/>
                <w:szCs w:val="21"/>
              </w:rPr>
            </w:pPr>
            <w:r>
              <w:rPr>
                <w:rFonts w:hint="eastAsia" w:ascii="方正仿宋_GBK" w:hAnsi="宋体" w:eastAsia="方正仿宋_GBK" w:cs="宋体"/>
                <w:kern w:val="0"/>
                <w:sz w:val="21"/>
                <w:szCs w:val="21"/>
              </w:rPr>
              <w:t>竞争性磋商文件第二篇、第三篇“</w:t>
            </w:r>
            <w:r>
              <w:rPr>
                <w:rFonts w:hint="eastAsia" w:ascii="方正仿宋_GBK" w:hAnsi="宋体" w:eastAsia="方正仿宋_GBK"/>
                <w:sz w:val="24"/>
                <w:szCs w:val="24"/>
              </w:rPr>
              <w:t>※</w:t>
            </w:r>
            <w:r>
              <w:rPr>
                <w:rFonts w:hint="eastAsia" w:ascii="方正仿宋_GBK" w:hAnsi="宋体" w:eastAsia="方正仿宋_GBK" w:cs="宋体"/>
                <w:kern w:val="0"/>
                <w:sz w:val="21"/>
                <w:szCs w:val="21"/>
              </w:rPr>
              <w:t>”标注部分。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仿宋_GB2312"/>
                <w:sz w:val="21"/>
                <w:szCs w:val="21"/>
                <w:lang w:val="zh-CN"/>
              </w:rPr>
            </w:pP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（五）在磋商过程中磋商的任何一方不得向他人透露与磋商有关的服务资料、价格或其他信息。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注：</w:t>
      </w:r>
      <w:r>
        <w:rPr>
          <w:rFonts w:hint="eastAsia" w:ascii="方正仿宋_GBK" w:hAnsi="宋体" w:eastAsia="方正仿宋_GBK"/>
          <w:color w:val="000000"/>
          <w:sz w:val="24"/>
          <w:szCs w:val="24"/>
        </w:rPr>
        <w:t>本项目采用两次报价，</w:t>
      </w:r>
      <w:r>
        <w:rPr>
          <w:rFonts w:hint="eastAsia" w:ascii="方正仿宋_GBK" w:hAnsi="宋体" w:eastAsia="方正仿宋_GBK"/>
          <w:sz w:val="24"/>
          <w:szCs w:val="24"/>
        </w:rPr>
        <w:t>最后报价只能低于或等于响应文件中的报价。若高于响应文件中的报价则以供应商响应文件中的报价为准）。</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（九）磋商小组采用综合评分法对提交最后报价的供应商的响应文件和最后报价（含有效书面承诺）进行综合评分。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竞争性磋商</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磋商小组各成员独立对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服务部分</w:t>
      </w:r>
      <w:r>
        <w:rPr>
          <w:rFonts w:ascii="方正仿宋_GBK" w:hAnsi="宋体" w:eastAsia="方正仿宋_GBK"/>
          <w:sz w:val="24"/>
          <w:szCs w:val="24"/>
        </w:rPr>
        <w:t>得分为</w:t>
      </w:r>
      <w:r>
        <w:rPr>
          <w:rFonts w:hint="eastAsia" w:ascii="方正仿宋_GBK" w:hAnsi="宋体" w:eastAsia="方正仿宋_GBK"/>
          <w:sz w:val="24"/>
          <w:szCs w:val="24"/>
        </w:rPr>
        <w:t>0分</w:t>
      </w:r>
      <w:r>
        <w:rPr>
          <w:rFonts w:ascii="方正仿宋_GBK" w:hAnsi="宋体" w:eastAsia="方正仿宋_GBK"/>
          <w:sz w:val="24"/>
          <w:szCs w:val="24"/>
        </w:rPr>
        <w:t>的</w:t>
      </w:r>
      <w:r>
        <w:rPr>
          <w:rFonts w:hint="eastAsia" w:ascii="方正仿宋_GBK" w:hAnsi="宋体" w:eastAsia="方正仿宋_GBK"/>
          <w:sz w:val="24"/>
          <w:szCs w:val="24"/>
        </w:rPr>
        <w:t>供应商不能</w:t>
      </w:r>
      <w:r>
        <w:rPr>
          <w:rFonts w:ascii="方正仿宋_GBK" w:hAnsi="宋体" w:eastAsia="方正仿宋_GBK"/>
          <w:sz w:val="24"/>
          <w:szCs w:val="24"/>
        </w:rPr>
        <w:t>成为</w:t>
      </w:r>
      <w:r>
        <w:rPr>
          <w:rFonts w:hint="eastAsia" w:ascii="方正仿宋_GBK" w:hAnsi="宋体" w:eastAsia="方正仿宋_GBK"/>
          <w:sz w:val="24"/>
          <w:szCs w:val="24"/>
        </w:rPr>
        <w:t>成交供应商</w:t>
      </w:r>
      <w:r>
        <w:rPr>
          <w:rFonts w:ascii="方正仿宋_GBK" w:hAnsi="宋体" w:eastAsia="方正仿宋_GBK"/>
          <w:sz w:val="24"/>
          <w:szCs w:val="24"/>
        </w:rPr>
        <w:t>。</w:t>
      </w:r>
      <w:r>
        <w:rPr>
          <w:rFonts w:hint="eastAsia" w:ascii="方正仿宋_GBK" w:hAnsi="宋体" w:eastAsia="方正仿宋_GBK"/>
          <w:sz w:val="24"/>
          <w:szCs w:val="24"/>
        </w:rPr>
        <w:t>）</w:t>
      </w:r>
    </w:p>
    <w:p>
      <w:pPr>
        <w:pStyle w:val="3"/>
        <w:adjustRightInd w:val="0"/>
        <w:snapToGrid w:val="0"/>
        <w:spacing w:before="0" w:after="0" w:line="400" w:lineRule="exact"/>
        <w:ind w:firstLine="482" w:firstLineChars="200"/>
        <w:rPr>
          <w:rFonts w:ascii="方正仿宋_GBK" w:hAnsi="宋体" w:eastAsia="方正仿宋_GBK"/>
          <w:sz w:val="24"/>
        </w:rPr>
      </w:pPr>
      <w:bookmarkStart w:id="59" w:name="_Toc106030889"/>
      <w:bookmarkStart w:id="60" w:name="_Toc76462334"/>
      <w:r>
        <w:rPr>
          <w:rFonts w:hint="eastAsia" w:ascii="方正仿宋_GBK" w:hAnsi="宋体" w:eastAsia="方正仿宋_GBK"/>
          <w:sz w:val="24"/>
        </w:rPr>
        <w:t>二、</w:t>
      </w:r>
      <w:bookmarkStart w:id="61" w:name="_Toc342913394"/>
      <w:bookmarkStart w:id="62" w:name="_Toc102227320"/>
      <w:r>
        <w:rPr>
          <w:rFonts w:hint="eastAsia" w:ascii="方正仿宋_GBK" w:hAnsi="宋体" w:eastAsia="方正仿宋_GBK"/>
          <w:sz w:val="24"/>
        </w:rPr>
        <w:t>评审标准</w:t>
      </w:r>
      <w:bookmarkEnd w:id="59"/>
      <w:bookmarkEnd w:id="60"/>
    </w:p>
    <w:tbl>
      <w:tblPr>
        <w:tblStyle w:val="14"/>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78"/>
        <w:gridCol w:w="850"/>
        <w:gridCol w:w="3321"/>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48" w:type="dxa"/>
            <w:vAlign w:val="center"/>
          </w:tcPr>
          <w:p>
            <w:pPr>
              <w:jc w:val="center"/>
              <w:rPr>
                <w:rFonts w:ascii="微软雅黑" w:hAnsi="微软雅黑" w:eastAsia="微软雅黑" w:cs="微软雅黑"/>
                <w:sz w:val="21"/>
                <w:szCs w:val="21"/>
                <w:lang w:val="zh-CN"/>
              </w:rPr>
            </w:pPr>
            <w:bookmarkStart w:id="63" w:name="_Toc106030890"/>
            <w:bookmarkStart w:id="64" w:name="_Toc76462335"/>
            <w:r>
              <w:rPr>
                <w:rFonts w:hint="eastAsia" w:ascii="微软雅黑" w:hAnsi="微软雅黑" w:eastAsia="微软雅黑" w:cs="微软雅黑"/>
                <w:sz w:val="21"/>
                <w:szCs w:val="21"/>
                <w:lang w:val="zh-CN"/>
              </w:rPr>
              <w:t>序号</w:t>
            </w:r>
          </w:p>
        </w:tc>
        <w:tc>
          <w:tcPr>
            <w:tcW w:w="1278" w:type="dxa"/>
            <w:vAlign w:val="center"/>
          </w:tcPr>
          <w:p>
            <w:pPr>
              <w:jc w:val="center"/>
              <w:rPr>
                <w:rFonts w:ascii="微软雅黑" w:hAnsi="微软雅黑" w:eastAsia="微软雅黑" w:cs="微软雅黑"/>
                <w:sz w:val="21"/>
                <w:szCs w:val="21"/>
                <w:lang w:val="zh-CN"/>
              </w:rPr>
            </w:pPr>
            <w:r>
              <w:rPr>
                <w:rFonts w:hint="eastAsia" w:ascii="微软雅黑" w:hAnsi="微软雅黑" w:eastAsia="微软雅黑" w:cs="微软雅黑"/>
                <w:sz w:val="21"/>
                <w:szCs w:val="21"/>
                <w:lang w:val="zh-CN"/>
              </w:rPr>
              <w:t>评分因素及权值</w:t>
            </w:r>
          </w:p>
        </w:tc>
        <w:tc>
          <w:tcPr>
            <w:tcW w:w="850" w:type="dxa"/>
            <w:vAlign w:val="center"/>
          </w:tcPr>
          <w:p>
            <w:pPr>
              <w:jc w:val="center"/>
              <w:rPr>
                <w:rFonts w:ascii="微软雅黑" w:hAnsi="微软雅黑" w:eastAsia="微软雅黑" w:cs="微软雅黑"/>
                <w:sz w:val="21"/>
                <w:szCs w:val="21"/>
                <w:lang w:val="zh-CN"/>
              </w:rPr>
            </w:pPr>
            <w:r>
              <w:rPr>
                <w:rFonts w:hint="eastAsia" w:ascii="微软雅黑" w:hAnsi="微软雅黑" w:eastAsia="微软雅黑" w:cs="微软雅黑"/>
                <w:sz w:val="21"/>
                <w:szCs w:val="21"/>
                <w:lang w:val="zh-CN"/>
              </w:rPr>
              <w:t>分值</w:t>
            </w:r>
          </w:p>
        </w:tc>
        <w:tc>
          <w:tcPr>
            <w:tcW w:w="3321" w:type="dxa"/>
            <w:vAlign w:val="center"/>
          </w:tcPr>
          <w:p>
            <w:pPr>
              <w:ind w:firstLine="420" w:firstLineChars="200"/>
              <w:jc w:val="center"/>
              <w:rPr>
                <w:rFonts w:ascii="微软雅黑" w:hAnsi="微软雅黑" w:eastAsia="微软雅黑" w:cs="微软雅黑"/>
                <w:sz w:val="21"/>
                <w:szCs w:val="21"/>
                <w:lang w:val="zh-CN"/>
              </w:rPr>
            </w:pPr>
            <w:r>
              <w:rPr>
                <w:rFonts w:hint="eastAsia" w:ascii="微软雅黑" w:hAnsi="微软雅黑" w:eastAsia="微软雅黑" w:cs="微软雅黑"/>
                <w:sz w:val="21"/>
                <w:szCs w:val="21"/>
                <w:lang w:val="zh-CN"/>
              </w:rPr>
              <w:t>评分标准</w:t>
            </w:r>
          </w:p>
        </w:tc>
        <w:tc>
          <w:tcPr>
            <w:tcW w:w="2351" w:type="dxa"/>
            <w:vAlign w:val="center"/>
          </w:tcPr>
          <w:p>
            <w:pPr>
              <w:ind w:firstLine="420" w:firstLineChars="200"/>
              <w:jc w:val="center"/>
              <w:rPr>
                <w:rFonts w:ascii="微软雅黑" w:hAnsi="微软雅黑" w:eastAsia="微软雅黑" w:cs="微软雅黑"/>
                <w:sz w:val="21"/>
                <w:szCs w:val="21"/>
                <w:lang w:val="zh-CN"/>
              </w:rPr>
            </w:pPr>
            <w:r>
              <w:rPr>
                <w:rFonts w:hint="eastAsia" w:ascii="微软雅黑" w:hAnsi="微软雅黑" w:eastAsia="微软雅黑" w:cs="微软雅黑"/>
                <w:sz w:val="21"/>
                <w:szCs w:val="21"/>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Align w:val="center"/>
          </w:tcPr>
          <w:p>
            <w:pPr>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经济</w:t>
            </w:r>
          </w:p>
          <w:p>
            <w:pPr>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部分</w:t>
            </w:r>
          </w:p>
          <w:p>
            <w:pPr>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r>
              <w:rPr>
                <w:rFonts w:hint="eastAsia" w:ascii="微软雅黑" w:hAnsi="微软雅黑" w:eastAsia="微软雅黑" w:cs="微软雅黑"/>
                <w:color w:val="000000" w:themeColor="text1"/>
                <w:sz w:val="21"/>
                <w:szCs w:val="21"/>
                <w:lang w:val="zh-CN"/>
                <w14:textFill>
                  <w14:solidFill>
                    <w14:schemeClr w14:val="tx1"/>
                  </w14:solidFill>
                </w14:textFill>
              </w:rPr>
              <w:t>0）</w:t>
            </w:r>
          </w:p>
        </w:tc>
        <w:tc>
          <w:tcPr>
            <w:tcW w:w="1278" w:type="dxa"/>
            <w:vAlign w:val="center"/>
          </w:tcPr>
          <w:p>
            <w:pPr>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响应报价（</w:t>
            </w:r>
            <w:r>
              <w:rPr>
                <w:rFonts w:hint="eastAsia" w:ascii="微软雅黑" w:hAnsi="微软雅黑" w:eastAsia="微软雅黑" w:cs="微软雅黑"/>
                <w:color w:val="000000" w:themeColor="text1"/>
                <w:sz w:val="21"/>
                <w:szCs w:val="21"/>
                <w14:textFill>
                  <w14:solidFill>
                    <w14:schemeClr w14:val="tx1"/>
                  </w14:solidFill>
                </w14:textFill>
              </w:rPr>
              <w:t>2</w:t>
            </w:r>
            <w:r>
              <w:rPr>
                <w:rFonts w:hint="eastAsia" w:ascii="微软雅黑" w:hAnsi="微软雅黑" w:eastAsia="微软雅黑" w:cs="微软雅黑"/>
                <w:color w:val="000000" w:themeColor="text1"/>
                <w:sz w:val="21"/>
                <w:szCs w:val="21"/>
                <w:lang w:val="zh-CN"/>
                <w14:textFill>
                  <w14:solidFill>
                    <w14:schemeClr w14:val="tx1"/>
                  </w14:solidFill>
                </w14:textFill>
              </w:rPr>
              <w:t>0%）</w:t>
            </w:r>
          </w:p>
        </w:tc>
        <w:tc>
          <w:tcPr>
            <w:tcW w:w="850" w:type="dxa"/>
            <w:vAlign w:val="center"/>
          </w:tcPr>
          <w:p>
            <w:pPr>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r>
              <w:rPr>
                <w:rFonts w:hint="eastAsia" w:ascii="微软雅黑" w:hAnsi="微软雅黑" w:eastAsia="微软雅黑" w:cs="微软雅黑"/>
                <w:color w:val="000000" w:themeColor="text1"/>
                <w:sz w:val="21"/>
                <w:szCs w:val="21"/>
                <w:lang w:val="zh-CN"/>
                <w14:textFill>
                  <w14:solidFill>
                    <w14:schemeClr w14:val="tx1"/>
                  </w14:solidFill>
                </w14:textFill>
              </w:rPr>
              <w:t>0</w:t>
            </w:r>
          </w:p>
        </w:tc>
        <w:tc>
          <w:tcPr>
            <w:tcW w:w="3321" w:type="dxa"/>
            <w:vAlign w:val="center"/>
          </w:tcPr>
          <w:p>
            <w:pPr>
              <w:ind w:firstLine="420" w:firstLineChars="200"/>
              <w:jc w:val="lef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有效的响应报价中的最低价为评审基准价，按照下列公式计算每个响应供应商的响应价格得分。</w:t>
            </w:r>
          </w:p>
          <w:p>
            <w:pPr>
              <w:ind w:firstLine="420" w:firstLineChars="200"/>
              <w:jc w:val="lef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响应报价得分＝（评审基准价/响应报价）×价格权重×100。</w:t>
            </w:r>
          </w:p>
        </w:tc>
        <w:tc>
          <w:tcPr>
            <w:tcW w:w="2351" w:type="dxa"/>
            <w:vAlign w:val="center"/>
          </w:tcPr>
          <w:p>
            <w:pPr>
              <w:ind w:firstLine="420" w:firstLineChars="200"/>
              <w:jc w:val="left"/>
              <w:rPr>
                <w:rFonts w:ascii="微软雅黑" w:hAnsi="微软雅黑" w:eastAsia="微软雅黑" w:cs="微软雅黑"/>
                <w:color w:val="000000" w:themeColor="text1"/>
                <w:sz w:val="2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48" w:type="dxa"/>
            <w:vMerge w:val="restart"/>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14:textFill>
                  <w14:solidFill>
                    <w14:schemeClr w14:val="tx1"/>
                  </w14:solidFill>
                </w14:textFill>
              </w:rPr>
            </w:pPr>
          </w:p>
          <w:p>
            <w:pPr>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w:t>
            </w:r>
            <w:r>
              <w:rPr>
                <w:rFonts w:hint="eastAsia" w:ascii="微软雅黑" w:hAnsi="微软雅黑" w:eastAsia="微软雅黑" w:cs="微软雅黑"/>
                <w:color w:val="000000" w:themeColor="text1"/>
                <w:sz w:val="21"/>
                <w:szCs w:val="21"/>
                <w:lang w:val="zh-CN"/>
                <w14:textFill>
                  <w14:solidFill>
                    <w14:schemeClr w14:val="tx1"/>
                  </w14:solidFill>
                </w14:textFill>
              </w:rPr>
              <w:t>部分（</w:t>
            </w:r>
            <w:r>
              <w:rPr>
                <w:rFonts w:hint="eastAsia" w:ascii="微软雅黑" w:hAnsi="微软雅黑" w:eastAsia="微软雅黑" w:cs="微软雅黑"/>
                <w:color w:val="000000" w:themeColor="text1"/>
                <w:sz w:val="21"/>
                <w:szCs w:val="21"/>
                <w14:textFill>
                  <w14:solidFill>
                    <w14:schemeClr w14:val="tx1"/>
                  </w14:solidFill>
                </w14:textFill>
              </w:rPr>
              <w:t>策划</w:t>
            </w:r>
            <w:r>
              <w:rPr>
                <w:rFonts w:hint="eastAsia" w:ascii="微软雅黑" w:hAnsi="微软雅黑" w:eastAsia="微软雅黑" w:cs="微软雅黑"/>
                <w:color w:val="000000" w:themeColor="text1"/>
                <w:sz w:val="21"/>
                <w:szCs w:val="21"/>
                <w:lang w:val="zh-CN"/>
                <w14:textFill>
                  <w14:solidFill>
                    <w14:schemeClr w14:val="tx1"/>
                  </w14:solidFill>
                </w14:textFill>
              </w:rPr>
              <w:t>方案）（</w:t>
            </w:r>
            <w:r>
              <w:rPr>
                <w:rFonts w:ascii="微软雅黑" w:hAnsi="微软雅黑" w:eastAsia="微软雅黑" w:cs="微软雅黑"/>
                <w:color w:val="000000" w:themeColor="text1"/>
                <w:sz w:val="21"/>
                <w:szCs w:val="21"/>
                <w14:textFill>
                  <w14:solidFill>
                    <w14:schemeClr w14:val="tx1"/>
                  </w14:solidFill>
                </w14:textFill>
              </w:rPr>
              <w:t>4</w:t>
            </w:r>
            <w:r>
              <w:rPr>
                <w:rFonts w:hint="eastAsia" w:ascii="微软雅黑" w:hAnsi="微软雅黑" w:eastAsia="微软雅黑" w:cs="微软雅黑"/>
                <w:color w:val="000000" w:themeColor="text1"/>
                <w:sz w:val="21"/>
                <w:szCs w:val="21"/>
                <w14:textFill>
                  <w14:solidFill>
                    <w14:schemeClr w14:val="tx1"/>
                  </w14:solidFill>
                </w14:textFill>
              </w:rPr>
              <w:t>0</w:t>
            </w:r>
            <w:r>
              <w:rPr>
                <w:rFonts w:hint="eastAsia" w:ascii="微软雅黑" w:hAnsi="微软雅黑" w:eastAsia="微软雅黑" w:cs="微软雅黑"/>
                <w:color w:val="000000" w:themeColor="text1"/>
                <w:sz w:val="21"/>
                <w:szCs w:val="21"/>
                <w:lang w:val="zh-CN"/>
                <w14:textFill>
                  <w14:solidFill>
                    <w14:schemeClr w14:val="tx1"/>
                  </w14:solidFill>
                </w14:textFill>
              </w:rPr>
              <w:t>）</w:t>
            </w:r>
          </w:p>
        </w:tc>
        <w:tc>
          <w:tcPr>
            <w:tcW w:w="7800" w:type="dxa"/>
            <w:gridSpan w:val="4"/>
            <w:vAlign w:val="center"/>
          </w:tcPr>
          <w:p>
            <w:pPr>
              <w:ind w:firstLine="420" w:firstLineChars="200"/>
              <w:jc w:val="left"/>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848" w:type="dxa"/>
            <w:vMerge w:val="continue"/>
            <w:vAlign w:val="center"/>
          </w:tcPr>
          <w:p>
            <w:pPr>
              <w:ind w:firstLine="420" w:firstLineChars="200"/>
              <w:jc w:val="center"/>
              <w:rPr>
                <w:rFonts w:ascii="微软雅黑" w:hAnsi="微软雅黑" w:eastAsia="微软雅黑" w:cs="微软雅黑"/>
                <w:color w:val="000000" w:themeColor="text1"/>
                <w:sz w:val="21"/>
                <w:szCs w:val="21"/>
                <w:lang w:val="zh-CN"/>
                <w14:textFill>
                  <w14:solidFill>
                    <w14:schemeClr w14:val="tx1"/>
                  </w14:solidFill>
                </w14:textFill>
              </w:rPr>
            </w:pPr>
          </w:p>
        </w:tc>
        <w:tc>
          <w:tcPr>
            <w:tcW w:w="1278" w:type="dxa"/>
            <w:vAlign w:val="center"/>
          </w:tcPr>
          <w:p>
            <w:pPr>
              <w:snapToGrid w:val="0"/>
              <w:spacing w:line="0" w:lineRule="atLeast"/>
              <w:jc w:val="lef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区位和策划背景（</w:t>
            </w:r>
            <w:r>
              <w:rPr>
                <w:rFonts w:ascii="微软雅黑" w:hAnsi="微软雅黑" w:eastAsia="微软雅黑" w:cs="微软雅黑"/>
                <w:color w:val="000000" w:themeColor="text1"/>
                <w:sz w:val="21"/>
                <w:szCs w:val="21"/>
                <w14:textFill>
                  <w14:solidFill>
                    <w14:schemeClr w14:val="tx1"/>
                  </w14:solidFill>
                </w14:textFill>
              </w:rPr>
              <w:t>3</w:t>
            </w:r>
            <w:r>
              <w:rPr>
                <w:rFonts w:hint="eastAsia" w:ascii="微软雅黑" w:hAnsi="微软雅黑" w:eastAsia="微软雅黑" w:cs="微软雅黑"/>
                <w:color w:val="000000" w:themeColor="text1"/>
                <w:sz w:val="21"/>
                <w:szCs w:val="21"/>
                <w14:textFill>
                  <w14:solidFill>
                    <w14:schemeClr w14:val="tx1"/>
                  </w14:solidFill>
                </w14:textFill>
              </w:rPr>
              <w:t>%）</w:t>
            </w:r>
          </w:p>
        </w:tc>
        <w:tc>
          <w:tcPr>
            <w:tcW w:w="850" w:type="dxa"/>
            <w:vAlign w:val="center"/>
          </w:tcPr>
          <w:p>
            <w:pPr>
              <w:snapToGrid w:val="0"/>
              <w:spacing w:line="0" w:lineRule="atLeast"/>
              <w:ind w:firstLine="210" w:firstLineChars="100"/>
              <w:jc w:val="left"/>
              <w:rPr>
                <w:rFonts w:ascii="微软雅黑" w:hAnsi="微软雅黑" w:eastAsia="微软雅黑" w:cs="微软雅黑"/>
                <w:color w:val="000000" w:themeColor="text1"/>
                <w:sz w:val="21"/>
                <w:szCs w:val="21"/>
                <w:lang w:val="zh-CN"/>
                <w14:textFill>
                  <w14:solidFill>
                    <w14:schemeClr w14:val="tx1"/>
                  </w14:solidFill>
                </w14:textFill>
              </w:rPr>
            </w:pPr>
            <w:r>
              <w:rPr>
                <w:rFonts w:ascii="微软雅黑" w:hAnsi="微软雅黑" w:eastAsia="微软雅黑" w:cs="微软雅黑"/>
                <w:color w:val="000000" w:themeColor="text1"/>
                <w:sz w:val="21"/>
                <w:szCs w:val="21"/>
                <w14:textFill>
                  <w14:solidFill>
                    <w14:schemeClr w14:val="tx1"/>
                  </w14:solidFill>
                </w14:textFill>
              </w:rPr>
              <w:t>3</w:t>
            </w:r>
          </w:p>
        </w:tc>
        <w:tc>
          <w:tcPr>
            <w:tcW w:w="3321" w:type="dxa"/>
            <w:vAlign w:val="center"/>
          </w:tcPr>
          <w:p>
            <w:pPr>
              <w:snapToGrid w:val="0"/>
              <w:spacing w:line="0" w:lineRule="atLeast"/>
              <w:ind w:firstLine="210" w:firstLineChars="100"/>
              <w:jc w:val="lef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对国家、重庆及沙坪坝区等层面的城市更新与相关政策研究准确，对上位规划解读全面、系统。满分</w:t>
            </w:r>
            <w:r>
              <w:rPr>
                <w:rFonts w:ascii="微软雅黑" w:hAnsi="微软雅黑" w:eastAsia="微软雅黑" w:cs="微软雅黑"/>
                <w:color w:val="000000" w:themeColor="text1"/>
                <w:sz w:val="21"/>
                <w:szCs w:val="21"/>
                <w14:textFill>
                  <w14:solidFill>
                    <w14:schemeClr w14:val="tx1"/>
                  </w14:solidFill>
                </w14:textFill>
              </w:rPr>
              <w:t>3</w:t>
            </w:r>
            <w:r>
              <w:rPr>
                <w:rFonts w:hint="eastAsia" w:ascii="微软雅黑" w:hAnsi="微软雅黑" w:eastAsia="微软雅黑" w:cs="微软雅黑"/>
                <w:color w:val="000000" w:themeColor="text1"/>
                <w:sz w:val="21"/>
                <w:szCs w:val="21"/>
                <w14:textFill>
                  <w14:solidFill>
                    <w14:schemeClr w14:val="tx1"/>
                  </w14:solidFill>
                </w14:textFill>
              </w:rPr>
              <w:t>分（优</w:t>
            </w:r>
            <w:r>
              <w:rPr>
                <w:rFonts w:ascii="微软雅黑" w:hAnsi="微软雅黑" w:eastAsia="微软雅黑" w:cs="微软雅黑"/>
                <w:color w:val="000000" w:themeColor="text1"/>
                <w:sz w:val="21"/>
                <w:szCs w:val="21"/>
                <w14:textFill>
                  <w14:solidFill>
                    <w14:schemeClr w14:val="tx1"/>
                  </w14:solidFill>
                </w14:textFill>
              </w:rPr>
              <w:t>3</w:t>
            </w:r>
            <w:r>
              <w:rPr>
                <w:rFonts w:hint="eastAsia" w:ascii="微软雅黑" w:hAnsi="微软雅黑" w:eastAsia="微软雅黑" w:cs="微软雅黑"/>
                <w:color w:val="000000" w:themeColor="text1"/>
                <w:sz w:val="21"/>
                <w:szCs w:val="21"/>
                <w14:textFill>
                  <w14:solidFill>
                    <w14:schemeClr w14:val="tx1"/>
                  </w14:solidFill>
                </w14:textFill>
              </w:rPr>
              <w:t>分，良</w:t>
            </w:r>
            <w:r>
              <w:rPr>
                <w:rFonts w:ascii="微软雅黑" w:hAnsi="微软雅黑" w:eastAsia="微软雅黑" w:cs="微软雅黑"/>
                <w:color w:val="000000" w:themeColor="text1"/>
                <w:sz w:val="21"/>
                <w:szCs w:val="21"/>
                <w14:textFill>
                  <w14:solidFill>
                    <w14:schemeClr w14:val="tx1"/>
                  </w14:solidFill>
                </w14:textFill>
              </w:rPr>
              <w:t>2</w:t>
            </w:r>
            <w:r>
              <w:rPr>
                <w:rFonts w:hint="eastAsia" w:ascii="微软雅黑" w:hAnsi="微软雅黑" w:eastAsia="微软雅黑" w:cs="微软雅黑"/>
                <w:color w:val="000000" w:themeColor="text1"/>
                <w:sz w:val="21"/>
                <w:szCs w:val="21"/>
                <w14:textFill>
                  <w14:solidFill>
                    <w14:schemeClr w14:val="tx1"/>
                  </w14:solidFill>
                </w14:textFill>
              </w:rPr>
              <w:t>分，一般</w:t>
            </w:r>
            <w:r>
              <w:rPr>
                <w:rFonts w:ascii="微软雅黑" w:hAnsi="微软雅黑" w:eastAsia="微软雅黑" w:cs="微软雅黑"/>
                <w:color w:val="000000" w:themeColor="text1"/>
                <w:sz w:val="21"/>
                <w:szCs w:val="21"/>
                <w14:textFill>
                  <w14:solidFill>
                    <w14:schemeClr w14:val="tx1"/>
                  </w14:solidFill>
                </w14:textFill>
              </w:rPr>
              <w:t>1</w:t>
            </w:r>
            <w:r>
              <w:rPr>
                <w:rFonts w:hint="eastAsia" w:ascii="微软雅黑" w:hAnsi="微软雅黑" w:eastAsia="微软雅黑" w:cs="微软雅黑"/>
                <w:color w:val="000000" w:themeColor="text1"/>
                <w:sz w:val="21"/>
                <w:szCs w:val="21"/>
                <w14:textFill>
                  <w14:solidFill>
                    <w14:schemeClr w14:val="tx1"/>
                  </w14:solidFill>
                </w14:textFill>
              </w:rPr>
              <w:t>分，未提供或较差的0分）。</w:t>
            </w:r>
          </w:p>
        </w:tc>
        <w:tc>
          <w:tcPr>
            <w:tcW w:w="2351" w:type="dxa"/>
            <w:vAlign w:val="center"/>
          </w:tcPr>
          <w:p>
            <w:pPr>
              <w:snapToGrid w:val="0"/>
              <w:spacing w:line="0" w:lineRule="atLeast"/>
              <w:jc w:val="left"/>
              <w:rPr>
                <w:rFonts w:ascii="方正仿宋_GBK" w:hAnsi="宋体" w:eastAsia="方正仿宋_GBK"/>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磋磋商小组成员根据响应供应商提供的策划方案独立评分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848" w:type="dxa"/>
            <w:vMerge w:val="continue"/>
            <w:vAlign w:val="center"/>
          </w:tcPr>
          <w:p>
            <w:pPr>
              <w:ind w:firstLine="420" w:firstLineChars="200"/>
              <w:jc w:val="center"/>
              <w:rPr>
                <w:rFonts w:ascii="微软雅黑" w:hAnsi="微软雅黑" w:eastAsia="微软雅黑" w:cs="微软雅黑"/>
                <w:color w:val="000000" w:themeColor="text1"/>
                <w:sz w:val="21"/>
                <w:szCs w:val="21"/>
                <w:lang w:val="zh-CN"/>
                <w14:textFill>
                  <w14:solidFill>
                    <w14:schemeClr w14:val="tx1"/>
                  </w14:solidFill>
                </w14:textFill>
              </w:rPr>
            </w:pPr>
          </w:p>
        </w:tc>
        <w:tc>
          <w:tcPr>
            <w:tcW w:w="1278" w:type="dxa"/>
            <w:vAlign w:val="center"/>
          </w:tcPr>
          <w:p>
            <w:pPr>
              <w:snapToGrid w:val="0"/>
              <w:spacing w:line="0" w:lineRule="atLeas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片区现状（</w:t>
            </w:r>
            <w:r>
              <w:rPr>
                <w:rFonts w:ascii="微软雅黑" w:hAnsi="微软雅黑" w:eastAsia="微软雅黑" w:cs="微软雅黑"/>
                <w:color w:val="000000" w:themeColor="text1"/>
                <w:sz w:val="21"/>
                <w:szCs w:val="21"/>
                <w14:textFill>
                  <w14:solidFill>
                    <w14:schemeClr w14:val="tx1"/>
                  </w14:solidFill>
                </w14:textFill>
              </w:rPr>
              <w:t>12</w:t>
            </w:r>
            <w:r>
              <w:rPr>
                <w:rFonts w:hint="eastAsia" w:ascii="微软雅黑" w:hAnsi="微软雅黑" w:eastAsia="微软雅黑" w:cs="微软雅黑"/>
                <w:color w:val="000000" w:themeColor="text1"/>
                <w:sz w:val="21"/>
                <w:szCs w:val="21"/>
                <w14:textFill>
                  <w14:solidFill>
                    <w14:schemeClr w14:val="tx1"/>
                  </w14:solidFill>
                </w14:textFill>
              </w:rPr>
              <w:t>%）</w:t>
            </w:r>
          </w:p>
        </w:tc>
        <w:tc>
          <w:tcPr>
            <w:tcW w:w="850" w:type="dxa"/>
            <w:vAlign w:val="center"/>
          </w:tcPr>
          <w:p>
            <w:pPr>
              <w:snapToGrid w:val="0"/>
              <w:spacing w:line="0" w:lineRule="atLeast"/>
              <w:ind w:firstLine="210" w:firstLineChars="100"/>
              <w:jc w:val="left"/>
              <w:rPr>
                <w:rFonts w:ascii="微软雅黑" w:hAnsi="微软雅黑" w:eastAsia="微软雅黑" w:cs="微软雅黑"/>
                <w:color w:val="000000" w:themeColor="text1"/>
                <w:sz w:val="21"/>
                <w:szCs w:val="21"/>
                <w:lang w:val="zh-CN"/>
                <w14:textFill>
                  <w14:solidFill>
                    <w14:schemeClr w14:val="tx1"/>
                  </w14:solidFill>
                </w14:textFill>
              </w:rPr>
            </w:pPr>
            <w:r>
              <w:rPr>
                <w:rFonts w:ascii="微软雅黑" w:hAnsi="微软雅黑" w:eastAsia="微软雅黑" w:cs="微软雅黑"/>
                <w:color w:val="000000" w:themeColor="text1"/>
                <w:sz w:val="21"/>
                <w:szCs w:val="21"/>
                <w14:textFill>
                  <w14:solidFill>
                    <w14:schemeClr w14:val="tx1"/>
                  </w14:solidFill>
                </w14:textFill>
              </w:rPr>
              <w:t>12</w:t>
            </w:r>
          </w:p>
        </w:tc>
        <w:tc>
          <w:tcPr>
            <w:tcW w:w="3321" w:type="dxa"/>
            <w:vAlign w:val="center"/>
          </w:tcPr>
          <w:p>
            <w:pPr>
              <w:snapToGrid w:val="0"/>
              <w:spacing w:line="0" w:lineRule="atLeast"/>
              <w:ind w:firstLine="210" w:firstLineChars="100"/>
              <w:jc w:val="lef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对片区现状土地利用和现状建筑了解充分，对片区产业发展、道路交通、公共服务设施、历史文化遗产、生态环境等分析准确。满分1</w:t>
            </w:r>
            <w:r>
              <w:rPr>
                <w:rFonts w:ascii="微软雅黑" w:hAnsi="微软雅黑" w:eastAsia="微软雅黑" w:cs="微软雅黑"/>
                <w:color w:val="000000" w:themeColor="text1"/>
                <w:sz w:val="21"/>
                <w:szCs w:val="21"/>
                <w14:textFill>
                  <w14:solidFill>
                    <w14:schemeClr w14:val="tx1"/>
                  </w14:solidFill>
                </w14:textFill>
              </w:rPr>
              <w:t>2</w:t>
            </w:r>
            <w:r>
              <w:rPr>
                <w:rFonts w:hint="eastAsia" w:ascii="微软雅黑" w:hAnsi="微软雅黑" w:eastAsia="微软雅黑" w:cs="微软雅黑"/>
                <w:color w:val="000000" w:themeColor="text1"/>
                <w:sz w:val="21"/>
                <w:szCs w:val="21"/>
                <w14:textFill>
                  <w14:solidFill>
                    <w14:schemeClr w14:val="tx1"/>
                  </w14:solidFill>
                </w14:textFill>
              </w:rPr>
              <w:t>分（优</w:t>
            </w:r>
            <w:r>
              <w:rPr>
                <w:rFonts w:ascii="微软雅黑" w:hAnsi="微软雅黑" w:eastAsia="微软雅黑" w:cs="微软雅黑"/>
                <w:color w:val="000000" w:themeColor="text1"/>
                <w:sz w:val="21"/>
                <w:szCs w:val="21"/>
                <w14:textFill>
                  <w14:solidFill>
                    <w14:schemeClr w14:val="tx1"/>
                  </w14:solidFill>
                </w14:textFill>
              </w:rPr>
              <w:t>12</w:t>
            </w:r>
            <w:r>
              <w:rPr>
                <w:rFonts w:hint="eastAsia" w:ascii="微软雅黑" w:hAnsi="微软雅黑" w:eastAsia="微软雅黑" w:cs="微软雅黑"/>
                <w:color w:val="000000" w:themeColor="text1"/>
                <w:sz w:val="21"/>
                <w:szCs w:val="21"/>
                <w14:textFill>
                  <w14:solidFill>
                    <w14:schemeClr w14:val="tx1"/>
                  </w14:solidFill>
                </w14:textFill>
              </w:rPr>
              <w:t>分，良</w:t>
            </w:r>
            <w:r>
              <w:rPr>
                <w:rFonts w:ascii="微软雅黑" w:hAnsi="微软雅黑" w:eastAsia="微软雅黑" w:cs="微软雅黑"/>
                <w:color w:val="000000" w:themeColor="text1"/>
                <w:sz w:val="21"/>
                <w:szCs w:val="21"/>
                <w14:textFill>
                  <w14:solidFill>
                    <w14:schemeClr w14:val="tx1"/>
                  </w14:solidFill>
                </w14:textFill>
              </w:rPr>
              <w:t>8</w:t>
            </w:r>
            <w:r>
              <w:rPr>
                <w:rFonts w:hint="eastAsia" w:ascii="微软雅黑" w:hAnsi="微软雅黑" w:eastAsia="微软雅黑" w:cs="微软雅黑"/>
                <w:color w:val="000000" w:themeColor="text1"/>
                <w:sz w:val="21"/>
                <w:szCs w:val="21"/>
                <w14:textFill>
                  <w14:solidFill>
                    <w14:schemeClr w14:val="tx1"/>
                  </w14:solidFill>
                </w14:textFill>
              </w:rPr>
              <w:t>分，一般</w:t>
            </w:r>
            <w:r>
              <w:rPr>
                <w:rFonts w:ascii="微软雅黑" w:hAnsi="微软雅黑" w:eastAsia="微软雅黑" w:cs="微软雅黑"/>
                <w:color w:val="000000" w:themeColor="text1"/>
                <w:sz w:val="21"/>
                <w:szCs w:val="21"/>
                <w14:textFill>
                  <w14:solidFill>
                    <w14:schemeClr w14:val="tx1"/>
                  </w14:solidFill>
                </w14:textFill>
              </w:rPr>
              <w:t>4</w:t>
            </w:r>
            <w:r>
              <w:rPr>
                <w:rFonts w:hint="eastAsia" w:ascii="微软雅黑" w:hAnsi="微软雅黑" w:eastAsia="微软雅黑" w:cs="微软雅黑"/>
                <w:color w:val="000000" w:themeColor="text1"/>
                <w:sz w:val="21"/>
                <w:szCs w:val="21"/>
                <w14:textFill>
                  <w14:solidFill>
                    <w14:schemeClr w14:val="tx1"/>
                  </w14:solidFill>
                </w14:textFill>
              </w:rPr>
              <w:t>分，未提供或较差的0分）。</w:t>
            </w:r>
          </w:p>
        </w:tc>
        <w:tc>
          <w:tcPr>
            <w:tcW w:w="2351" w:type="dxa"/>
            <w:vAlign w:val="center"/>
          </w:tcPr>
          <w:p>
            <w:pPr>
              <w:snapToGrid w:val="0"/>
              <w:spacing w:line="0" w:lineRule="atLeast"/>
              <w:jc w:val="left"/>
              <w:rPr>
                <w:rFonts w:ascii="方正仿宋_GBK" w:hAnsi="宋体" w:eastAsia="方正仿宋_GBK"/>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磋商小组成员根据响应供应商提供的策划方案独立评分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48" w:type="dxa"/>
            <w:vMerge w:val="continue"/>
            <w:vAlign w:val="center"/>
          </w:tcPr>
          <w:p>
            <w:pPr>
              <w:spacing w:line="390" w:lineRule="exact"/>
              <w:ind w:firstLine="480" w:firstLineChars="200"/>
              <w:jc w:val="center"/>
              <w:rPr>
                <w:rFonts w:ascii="方正仿宋_GBK" w:hAnsi="宋体" w:eastAsia="方正仿宋_GBK"/>
                <w:color w:val="000000" w:themeColor="text1"/>
                <w:sz w:val="24"/>
                <w:szCs w:val="24"/>
                <w:lang w:val="zh-CN"/>
                <w14:textFill>
                  <w14:solidFill>
                    <w14:schemeClr w14:val="tx1"/>
                  </w14:solidFill>
                </w14:textFill>
              </w:rPr>
            </w:pPr>
          </w:p>
        </w:tc>
        <w:tc>
          <w:tcPr>
            <w:tcW w:w="1278" w:type="dxa"/>
            <w:vAlign w:val="center"/>
          </w:tcPr>
          <w:p>
            <w:pPr>
              <w:snapToGrid w:val="0"/>
              <w:spacing w:line="0" w:lineRule="atLeast"/>
              <w:jc w:val="center"/>
              <w:rPr>
                <w:rFonts w:ascii="方正仿宋_GBK" w:hAnsi="宋体" w:eastAsia="方正仿宋_GBK"/>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更新资源识别（</w:t>
            </w:r>
            <w:r>
              <w:rPr>
                <w:rFonts w:ascii="微软雅黑" w:hAnsi="微软雅黑" w:eastAsia="微软雅黑" w:cs="微软雅黑"/>
                <w:color w:val="000000" w:themeColor="text1"/>
                <w:sz w:val="21"/>
                <w:szCs w:val="21"/>
                <w14:textFill>
                  <w14:solidFill>
                    <w14:schemeClr w14:val="tx1"/>
                  </w14:solidFill>
                </w14:textFill>
              </w:rPr>
              <w:t>3</w:t>
            </w:r>
            <w:r>
              <w:rPr>
                <w:rFonts w:hint="eastAsia" w:ascii="微软雅黑" w:hAnsi="微软雅黑" w:eastAsia="微软雅黑" w:cs="微软雅黑"/>
                <w:color w:val="000000" w:themeColor="text1"/>
                <w:sz w:val="21"/>
                <w:szCs w:val="21"/>
                <w14:textFill>
                  <w14:solidFill>
                    <w14:schemeClr w14:val="tx1"/>
                  </w14:solidFill>
                </w14:textFill>
              </w:rPr>
              <w:t>%）</w:t>
            </w:r>
          </w:p>
        </w:tc>
        <w:tc>
          <w:tcPr>
            <w:tcW w:w="850" w:type="dxa"/>
            <w:vAlign w:val="center"/>
          </w:tcPr>
          <w:p>
            <w:pPr>
              <w:snapToGrid w:val="0"/>
              <w:spacing w:line="0" w:lineRule="atLeast"/>
              <w:jc w:val="center"/>
              <w:rPr>
                <w:rFonts w:ascii="方正仿宋_GBK" w:hAnsi="宋体" w:eastAsia="方正仿宋_GBK"/>
                <w:color w:val="000000" w:themeColor="text1"/>
                <w:sz w:val="24"/>
                <w:szCs w:val="24"/>
                <w:lang w:val="zh-CN"/>
                <w14:textFill>
                  <w14:solidFill>
                    <w14:schemeClr w14:val="tx1"/>
                  </w14:solidFill>
                </w14:textFill>
              </w:rPr>
            </w:pPr>
            <w:r>
              <w:rPr>
                <w:rFonts w:ascii="微软雅黑" w:hAnsi="微软雅黑" w:eastAsia="微软雅黑" w:cs="微软雅黑"/>
                <w:color w:val="000000" w:themeColor="text1"/>
                <w:sz w:val="21"/>
                <w:szCs w:val="21"/>
                <w14:textFill>
                  <w14:solidFill>
                    <w14:schemeClr w14:val="tx1"/>
                  </w14:solidFill>
                </w14:textFill>
              </w:rPr>
              <w:t>3</w:t>
            </w:r>
          </w:p>
        </w:tc>
        <w:tc>
          <w:tcPr>
            <w:tcW w:w="3321" w:type="dxa"/>
            <w:vAlign w:val="center"/>
          </w:tcPr>
          <w:p>
            <w:pPr>
              <w:snapToGrid w:val="0"/>
              <w:spacing w:line="0" w:lineRule="atLeast"/>
              <w:ind w:firstLine="210" w:firstLineChars="100"/>
              <w:jc w:val="left"/>
              <w:rPr>
                <w:rFonts w:ascii="方正仿宋_GBK" w:hAnsi="宋体" w:eastAsia="方正仿宋_GBK"/>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能科学合理识别片区内土地、建筑等城市更新资源。满分</w:t>
            </w:r>
            <w:r>
              <w:rPr>
                <w:rFonts w:ascii="微软雅黑" w:hAnsi="微软雅黑" w:eastAsia="微软雅黑" w:cs="微软雅黑"/>
                <w:color w:val="000000" w:themeColor="text1"/>
                <w:sz w:val="21"/>
                <w:szCs w:val="21"/>
                <w14:textFill>
                  <w14:solidFill>
                    <w14:schemeClr w14:val="tx1"/>
                  </w14:solidFill>
                </w14:textFill>
              </w:rPr>
              <w:t>3</w:t>
            </w:r>
            <w:r>
              <w:rPr>
                <w:rFonts w:hint="eastAsia" w:ascii="微软雅黑" w:hAnsi="微软雅黑" w:eastAsia="微软雅黑" w:cs="微软雅黑"/>
                <w:color w:val="000000" w:themeColor="text1"/>
                <w:sz w:val="21"/>
                <w:szCs w:val="21"/>
                <w14:textFill>
                  <w14:solidFill>
                    <w14:schemeClr w14:val="tx1"/>
                  </w14:solidFill>
                </w14:textFill>
              </w:rPr>
              <w:t>分（优</w:t>
            </w:r>
            <w:r>
              <w:rPr>
                <w:rFonts w:ascii="微软雅黑" w:hAnsi="微软雅黑" w:eastAsia="微软雅黑" w:cs="微软雅黑"/>
                <w:color w:val="000000" w:themeColor="text1"/>
                <w:sz w:val="21"/>
                <w:szCs w:val="21"/>
                <w14:textFill>
                  <w14:solidFill>
                    <w14:schemeClr w14:val="tx1"/>
                  </w14:solidFill>
                </w14:textFill>
              </w:rPr>
              <w:t>3</w:t>
            </w:r>
            <w:r>
              <w:rPr>
                <w:rFonts w:hint="eastAsia" w:ascii="微软雅黑" w:hAnsi="微软雅黑" w:eastAsia="微软雅黑" w:cs="微软雅黑"/>
                <w:color w:val="000000" w:themeColor="text1"/>
                <w:sz w:val="21"/>
                <w:szCs w:val="21"/>
                <w14:textFill>
                  <w14:solidFill>
                    <w14:schemeClr w14:val="tx1"/>
                  </w14:solidFill>
                </w14:textFill>
              </w:rPr>
              <w:t>分，良</w:t>
            </w:r>
            <w:r>
              <w:rPr>
                <w:rFonts w:ascii="微软雅黑" w:hAnsi="微软雅黑" w:eastAsia="微软雅黑" w:cs="微软雅黑"/>
                <w:color w:val="000000" w:themeColor="text1"/>
                <w:sz w:val="21"/>
                <w:szCs w:val="21"/>
                <w14:textFill>
                  <w14:solidFill>
                    <w14:schemeClr w14:val="tx1"/>
                  </w14:solidFill>
                </w14:textFill>
              </w:rPr>
              <w:t>2</w:t>
            </w:r>
            <w:r>
              <w:rPr>
                <w:rFonts w:hint="eastAsia" w:ascii="微软雅黑" w:hAnsi="微软雅黑" w:eastAsia="微软雅黑" w:cs="微软雅黑"/>
                <w:color w:val="000000" w:themeColor="text1"/>
                <w:sz w:val="21"/>
                <w:szCs w:val="21"/>
                <w14:textFill>
                  <w14:solidFill>
                    <w14:schemeClr w14:val="tx1"/>
                  </w14:solidFill>
                </w14:textFill>
              </w:rPr>
              <w:t>分，一般</w:t>
            </w:r>
            <w:r>
              <w:rPr>
                <w:rFonts w:ascii="微软雅黑" w:hAnsi="微软雅黑" w:eastAsia="微软雅黑" w:cs="微软雅黑"/>
                <w:color w:val="000000" w:themeColor="text1"/>
                <w:sz w:val="21"/>
                <w:szCs w:val="21"/>
                <w14:textFill>
                  <w14:solidFill>
                    <w14:schemeClr w14:val="tx1"/>
                  </w14:solidFill>
                </w14:textFill>
              </w:rPr>
              <w:t>1</w:t>
            </w:r>
            <w:r>
              <w:rPr>
                <w:rFonts w:hint="eastAsia" w:ascii="微软雅黑" w:hAnsi="微软雅黑" w:eastAsia="微软雅黑" w:cs="微软雅黑"/>
                <w:color w:val="000000" w:themeColor="text1"/>
                <w:sz w:val="21"/>
                <w:szCs w:val="21"/>
                <w14:textFill>
                  <w14:solidFill>
                    <w14:schemeClr w14:val="tx1"/>
                  </w14:solidFill>
                </w14:textFill>
              </w:rPr>
              <w:t>分，未提供或较差的0分）。</w:t>
            </w:r>
          </w:p>
        </w:tc>
        <w:tc>
          <w:tcPr>
            <w:tcW w:w="2351" w:type="dxa"/>
          </w:tcPr>
          <w:p>
            <w:pPr>
              <w:topLinePunct/>
              <w:autoSpaceDN w:val="0"/>
              <w:adjustRightInd w:val="0"/>
              <w:snapToGrid w:val="0"/>
              <w:spacing w:line="0" w:lineRule="atLeast"/>
              <w:rPr>
                <w:rFonts w:ascii="方正仿宋_GBK" w:hAnsi="宋体" w:eastAsia="方正仿宋_GBK"/>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磋商小组成员根据响应供应商提供的策划方案独立评分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848" w:type="dxa"/>
            <w:vMerge w:val="continue"/>
            <w:vAlign w:val="center"/>
          </w:tcPr>
          <w:p>
            <w:pPr>
              <w:spacing w:line="390" w:lineRule="exact"/>
              <w:ind w:firstLine="480" w:firstLineChars="200"/>
              <w:jc w:val="center"/>
              <w:rPr>
                <w:rFonts w:ascii="方正仿宋_GBK" w:hAnsi="宋体" w:eastAsia="方正仿宋_GBK"/>
                <w:color w:val="000000" w:themeColor="text1"/>
                <w:sz w:val="24"/>
                <w:szCs w:val="24"/>
                <w:lang w:val="zh-CN"/>
                <w14:textFill>
                  <w14:solidFill>
                    <w14:schemeClr w14:val="tx1"/>
                  </w14:solidFill>
                </w14:textFill>
              </w:rPr>
            </w:pPr>
          </w:p>
        </w:tc>
        <w:tc>
          <w:tcPr>
            <w:tcW w:w="1278" w:type="dxa"/>
            <w:vAlign w:val="center"/>
          </w:tcPr>
          <w:p>
            <w:pPr>
              <w:snapToGrid w:val="0"/>
              <w:spacing w:line="0" w:lineRule="atLeast"/>
              <w:jc w:val="center"/>
              <w:rPr>
                <w:rFonts w:ascii="方正仿宋_GBK" w:hAnsi="宋体" w:eastAsia="方正仿宋_GBK"/>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片区更新指引（</w:t>
            </w:r>
            <w:r>
              <w:rPr>
                <w:rFonts w:ascii="微软雅黑" w:hAnsi="微软雅黑" w:eastAsia="微软雅黑" w:cs="微软雅黑"/>
                <w:color w:val="000000" w:themeColor="text1"/>
                <w:sz w:val="21"/>
                <w:szCs w:val="21"/>
                <w14:textFill>
                  <w14:solidFill>
                    <w14:schemeClr w14:val="tx1"/>
                  </w14:solidFill>
                </w14:textFill>
              </w:rPr>
              <w:t>7</w:t>
            </w:r>
            <w:r>
              <w:rPr>
                <w:rFonts w:hint="eastAsia" w:ascii="微软雅黑" w:hAnsi="微软雅黑" w:eastAsia="微软雅黑" w:cs="微软雅黑"/>
                <w:color w:val="000000" w:themeColor="text1"/>
                <w:sz w:val="21"/>
                <w:szCs w:val="21"/>
                <w14:textFill>
                  <w14:solidFill>
                    <w14:schemeClr w14:val="tx1"/>
                  </w14:solidFill>
                </w14:textFill>
              </w:rPr>
              <w:t>%）</w:t>
            </w:r>
          </w:p>
        </w:tc>
        <w:tc>
          <w:tcPr>
            <w:tcW w:w="850" w:type="dxa"/>
            <w:vAlign w:val="center"/>
          </w:tcPr>
          <w:p>
            <w:pPr>
              <w:snapToGrid w:val="0"/>
              <w:spacing w:line="0" w:lineRule="atLeast"/>
              <w:jc w:val="center"/>
              <w:rPr>
                <w:rFonts w:ascii="方正仿宋_GBK" w:hAnsi="宋体" w:eastAsia="方正仿宋_GBK"/>
                <w:color w:val="000000" w:themeColor="text1"/>
                <w:sz w:val="24"/>
                <w:szCs w:val="24"/>
                <w:lang w:val="zh-CN"/>
                <w14:textFill>
                  <w14:solidFill>
                    <w14:schemeClr w14:val="tx1"/>
                  </w14:solidFill>
                </w14:textFill>
              </w:rPr>
            </w:pPr>
            <w:r>
              <w:rPr>
                <w:rFonts w:ascii="微软雅黑" w:hAnsi="微软雅黑" w:eastAsia="微软雅黑" w:cs="微软雅黑"/>
                <w:color w:val="000000" w:themeColor="text1"/>
                <w:sz w:val="21"/>
                <w:szCs w:val="21"/>
                <w14:textFill>
                  <w14:solidFill>
                    <w14:schemeClr w14:val="tx1"/>
                  </w14:solidFill>
                </w14:textFill>
              </w:rPr>
              <w:t>7</w:t>
            </w:r>
          </w:p>
        </w:tc>
        <w:tc>
          <w:tcPr>
            <w:tcW w:w="3321" w:type="dxa"/>
            <w:vAlign w:val="center"/>
          </w:tcPr>
          <w:p>
            <w:pPr>
              <w:snapToGrid w:val="0"/>
              <w:spacing w:line="0" w:lineRule="atLeast"/>
              <w:ind w:firstLine="210" w:firstLineChars="100"/>
              <w:jc w:val="left"/>
              <w:rPr>
                <w:rFonts w:ascii="方正仿宋_GBK" w:hAnsi="宋体" w:eastAsia="方正仿宋_GBK"/>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更新目标准确，更新内容及规模合理，更新思路具有落地性。满分</w:t>
            </w:r>
            <w:r>
              <w:rPr>
                <w:rFonts w:ascii="微软雅黑" w:hAnsi="微软雅黑" w:eastAsia="微软雅黑" w:cs="微软雅黑"/>
                <w:color w:val="000000" w:themeColor="text1"/>
                <w:sz w:val="21"/>
                <w:szCs w:val="21"/>
                <w14:textFill>
                  <w14:solidFill>
                    <w14:schemeClr w14:val="tx1"/>
                  </w14:solidFill>
                </w14:textFill>
              </w:rPr>
              <w:t>7</w:t>
            </w:r>
            <w:r>
              <w:rPr>
                <w:rFonts w:hint="eastAsia" w:ascii="微软雅黑" w:hAnsi="微软雅黑" w:eastAsia="微软雅黑" w:cs="微软雅黑"/>
                <w:color w:val="000000" w:themeColor="text1"/>
                <w:sz w:val="21"/>
                <w:szCs w:val="21"/>
                <w14:textFill>
                  <w14:solidFill>
                    <w14:schemeClr w14:val="tx1"/>
                  </w14:solidFill>
                </w14:textFill>
              </w:rPr>
              <w:t>分（优</w:t>
            </w:r>
            <w:r>
              <w:rPr>
                <w:rFonts w:ascii="微软雅黑" w:hAnsi="微软雅黑" w:eastAsia="微软雅黑" w:cs="微软雅黑"/>
                <w:color w:val="000000" w:themeColor="text1"/>
                <w:sz w:val="21"/>
                <w:szCs w:val="21"/>
                <w14:textFill>
                  <w14:solidFill>
                    <w14:schemeClr w14:val="tx1"/>
                  </w14:solidFill>
                </w14:textFill>
              </w:rPr>
              <w:t>7</w:t>
            </w:r>
            <w:r>
              <w:rPr>
                <w:rFonts w:hint="eastAsia" w:ascii="微软雅黑" w:hAnsi="微软雅黑" w:eastAsia="微软雅黑" w:cs="微软雅黑"/>
                <w:color w:val="000000" w:themeColor="text1"/>
                <w:sz w:val="21"/>
                <w:szCs w:val="21"/>
                <w14:textFill>
                  <w14:solidFill>
                    <w14:schemeClr w14:val="tx1"/>
                  </w14:solidFill>
                </w14:textFill>
              </w:rPr>
              <w:t>分，良</w:t>
            </w:r>
            <w:r>
              <w:rPr>
                <w:rFonts w:ascii="微软雅黑" w:hAnsi="微软雅黑" w:eastAsia="微软雅黑" w:cs="微软雅黑"/>
                <w:color w:val="000000" w:themeColor="text1"/>
                <w:sz w:val="21"/>
                <w:szCs w:val="21"/>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分，一般</w:t>
            </w:r>
            <w:r>
              <w:rPr>
                <w:rFonts w:ascii="微软雅黑" w:hAnsi="微软雅黑" w:eastAsia="微软雅黑" w:cs="微软雅黑"/>
                <w:color w:val="000000" w:themeColor="text1"/>
                <w:sz w:val="21"/>
                <w:szCs w:val="21"/>
                <w14:textFill>
                  <w14:solidFill>
                    <w14:schemeClr w14:val="tx1"/>
                  </w14:solidFill>
                </w14:textFill>
              </w:rPr>
              <w:t>3</w:t>
            </w:r>
            <w:r>
              <w:rPr>
                <w:rFonts w:hint="eastAsia" w:ascii="微软雅黑" w:hAnsi="微软雅黑" w:eastAsia="微软雅黑" w:cs="微软雅黑"/>
                <w:color w:val="000000" w:themeColor="text1"/>
                <w:sz w:val="21"/>
                <w:szCs w:val="21"/>
                <w14:textFill>
                  <w14:solidFill>
                    <w14:schemeClr w14:val="tx1"/>
                  </w14:solidFill>
                </w14:textFill>
              </w:rPr>
              <w:t>分，未提供或较差的0分）。</w:t>
            </w:r>
          </w:p>
        </w:tc>
        <w:tc>
          <w:tcPr>
            <w:tcW w:w="2351" w:type="dxa"/>
          </w:tcPr>
          <w:p>
            <w:pPr>
              <w:topLinePunct/>
              <w:autoSpaceDN w:val="0"/>
              <w:adjustRightInd w:val="0"/>
              <w:snapToGrid w:val="0"/>
              <w:spacing w:line="0" w:lineRule="atLeast"/>
              <w:rPr>
                <w:rFonts w:ascii="方正仿宋_GBK" w:hAnsi="宋体" w:eastAsia="方正仿宋_GBK"/>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磋商小组成员根据响应供应商提供的策划方案独立评分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848" w:type="dxa"/>
            <w:vMerge w:val="continue"/>
            <w:vAlign w:val="center"/>
          </w:tcPr>
          <w:p>
            <w:pPr>
              <w:spacing w:line="390" w:lineRule="exact"/>
              <w:ind w:firstLine="480" w:firstLineChars="200"/>
              <w:jc w:val="center"/>
              <w:rPr>
                <w:rFonts w:ascii="方正仿宋_GBK" w:hAnsi="宋体" w:eastAsia="方正仿宋_GBK"/>
                <w:color w:val="000000" w:themeColor="text1"/>
                <w:sz w:val="24"/>
                <w:szCs w:val="24"/>
                <w:lang w:val="zh-CN"/>
                <w14:textFill>
                  <w14:solidFill>
                    <w14:schemeClr w14:val="tx1"/>
                  </w14:solidFill>
                </w14:textFill>
              </w:rPr>
            </w:pPr>
          </w:p>
        </w:tc>
        <w:tc>
          <w:tcPr>
            <w:tcW w:w="1278" w:type="dxa"/>
            <w:vAlign w:val="center"/>
          </w:tcPr>
          <w:p>
            <w:pPr>
              <w:snapToGrid w:val="0"/>
              <w:spacing w:line="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更新项目（1</w:t>
            </w:r>
            <w:r>
              <w:rPr>
                <w:rFonts w:ascii="微软雅黑" w:hAnsi="微软雅黑" w:eastAsia="微软雅黑" w:cs="微软雅黑"/>
                <w:color w:val="000000" w:themeColor="text1"/>
                <w:sz w:val="21"/>
                <w:szCs w:val="21"/>
                <w14:textFill>
                  <w14:solidFill>
                    <w14:schemeClr w14:val="tx1"/>
                  </w14:solidFill>
                </w14:textFill>
              </w:rPr>
              <w:t>2%</w:t>
            </w:r>
            <w:r>
              <w:rPr>
                <w:rFonts w:hint="eastAsia" w:ascii="微软雅黑" w:hAnsi="微软雅黑" w:eastAsia="微软雅黑" w:cs="微软雅黑"/>
                <w:color w:val="000000" w:themeColor="text1"/>
                <w:sz w:val="21"/>
                <w:szCs w:val="21"/>
                <w14:textFill>
                  <w14:solidFill>
                    <w14:schemeClr w14:val="tx1"/>
                  </w14:solidFill>
                </w14:textFill>
              </w:rPr>
              <w:t>）</w:t>
            </w:r>
          </w:p>
        </w:tc>
        <w:tc>
          <w:tcPr>
            <w:tcW w:w="850" w:type="dxa"/>
            <w:vAlign w:val="center"/>
          </w:tcPr>
          <w:p>
            <w:pPr>
              <w:snapToGrid w:val="0"/>
              <w:spacing w:line="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r>
              <w:rPr>
                <w:rFonts w:ascii="微软雅黑" w:hAnsi="微软雅黑" w:eastAsia="微软雅黑" w:cs="微软雅黑"/>
                <w:color w:val="000000" w:themeColor="text1"/>
                <w:sz w:val="21"/>
                <w:szCs w:val="21"/>
                <w14:textFill>
                  <w14:solidFill>
                    <w14:schemeClr w14:val="tx1"/>
                  </w14:solidFill>
                </w14:textFill>
              </w:rPr>
              <w:t>2</w:t>
            </w:r>
          </w:p>
        </w:tc>
        <w:tc>
          <w:tcPr>
            <w:tcW w:w="3321" w:type="dxa"/>
            <w:vAlign w:val="center"/>
          </w:tcPr>
          <w:p>
            <w:pPr>
              <w:snapToGrid w:val="0"/>
              <w:spacing w:line="0" w:lineRule="atLeast"/>
              <w:ind w:firstLine="210" w:firstLineChars="1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从项目划分、更新指引、重点工程、投资估算等方面提出合理的更新建议，满分1</w:t>
            </w:r>
            <w:r>
              <w:rPr>
                <w:rFonts w:ascii="微软雅黑" w:hAnsi="微软雅黑" w:eastAsia="微软雅黑" w:cs="微软雅黑"/>
                <w:color w:val="000000" w:themeColor="text1"/>
                <w:sz w:val="21"/>
                <w:szCs w:val="21"/>
                <w14:textFill>
                  <w14:solidFill>
                    <w14:schemeClr w14:val="tx1"/>
                  </w14:solidFill>
                </w14:textFill>
              </w:rPr>
              <w:t>2</w:t>
            </w:r>
            <w:r>
              <w:rPr>
                <w:rFonts w:hint="eastAsia" w:ascii="微软雅黑" w:hAnsi="微软雅黑" w:eastAsia="微软雅黑" w:cs="微软雅黑"/>
                <w:color w:val="000000" w:themeColor="text1"/>
                <w:sz w:val="21"/>
                <w:szCs w:val="21"/>
                <w14:textFill>
                  <w14:solidFill>
                    <w14:schemeClr w14:val="tx1"/>
                  </w14:solidFill>
                </w14:textFill>
              </w:rPr>
              <w:t>分（优</w:t>
            </w:r>
            <w:r>
              <w:rPr>
                <w:rFonts w:ascii="微软雅黑" w:hAnsi="微软雅黑" w:eastAsia="微软雅黑" w:cs="微软雅黑"/>
                <w:color w:val="000000" w:themeColor="text1"/>
                <w:sz w:val="21"/>
                <w:szCs w:val="21"/>
                <w14:textFill>
                  <w14:solidFill>
                    <w14:schemeClr w14:val="tx1"/>
                  </w14:solidFill>
                </w14:textFill>
              </w:rPr>
              <w:t>12</w:t>
            </w:r>
            <w:r>
              <w:rPr>
                <w:rFonts w:hint="eastAsia" w:ascii="微软雅黑" w:hAnsi="微软雅黑" w:eastAsia="微软雅黑" w:cs="微软雅黑"/>
                <w:color w:val="000000" w:themeColor="text1"/>
                <w:sz w:val="21"/>
                <w:szCs w:val="21"/>
                <w14:textFill>
                  <w14:solidFill>
                    <w14:schemeClr w14:val="tx1"/>
                  </w14:solidFill>
                </w14:textFill>
              </w:rPr>
              <w:t>分，良</w:t>
            </w:r>
            <w:r>
              <w:rPr>
                <w:rFonts w:ascii="微软雅黑" w:hAnsi="微软雅黑" w:eastAsia="微软雅黑" w:cs="微软雅黑"/>
                <w:color w:val="000000" w:themeColor="text1"/>
                <w:sz w:val="21"/>
                <w:szCs w:val="21"/>
                <w14:textFill>
                  <w14:solidFill>
                    <w14:schemeClr w14:val="tx1"/>
                  </w14:solidFill>
                </w14:textFill>
              </w:rPr>
              <w:t>8</w:t>
            </w:r>
            <w:r>
              <w:rPr>
                <w:rFonts w:hint="eastAsia" w:ascii="微软雅黑" w:hAnsi="微软雅黑" w:eastAsia="微软雅黑" w:cs="微软雅黑"/>
                <w:color w:val="000000" w:themeColor="text1"/>
                <w:sz w:val="21"/>
                <w:szCs w:val="21"/>
                <w14:textFill>
                  <w14:solidFill>
                    <w14:schemeClr w14:val="tx1"/>
                  </w14:solidFill>
                </w14:textFill>
              </w:rPr>
              <w:t>分，一般</w:t>
            </w:r>
            <w:r>
              <w:rPr>
                <w:rFonts w:ascii="微软雅黑" w:hAnsi="微软雅黑" w:eastAsia="微软雅黑" w:cs="微软雅黑"/>
                <w:color w:val="000000" w:themeColor="text1"/>
                <w:sz w:val="21"/>
                <w:szCs w:val="21"/>
                <w14:textFill>
                  <w14:solidFill>
                    <w14:schemeClr w14:val="tx1"/>
                  </w14:solidFill>
                </w14:textFill>
              </w:rPr>
              <w:t>4</w:t>
            </w:r>
            <w:r>
              <w:rPr>
                <w:rFonts w:hint="eastAsia" w:ascii="微软雅黑" w:hAnsi="微软雅黑" w:eastAsia="微软雅黑" w:cs="微软雅黑"/>
                <w:color w:val="000000" w:themeColor="text1"/>
                <w:sz w:val="21"/>
                <w:szCs w:val="21"/>
                <w14:textFill>
                  <w14:solidFill>
                    <w14:schemeClr w14:val="tx1"/>
                  </w14:solidFill>
                </w14:textFill>
              </w:rPr>
              <w:t>分，未提供或较差的0分）</w:t>
            </w:r>
          </w:p>
        </w:tc>
        <w:tc>
          <w:tcPr>
            <w:tcW w:w="2351" w:type="dxa"/>
          </w:tcPr>
          <w:p>
            <w:pPr>
              <w:topLinePunct/>
              <w:autoSpaceDN w:val="0"/>
              <w:adjustRightInd w:val="0"/>
              <w:snapToGrid w:val="0"/>
              <w:spacing w:line="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磋商小组成员根据响应供应商提供的策划方案独立评分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848" w:type="dxa"/>
            <w:vMerge w:val="continue"/>
            <w:vAlign w:val="center"/>
          </w:tcPr>
          <w:p>
            <w:pPr>
              <w:spacing w:line="390" w:lineRule="exact"/>
              <w:ind w:firstLine="480" w:firstLineChars="200"/>
              <w:jc w:val="center"/>
              <w:rPr>
                <w:rFonts w:ascii="方正仿宋_GBK" w:hAnsi="宋体" w:eastAsia="方正仿宋_GBK"/>
                <w:color w:val="000000" w:themeColor="text1"/>
                <w:sz w:val="24"/>
                <w:szCs w:val="24"/>
                <w:lang w:val="zh-CN"/>
                <w14:textFill>
                  <w14:solidFill>
                    <w14:schemeClr w14:val="tx1"/>
                  </w14:solidFill>
                </w14:textFill>
              </w:rPr>
            </w:pPr>
          </w:p>
        </w:tc>
        <w:tc>
          <w:tcPr>
            <w:tcW w:w="1278" w:type="dxa"/>
            <w:vAlign w:val="center"/>
          </w:tcPr>
          <w:p>
            <w:pPr>
              <w:snapToGrid w:val="0"/>
              <w:spacing w:line="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策划工作组织和进度安排（3%）</w:t>
            </w:r>
          </w:p>
        </w:tc>
        <w:tc>
          <w:tcPr>
            <w:tcW w:w="850" w:type="dxa"/>
            <w:vAlign w:val="center"/>
          </w:tcPr>
          <w:p>
            <w:pPr>
              <w:snapToGrid w:val="0"/>
              <w:spacing w:line="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3321" w:type="dxa"/>
            <w:vAlign w:val="center"/>
          </w:tcPr>
          <w:p>
            <w:pPr>
              <w:snapToGrid w:val="0"/>
              <w:spacing w:line="0" w:lineRule="atLeast"/>
              <w:ind w:firstLine="210" w:firstLineChars="1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策划工作组织和进度安排合理。满分3分（优3分，良2分，一般1分，未提供或较差的0分）</w:t>
            </w:r>
          </w:p>
        </w:tc>
        <w:tc>
          <w:tcPr>
            <w:tcW w:w="2351" w:type="dxa"/>
          </w:tcPr>
          <w:p>
            <w:pPr>
              <w:topLinePunct/>
              <w:autoSpaceDN w:val="0"/>
              <w:adjustRightInd w:val="0"/>
              <w:snapToGrid w:val="0"/>
              <w:spacing w:line="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磋商小组成员根据响应供应商提供的策划方案独立评分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8" w:type="dxa"/>
            <w:vMerge w:val="restart"/>
            <w:vAlign w:val="center"/>
          </w:tcPr>
          <w:p>
            <w:pPr>
              <w:topLinePunct/>
              <w:autoSpaceDN w:val="0"/>
              <w:adjustRightInd w:val="0"/>
              <w:snapToGrid w:val="0"/>
              <w:spacing w:line="0" w:lineRule="atLeas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商务</w:t>
            </w:r>
          </w:p>
          <w:p>
            <w:pPr>
              <w:topLinePunct/>
              <w:autoSpaceDN w:val="0"/>
              <w:adjustRightInd w:val="0"/>
              <w:snapToGrid w:val="0"/>
              <w:spacing w:line="0" w:lineRule="atLeas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部分（</w:t>
            </w:r>
            <w:r>
              <w:rPr>
                <w:rFonts w:ascii="微软雅黑" w:hAnsi="微软雅黑" w:eastAsia="微软雅黑" w:cs="微软雅黑"/>
                <w:color w:val="000000" w:themeColor="text1"/>
                <w:sz w:val="21"/>
                <w:szCs w:val="21"/>
                <w14:textFill>
                  <w14:solidFill>
                    <w14:schemeClr w14:val="tx1"/>
                  </w14:solidFill>
                </w14:textFill>
              </w:rPr>
              <w:t>4</w:t>
            </w:r>
            <w:r>
              <w:rPr>
                <w:rFonts w:hint="eastAsia" w:ascii="微软雅黑" w:hAnsi="微软雅黑" w:eastAsia="微软雅黑" w:cs="微软雅黑"/>
                <w:color w:val="000000" w:themeColor="text1"/>
                <w:sz w:val="21"/>
                <w:szCs w:val="21"/>
                <w14:textFill>
                  <w14:solidFill>
                    <w14:schemeClr w14:val="tx1"/>
                  </w14:solidFill>
                </w14:textFill>
              </w:rPr>
              <w:t>0</w:t>
            </w:r>
            <w:r>
              <w:rPr>
                <w:rFonts w:hint="eastAsia" w:ascii="微软雅黑" w:hAnsi="微软雅黑" w:eastAsia="微软雅黑" w:cs="微软雅黑"/>
                <w:color w:val="000000" w:themeColor="text1"/>
                <w:sz w:val="21"/>
                <w:szCs w:val="21"/>
                <w:lang w:val="zh-CN"/>
                <w14:textFill>
                  <w14:solidFill>
                    <w14:schemeClr w14:val="tx1"/>
                  </w14:solidFill>
                </w14:textFill>
              </w:rPr>
              <w:t>）</w:t>
            </w:r>
          </w:p>
        </w:tc>
        <w:tc>
          <w:tcPr>
            <w:tcW w:w="7800" w:type="dxa"/>
            <w:gridSpan w:val="4"/>
            <w:vAlign w:val="center"/>
          </w:tcPr>
          <w:p>
            <w:pPr>
              <w:topLinePunct/>
              <w:autoSpaceDN w:val="0"/>
              <w:adjustRightInd w:val="0"/>
              <w:snapToGrid w:val="0"/>
              <w:spacing w:line="0" w:lineRule="atLeast"/>
              <w:ind w:firstLine="210" w:firstLineChars="100"/>
              <w:jc w:val="left"/>
              <w:rPr>
                <w:rFonts w:ascii="微软雅黑" w:hAnsi="微软雅黑" w:eastAsia="微软雅黑" w:cs="微软雅黑"/>
                <w:color w:val="000000" w:themeColor="text1"/>
                <w:sz w:val="2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48" w:type="dxa"/>
            <w:vMerge w:val="continue"/>
            <w:vAlign w:val="center"/>
          </w:tcPr>
          <w:p>
            <w:pPr>
              <w:topLinePunct/>
              <w:autoSpaceDN w:val="0"/>
              <w:adjustRightInd w:val="0"/>
              <w:snapToGrid w:val="0"/>
              <w:spacing w:line="0" w:lineRule="atLeast"/>
              <w:ind w:firstLine="210" w:firstLineChars="100"/>
              <w:jc w:val="center"/>
              <w:rPr>
                <w:rFonts w:ascii="微软雅黑" w:hAnsi="微软雅黑" w:eastAsia="微软雅黑" w:cs="微软雅黑"/>
                <w:color w:val="000000" w:themeColor="text1"/>
                <w:sz w:val="21"/>
                <w:szCs w:val="21"/>
                <w:lang w:val="zh-CN"/>
                <w14:textFill>
                  <w14:solidFill>
                    <w14:schemeClr w14:val="tx1"/>
                  </w14:solidFill>
                </w14:textFill>
              </w:rPr>
            </w:pPr>
          </w:p>
        </w:tc>
        <w:tc>
          <w:tcPr>
            <w:tcW w:w="1278" w:type="dxa"/>
            <w:vMerge w:val="restart"/>
            <w:vAlign w:val="center"/>
          </w:tcPr>
          <w:p>
            <w:pPr>
              <w:spacing w:line="30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人员配置（2</w:t>
            </w:r>
            <w:r>
              <w:rPr>
                <w:rFonts w:ascii="微软雅黑" w:hAnsi="微软雅黑" w:eastAsia="微软雅黑" w:cs="微软雅黑"/>
                <w:color w:val="000000" w:themeColor="text1"/>
                <w:sz w:val="21"/>
                <w:szCs w:val="21"/>
                <w14:textFill>
                  <w14:solidFill>
                    <w14:schemeClr w14:val="tx1"/>
                  </w14:solidFill>
                </w14:textFill>
              </w:rPr>
              <w:t>2</w:t>
            </w:r>
            <w:r>
              <w:rPr>
                <w:rFonts w:hint="eastAsia" w:ascii="微软雅黑" w:hAnsi="微软雅黑" w:eastAsia="微软雅黑" w:cs="微软雅黑"/>
                <w:color w:val="000000" w:themeColor="text1"/>
                <w:sz w:val="21"/>
                <w:szCs w:val="21"/>
                <w14:textFill>
                  <w14:solidFill>
                    <w14:schemeClr w14:val="tx1"/>
                  </w14:solidFill>
                </w14:textFill>
              </w:rPr>
              <w:t>%）</w:t>
            </w:r>
          </w:p>
          <w:p>
            <w:pPr>
              <w:snapToGrid w:val="0"/>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p>
        </w:tc>
        <w:tc>
          <w:tcPr>
            <w:tcW w:w="850" w:type="dxa"/>
            <w:vMerge w:val="restart"/>
            <w:vAlign w:val="center"/>
          </w:tcPr>
          <w:p>
            <w:pPr>
              <w:snapToGrid w:val="0"/>
              <w:spacing w:line="0" w:lineRule="atLeast"/>
              <w:jc w:val="center"/>
              <w:rPr>
                <w:rFonts w:ascii="微软雅黑" w:hAnsi="微软雅黑" w:eastAsia="微软雅黑" w:cs="微软雅黑"/>
                <w:i/>
                <w:iCs/>
                <w:sz w:val="21"/>
                <w:szCs w:val="21"/>
                <w:lang w:val="zh-CN"/>
              </w:rPr>
            </w:pPr>
            <w:r>
              <w:rPr>
                <w:rFonts w:hint="eastAsia" w:ascii="微软雅黑" w:hAnsi="微软雅黑" w:eastAsia="微软雅黑" w:cs="微软雅黑"/>
                <w:sz w:val="21"/>
                <w:szCs w:val="21"/>
              </w:rPr>
              <w:t>2</w:t>
            </w:r>
            <w:r>
              <w:rPr>
                <w:rFonts w:ascii="微软雅黑" w:hAnsi="微软雅黑" w:eastAsia="微软雅黑" w:cs="微软雅黑"/>
                <w:sz w:val="21"/>
                <w:szCs w:val="21"/>
              </w:rPr>
              <w:t>2</w:t>
            </w:r>
          </w:p>
        </w:tc>
        <w:tc>
          <w:tcPr>
            <w:tcW w:w="3321" w:type="dxa"/>
            <w:vAlign w:val="center"/>
          </w:tcPr>
          <w:p>
            <w:pPr>
              <w:snapToGrid w:val="0"/>
              <w:spacing w:line="0" w:lineRule="atLeast"/>
              <w:rPr>
                <w:rFonts w:ascii="微软雅黑" w:hAnsi="微软雅黑" w:eastAsia="微软雅黑" w:cs="微软雅黑"/>
                <w:sz w:val="21"/>
                <w:szCs w:val="21"/>
              </w:rPr>
            </w:pPr>
            <w:r>
              <w:rPr>
                <w:rFonts w:ascii="微软雅黑" w:hAnsi="微软雅黑" w:eastAsia="微软雅黑" w:cs="微软雅黑"/>
                <w:sz w:val="21"/>
                <w:szCs w:val="21"/>
              </w:rPr>
              <w:t>项目负责</w:t>
            </w:r>
            <w:r>
              <w:rPr>
                <w:rFonts w:hint="eastAsia" w:ascii="微软雅黑" w:hAnsi="微软雅黑" w:eastAsia="微软雅黑" w:cs="微软雅黑"/>
                <w:sz w:val="21"/>
                <w:szCs w:val="21"/>
              </w:rPr>
              <w:t>1</w:t>
            </w:r>
            <w:r>
              <w:rPr>
                <w:rFonts w:ascii="微软雅黑" w:hAnsi="微软雅黑" w:eastAsia="微软雅黑" w:cs="微软雅黑"/>
                <w:sz w:val="21"/>
                <w:szCs w:val="21"/>
              </w:rPr>
              <w:t>人：</w:t>
            </w:r>
            <w:r>
              <w:rPr>
                <w:rFonts w:hint="eastAsia" w:ascii="微软雅黑" w:hAnsi="微软雅黑" w:eastAsia="微软雅黑" w:cs="微软雅黑"/>
                <w:sz w:val="21"/>
                <w:szCs w:val="21"/>
              </w:rPr>
              <w:t>具有注册城乡规划师执业资格得3分</w:t>
            </w:r>
            <w:r>
              <w:rPr>
                <w:rFonts w:ascii="微软雅黑" w:hAnsi="微软雅黑" w:eastAsia="微软雅黑" w:cs="微软雅黑"/>
                <w:sz w:val="21"/>
                <w:szCs w:val="21"/>
              </w:rPr>
              <w:t>，同时具有一级注册建筑师执业资格得</w:t>
            </w:r>
            <w:r>
              <w:rPr>
                <w:rFonts w:hint="eastAsia" w:ascii="微软雅黑" w:hAnsi="微软雅黑" w:eastAsia="微软雅黑" w:cs="微软雅黑"/>
                <w:sz w:val="21"/>
                <w:szCs w:val="21"/>
              </w:rPr>
              <w:t>3分</w:t>
            </w:r>
            <w:r>
              <w:rPr>
                <w:rFonts w:ascii="微软雅黑" w:hAnsi="微软雅黑" w:eastAsia="微软雅黑" w:cs="微软雅黑"/>
                <w:sz w:val="21"/>
                <w:szCs w:val="21"/>
              </w:rPr>
              <w:t>、同时具有建筑工程类教授级或正高级技术职称的得3分</w:t>
            </w:r>
            <w:r>
              <w:rPr>
                <w:rFonts w:hint="eastAsia" w:ascii="微软雅黑" w:hAnsi="微软雅黑" w:eastAsia="微软雅黑" w:cs="微软雅黑"/>
                <w:sz w:val="21"/>
                <w:szCs w:val="21"/>
              </w:rPr>
              <w:t>，</w:t>
            </w:r>
            <w:r>
              <w:rPr>
                <w:rFonts w:ascii="微软雅黑" w:hAnsi="微软雅黑" w:eastAsia="微软雅黑" w:cs="微软雅黑"/>
                <w:sz w:val="21"/>
                <w:szCs w:val="21"/>
              </w:rPr>
              <w:t>此项最多9分。</w:t>
            </w:r>
          </w:p>
        </w:tc>
        <w:tc>
          <w:tcPr>
            <w:tcW w:w="2351" w:type="dxa"/>
            <w:vMerge w:val="restart"/>
          </w:tcPr>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由投标人承诺：如若中标，在中标通知书领取后3个工作日内提供相关证明材料（证明材料是指：资格证书等材料，所有证明材料均须在有效期内），否则视为审查不合格，不予签订合同。</w:t>
            </w:r>
          </w:p>
          <w:p>
            <w:pPr>
              <w:rPr>
                <w:rFonts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48" w:type="dxa"/>
            <w:vMerge w:val="continue"/>
            <w:vAlign w:val="center"/>
          </w:tcPr>
          <w:p>
            <w:pPr>
              <w:topLinePunct/>
              <w:autoSpaceDN w:val="0"/>
              <w:adjustRightInd w:val="0"/>
              <w:snapToGrid w:val="0"/>
              <w:spacing w:line="0" w:lineRule="atLeast"/>
              <w:ind w:firstLine="210" w:firstLineChars="100"/>
              <w:jc w:val="center"/>
              <w:rPr>
                <w:rFonts w:ascii="微软雅黑" w:hAnsi="微软雅黑" w:eastAsia="微软雅黑" w:cs="微软雅黑"/>
                <w:color w:val="000000" w:themeColor="text1"/>
                <w:sz w:val="21"/>
                <w:szCs w:val="21"/>
                <w:lang w:val="zh-CN"/>
                <w14:textFill>
                  <w14:solidFill>
                    <w14:schemeClr w14:val="tx1"/>
                  </w14:solidFill>
                </w14:textFill>
              </w:rPr>
            </w:pPr>
          </w:p>
        </w:tc>
        <w:tc>
          <w:tcPr>
            <w:tcW w:w="1278" w:type="dxa"/>
            <w:vMerge w:val="continue"/>
            <w:vAlign w:val="center"/>
          </w:tcPr>
          <w:p>
            <w:pPr>
              <w:snapToGrid w:val="0"/>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p>
        </w:tc>
        <w:tc>
          <w:tcPr>
            <w:tcW w:w="850" w:type="dxa"/>
            <w:vMerge w:val="continue"/>
            <w:vAlign w:val="center"/>
          </w:tcPr>
          <w:p>
            <w:pPr>
              <w:snapToGrid w:val="0"/>
              <w:spacing w:line="0" w:lineRule="atLeast"/>
              <w:jc w:val="center"/>
              <w:rPr>
                <w:rFonts w:ascii="微软雅黑" w:hAnsi="微软雅黑" w:eastAsia="微软雅黑" w:cs="微软雅黑"/>
                <w:sz w:val="21"/>
                <w:szCs w:val="21"/>
              </w:rPr>
            </w:pPr>
          </w:p>
        </w:tc>
        <w:tc>
          <w:tcPr>
            <w:tcW w:w="3321" w:type="dxa"/>
            <w:vAlign w:val="center"/>
          </w:tcPr>
          <w:p>
            <w:pPr>
              <w:snapToGrid w:val="0"/>
              <w:spacing w:line="0" w:lineRule="atLeast"/>
              <w:rPr>
                <w:rFonts w:ascii="微软雅黑" w:hAnsi="微软雅黑" w:eastAsia="微软雅黑" w:cs="微软雅黑"/>
                <w:sz w:val="21"/>
                <w:szCs w:val="21"/>
              </w:rPr>
            </w:pPr>
            <w:r>
              <w:rPr>
                <w:rFonts w:ascii="微软雅黑" w:hAnsi="微软雅黑" w:eastAsia="微软雅黑" w:cs="微软雅黑"/>
                <w:sz w:val="21"/>
                <w:szCs w:val="21"/>
              </w:rPr>
              <w:t>规划专业负责人1人：具有注册规划师资格得3分，同时具有规划专业类教授级或正高级技术职称的得3分，此项最多得6 分。</w:t>
            </w:r>
          </w:p>
        </w:tc>
        <w:tc>
          <w:tcPr>
            <w:tcW w:w="2351" w:type="dxa"/>
            <w:vMerge w:val="continue"/>
          </w:tcPr>
          <w:p>
            <w:pP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48" w:type="dxa"/>
            <w:vMerge w:val="continue"/>
            <w:vAlign w:val="center"/>
          </w:tcPr>
          <w:p>
            <w:pPr>
              <w:topLinePunct/>
              <w:autoSpaceDN w:val="0"/>
              <w:adjustRightInd w:val="0"/>
              <w:snapToGrid w:val="0"/>
              <w:spacing w:line="0" w:lineRule="atLeast"/>
              <w:ind w:firstLine="210" w:firstLineChars="100"/>
              <w:jc w:val="center"/>
              <w:rPr>
                <w:rFonts w:ascii="微软雅黑" w:hAnsi="微软雅黑" w:eastAsia="微软雅黑" w:cs="微软雅黑"/>
                <w:color w:val="000000" w:themeColor="text1"/>
                <w:sz w:val="21"/>
                <w:szCs w:val="21"/>
                <w:lang w:val="zh-CN"/>
                <w14:textFill>
                  <w14:solidFill>
                    <w14:schemeClr w14:val="tx1"/>
                  </w14:solidFill>
                </w14:textFill>
              </w:rPr>
            </w:pPr>
          </w:p>
        </w:tc>
        <w:tc>
          <w:tcPr>
            <w:tcW w:w="1278" w:type="dxa"/>
            <w:vMerge w:val="continue"/>
            <w:vAlign w:val="center"/>
          </w:tcPr>
          <w:p>
            <w:pPr>
              <w:snapToGrid w:val="0"/>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p>
        </w:tc>
        <w:tc>
          <w:tcPr>
            <w:tcW w:w="850" w:type="dxa"/>
            <w:vMerge w:val="continue"/>
            <w:vAlign w:val="center"/>
          </w:tcPr>
          <w:p>
            <w:pPr>
              <w:snapToGrid w:val="0"/>
              <w:spacing w:line="0" w:lineRule="atLeast"/>
              <w:jc w:val="center"/>
              <w:rPr>
                <w:rFonts w:ascii="微软雅黑" w:hAnsi="微软雅黑" w:eastAsia="微软雅黑" w:cs="微软雅黑"/>
                <w:sz w:val="21"/>
                <w:szCs w:val="21"/>
              </w:rPr>
            </w:pPr>
          </w:p>
        </w:tc>
        <w:tc>
          <w:tcPr>
            <w:tcW w:w="3321" w:type="dxa"/>
            <w:vAlign w:val="center"/>
          </w:tcPr>
          <w:p>
            <w:pPr>
              <w:snapToGrid w:val="0"/>
              <w:spacing w:line="0" w:lineRule="atLeast"/>
              <w:rPr>
                <w:rFonts w:ascii="微软雅黑" w:hAnsi="微软雅黑" w:eastAsia="微软雅黑" w:cs="微软雅黑"/>
                <w:sz w:val="21"/>
                <w:szCs w:val="21"/>
              </w:rPr>
            </w:pPr>
            <w:r>
              <w:rPr>
                <w:rFonts w:hint="eastAsia" w:ascii="微软雅黑" w:hAnsi="微软雅黑" w:eastAsia="微软雅黑" w:cs="微软雅黑"/>
                <w:sz w:val="21"/>
                <w:szCs w:val="21"/>
              </w:rPr>
              <w:t>设计团队</w:t>
            </w:r>
            <w:r>
              <w:rPr>
                <w:rFonts w:ascii="微软雅黑" w:hAnsi="微软雅黑" w:eastAsia="微软雅黑" w:cs="微软雅黑"/>
                <w:sz w:val="21"/>
                <w:szCs w:val="21"/>
              </w:rPr>
              <w:t>人员：具有注册规划师资格得3分，具有规划专业类高级技术职称的得2分，具有规划专业类</w:t>
            </w:r>
            <w:r>
              <w:rPr>
                <w:rFonts w:hint="eastAsia" w:ascii="微软雅黑" w:hAnsi="微软雅黑" w:eastAsia="微软雅黑" w:cs="微软雅黑"/>
                <w:sz w:val="21"/>
                <w:szCs w:val="21"/>
              </w:rPr>
              <w:t>中</w:t>
            </w:r>
            <w:r>
              <w:rPr>
                <w:rFonts w:ascii="微软雅黑" w:hAnsi="微软雅黑" w:eastAsia="微软雅黑" w:cs="微软雅黑"/>
                <w:sz w:val="21"/>
                <w:szCs w:val="21"/>
              </w:rPr>
              <w:t>级技术职称的得1分，此项最多得7分</w:t>
            </w:r>
            <w:r>
              <w:rPr>
                <w:rFonts w:hint="eastAsia" w:ascii="微软雅黑" w:hAnsi="微软雅黑" w:eastAsia="微软雅黑" w:cs="微软雅黑"/>
                <w:sz w:val="21"/>
                <w:szCs w:val="21"/>
              </w:rPr>
              <w:t>。</w:t>
            </w:r>
          </w:p>
        </w:tc>
        <w:tc>
          <w:tcPr>
            <w:tcW w:w="2351" w:type="dxa"/>
            <w:vMerge w:val="continue"/>
          </w:tcPr>
          <w:p>
            <w:pPr>
              <w:rPr>
                <w:rFonts w:ascii="微软雅黑" w:hAnsi="微软雅黑" w:eastAsia="微软雅黑" w:cs="微软雅黑"/>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48" w:type="dxa"/>
            <w:vMerge w:val="continue"/>
            <w:vAlign w:val="center"/>
          </w:tcPr>
          <w:p>
            <w:pPr>
              <w:topLinePunct/>
              <w:autoSpaceDN w:val="0"/>
              <w:adjustRightInd w:val="0"/>
              <w:snapToGrid w:val="0"/>
              <w:spacing w:line="0" w:lineRule="atLeast"/>
              <w:ind w:firstLine="210" w:firstLineChars="100"/>
              <w:jc w:val="center"/>
              <w:rPr>
                <w:rFonts w:ascii="微软雅黑" w:hAnsi="微软雅黑" w:eastAsia="微软雅黑" w:cs="微软雅黑"/>
                <w:color w:val="000000" w:themeColor="text1"/>
                <w:sz w:val="21"/>
                <w:szCs w:val="21"/>
                <w:lang w:val="zh-CN"/>
                <w14:textFill>
                  <w14:solidFill>
                    <w14:schemeClr w14:val="tx1"/>
                  </w14:solidFill>
                </w14:textFill>
              </w:rPr>
            </w:pPr>
          </w:p>
        </w:tc>
        <w:tc>
          <w:tcPr>
            <w:tcW w:w="1278" w:type="dxa"/>
            <w:vAlign w:val="center"/>
          </w:tcPr>
          <w:p>
            <w:pPr>
              <w:snapToGrid w:val="0"/>
              <w:spacing w:line="0" w:lineRule="atLeast"/>
              <w:rPr>
                <w:rFonts w:ascii="微软雅黑" w:hAnsi="微软雅黑" w:eastAsia="微软雅黑" w:cs="微软雅黑"/>
                <w:color w:val="000000" w:themeColor="text1"/>
                <w:sz w:val="21"/>
                <w:szCs w:val="21"/>
                <w14:textFill>
                  <w14:solidFill>
                    <w14:schemeClr w14:val="tx1"/>
                  </w14:solidFill>
                </w14:textFill>
              </w:rPr>
            </w:pPr>
            <w:r>
              <w:rPr>
                <w:rFonts w:ascii="微软雅黑" w:hAnsi="微软雅黑" w:eastAsia="微软雅黑" w:cs="微软雅黑"/>
                <w:color w:val="000000" w:themeColor="text1"/>
                <w:sz w:val="21"/>
                <w:szCs w:val="21"/>
                <w14:textFill>
                  <w14:solidFill>
                    <w14:schemeClr w14:val="tx1"/>
                  </w14:solidFill>
                </w14:textFill>
              </w:rPr>
              <w:t>企业案例</w:t>
            </w:r>
            <w:r>
              <w:rPr>
                <w:rFonts w:hint="eastAsia" w:ascii="微软雅黑" w:hAnsi="微软雅黑" w:eastAsia="微软雅黑" w:cs="微软雅黑"/>
                <w:color w:val="000000" w:themeColor="text1"/>
                <w:sz w:val="21"/>
                <w:szCs w:val="21"/>
                <w14:textFill>
                  <w14:solidFill>
                    <w14:schemeClr w14:val="tx1"/>
                  </w14:solidFill>
                </w14:textFill>
              </w:rPr>
              <w:t>（1</w:t>
            </w:r>
            <w:r>
              <w:rPr>
                <w:rFonts w:ascii="微软雅黑" w:hAnsi="微软雅黑" w:eastAsia="微软雅黑" w:cs="微软雅黑"/>
                <w:color w:val="000000" w:themeColor="text1"/>
                <w:sz w:val="21"/>
                <w:szCs w:val="21"/>
                <w14:textFill>
                  <w14:solidFill>
                    <w14:schemeClr w14:val="tx1"/>
                  </w14:solidFill>
                </w14:textFill>
              </w:rPr>
              <w:t>8</w:t>
            </w:r>
            <w:r>
              <w:rPr>
                <w:rFonts w:hint="eastAsia" w:ascii="微软雅黑" w:hAnsi="微软雅黑" w:eastAsia="微软雅黑" w:cs="微软雅黑"/>
                <w:color w:val="000000" w:themeColor="text1"/>
                <w:sz w:val="21"/>
                <w:szCs w:val="21"/>
                <w14:textFill>
                  <w14:solidFill>
                    <w14:schemeClr w14:val="tx1"/>
                  </w14:solidFill>
                </w14:textFill>
              </w:rPr>
              <w:t>%）</w:t>
            </w:r>
          </w:p>
        </w:tc>
        <w:tc>
          <w:tcPr>
            <w:tcW w:w="850" w:type="dxa"/>
            <w:vAlign w:val="center"/>
          </w:tcPr>
          <w:p>
            <w:pPr>
              <w:snapToGrid w:val="0"/>
              <w:spacing w:line="0" w:lineRule="atLeast"/>
              <w:jc w:val="center"/>
              <w:rPr>
                <w:rFonts w:ascii="微软雅黑" w:hAnsi="微软雅黑" w:eastAsia="微软雅黑" w:cs="微软雅黑"/>
                <w:sz w:val="21"/>
                <w:szCs w:val="21"/>
              </w:rPr>
            </w:pPr>
            <w:r>
              <w:rPr>
                <w:rFonts w:ascii="微软雅黑" w:hAnsi="微软雅黑" w:eastAsia="微软雅黑" w:cs="微软雅黑"/>
                <w:sz w:val="21"/>
                <w:szCs w:val="21"/>
              </w:rPr>
              <w:t>18</w:t>
            </w:r>
          </w:p>
        </w:tc>
        <w:tc>
          <w:tcPr>
            <w:tcW w:w="3321" w:type="dxa"/>
            <w:vAlign w:val="center"/>
          </w:tcPr>
          <w:p>
            <w:pPr>
              <w:topLinePunct/>
              <w:autoSpaceDN w:val="0"/>
              <w:adjustRightInd w:val="0"/>
              <w:snapToGrid w:val="0"/>
              <w:spacing w:line="0" w:lineRule="atLeast"/>
              <w:rPr>
                <w:rFonts w:ascii="微软雅黑" w:hAnsi="微软雅黑" w:eastAsia="微软雅黑" w:cs="微软雅黑"/>
                <w:sz w:val="21"/>
                <w:szCs w:val="21"/>
              </w:rPr>
            </w:pPr>
            <w:r>
              <w:rPr>
                <w:rFonts w:hint="eastAsia" w:ascii="微软雅黑" w:hAnsi="微软雅黑" w:eastAsia="微软雅黑" w:cs="微软雅黑"/>
                <w:sz w:val="21"/>
                <w:szCs w:val="21"/>
              </w:rPr>
              <w:t>响应供应商提供近三年来与本项目类似项目业绩，</w:t>
            </w:r>
            <w:r>
              <w:rPr>
                <w:rFonts w:ascii="微软雅黑" w:hAnsi="微软雅黑" w:eastAsia="微软雅黑" w:cs="微软雅黑"/>
                <w:sz w:val="21"/>
                <w:szCs w:val="21"/>
              </w:rPr>
              <w:t>一个得3</w:t>
            </w:r>
            <w:r>
              <w:rPr>
                <w:rFonts w:hint="eastAsia" w:ascii="微软雅黑" w:hAnsi="微软雅黑" w:eastAsia="微软雅黑" w:cs="微软雅黑"/>
                <w:sz w:val="21"/>
                <w:szCs w:val="21"/>
              </w:rPr>
              <w:t>分，最多得</w:t>
            </w:r>
            <w:r>
              <w:rPr>
                <w:rFonts w:ascii="微软雅黑" w:hAnsi="微软雅黑" w:eastAsia="微软雅黑" w:cs="微软雅黑"/>
                <w:sz w:val="21"/>
                <w:szCs w:val="21"/>
              </w:rPr>
              <w:t>18</w:t>
            </w:r>
            <w:r>
              <w:rPr>
                <w:rFonts w:hint="eastAsia" w:ascii="微软雅黑" w:hAnsi="微软雅黑" w:eastAsia="微软雅黑" w:cs="微软雅黑"/>
                <w:sz w:val="21"/>
                <w:szCs w:val="21"/>
              </w:rPr>
              <w:t>分。</w:t>
            </w:r>
          </w:p>
        </w:tc>
        <w:tc>
          <w:tcPr>
            <w:tcW w:w="2351" w:type="dxa"/>
            <w:vAlign w:val="center"/>
          </w:tcPr>
          <w:p>
            <w:pPr>
              <w:snapToGrid w:val="0"/>
              <w:spacing w:line="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提供合同复印件加盖投标人公章，</w:t>
            </w:r>
            <w:r>
              <w:rPr>
                <w:rFonts w:ascii="微软雅黑" w:hAnsi="微软雅黑" w:eastAsia="微软雅黑" w:cs="微软雅黑"/>
                <w:color w:val="000000" w:themeColor="text1"/>
                <w:sz w:val="21"/>
                <w:szCs w:val="21"/>
                <w14:textFill>
                  <w14:solidFill>
                    <w14:schemeClr w14:val="tx1"/>
                  </w14:solidFill>
                </w14:textFill>
              </w:rPr>
              <w:t>提供的资料不满足要求的该项得</w:t>
            </w:r>
            <w:r>
              <w:rPr>
                <w:rFonts w:hint="eastAsia" w:ascii="微软雅黑" w:hAnsi="微软雅黑" w:eastAsia="微软雅黑" w:cs="微软雅黑"/>
                <w:color w:val="000000" w:themeColor="text1"/>
                <w:sz w:val="21"/>
                <w:szCs w:val="21"/>
                <w14:textFill>
                  <w14:solidFill>
                    <w14:schemeClr w14:val="tx1"/>
                  </w14:solidFill>
                </w14:textFill>
              </w:rPr>
              <w:t>0分。</w:t>
            </w:r>
          </w:p>
        </w:tc>
      </w:tr>
    </w:tbl>
    <w:p>
      <w:pPr>
        <w:pStyle w:val="3"/>
        <w:adjustRightInd w:val="0"/>
        <w:snapToGrid w:val="0"/>
        <w:spacing w:before="0" w:after="0" w:line="400" w:lineRule="exact"/>
        <w:ind w:firstLine="480" w:firstLineChars="200"/>
        <w:rPr>
          <w:rFonts w:ascii="方正仿宋_GBK" w:hAnsi="宋体" w:eastAsia="方正仿宋_GBK"/>
          <w:b w:val="0"/>
          <w:bCs/>
          <w:color w:val="000000" w:themeColor="text1"/>
          <w:sz w:val="24"/>
          <w14:textFill>
            <w14:solidFill>
              <w14:schemeClr w14:val="tx1"/>
            </w14:solidFill>
          </w14:textFill>
        </w:rPr>
      </w:pPr>
      <w:r>
        <w:rPr>
          <w:rFonts w:hint="eastAsia" w:ascii="方正仿宋_GBK" w:hAnsi="仿宋" w:eastAsia="方正仿宋_GBK"/>
          <w:b w:val="0"/>
          <w:bCs/>
          <w:color w:val="000000" w:themeColor="text1"/>
          <w:sz w:val="24"/>
          <w:szCs w:val="24"/>
          <w14:textFill>
            <w14:solidFill>
              <w14:schemeClr w14:val="tx1"/>
            </w14:solidFill>
          </w14:textFill>
        </w:rPr>
        <w:t>监狱企业、残疾人福利性单位视同小型、微型企业。</w:t>
      </w:r>
    </w:p>
    <w:p>
      <w:pPr>
        <w:pStyle w:val="3"/>
        <w:adjustRightInd w:val="0"/>
        <w:snapToGrid w:val="0"/>
        <w:spacing w:before="0" w:after="0" w:line="400" w:lineRule="exact"/>
        <w:ind w:firstLine="482"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三、无效响应</w:t>
      </w:r>
      <w:bookmarkEnd w:id="63"/>
      <w:bookmarkEnd w:id="64"/>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（八）供应商磋商有效期不满足竞争性磋商文件要求的；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（十）法律、法规和竞争性磋商文件规定的其他无效情形。</w:t>
      </w:r>
    </w:p>
    <w:p>
      <w:pPr>
        <w:pStyle w:val="3"/>
        <w:adjustRightInd w:val="0"/>
        <w:snapToGrid w:val="0"/>
        <w:spacing w:before="0" w:after="0" w:line="400" w:lineRule="exact"/>
        <w:ind w:firstLine="482" w:firstLineChars="200"/>
        <w:rPr>
          <w:rFonts w:ascii="方正仿宋_GBK" w:hAnsi="宋体" w:eastAsia="方正仿宋_GBK"/>
          <w:sz w:val="24"/>
        </w:rPr>
      </w:pPr>
      <w:bookmarkStart w:id="65" w:name="_Toc76462336"/>
      <w:bookmarkStart w:id="66" w:name="_Toc106030891"/>
      <w:r>
        <w:rPr>
          <w:rFonts w:hint="eastAsia" w:ascii="方正仿宋_GBK" w:hAnsi="宋体" w:eastAsia="方正仿宋_GBK"/>
          <w:sz w:val="24"/>
        </w:rPr>
        <w:t>四、</w:t>
      </w:r>
      <w:bookmarkEnd w:id="61"/>
      <w:bookmarkEnd w:id="62"/>
      <w:r>
        <w:rPr>
          <w:rFonts w:hint="eastAsia" w:ascii="方正仿宋_GBK" w:hAnsi="宋体" w:eastAsia="方正仿宋_GBK"/>
          <w:sz w:val="24"/>
        </w:rPr>
        <w:t>采购终止</w:t>
      </w:r>
      <w:bookmarkEnd w:id="65"/>
      <w:bookmarkEnd w:id="66"/>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（一）因情况变化，不再符合规定的竞争性磋商采购方式适用情形的；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（三）在采购过程中符合要求的供应商或者报价未超过采购预算的供应商不足3家的，但《政府采购竞争性磋商采购方式管理暂行办法》第二十一条第三款规定的情形除外。</w:t>
      </w:r>
    </w:p>
    <w:p>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pPr>
        <w:pStyle w:val="3"/>
        <w:pageBreakBefore/>
        <w:spacing w:before="0" w:after="0" w:line="360" w:lineRule="auto"/>
        <w:jc w:val="center"/>
        <w:rPr>
          <w:rFonts w:ascii="方正小标宋_GBK" w:hAnsi="宋体" w:eastAsia="方正小标宋_GBK"/>
          <w:b w:val="0"/>
          <w:bCs/>
          <w:sz w:val="36"/>
          <w:szCs w:val="30"/>
        </w:rPr>
      </w:pPr>
      <w:bookmarkStart w:id="67" w:name="_Toc76462337"/>
      <w:bookmarkStart w:id="68" w:name="_Toc106030892"/>
      <w:bookmarkStart w:id="69" w:name="_Toc102227313"/>
      <w:r>
        <w:rPr>
          <w:rFonts w:hint="eastAsia" w:ascii="方正小标宋_GBK" w:hAnsi="宋体" w:eastAsia="方正小标宋_GBK"/>
          <w:b w:val="0"/>
          <w:bCs/>
          <w:sz w:val="36"/>
          <w:szCs w:val="30"/>
        </w:rPr>
        <w:t>第五篇  供应商须知</w:t>
      </w:r>
      <w:bookmarkEnd w:id="67"/>
      <w:bookmarkEnd w:id="68"/>
      <w:bookmarkEnd w:id="69"/>
    </w:p>
    <w:p>
      <w:pPr>
        <w:pStyle w:val="3"/>
        <w:adjustRightInd w:val="0"/>
        <w:snapToGrid w:val="0"/>
        <w:spacing w:before="0" w:after="0" w:line="400" w:lineRule="exact"/>
        <w:ind w:firstLine="482" w:firstLineChars="200"/>
        <w:rPr>
          <w:rFonts w:ascii="方正仿宋_GBK" w:hAnsi="宋体" w:eastAsia="方正仿宋_GBK"/>
          <w:sz w:val="24"/>
        </w:rPr>
      </w:pPr>
      <w:bookmarkStart w:id="70" w:name="_Toc76462338"/>
      <w:bookmarkStart w:id="71" w:name="_Toc342913389"/>
      <w:bookmarkStart w:id="72" w:name="_Toc106030893"/>
      <w:r>
        <w:rPr>
          <w:rFonts w:hint="eastAsia" w:ascii="方正仿宋_GBK" w:hAnsi="宋体" w:eastAsia="方正仿宋_GBK"/>
          <w:sz w:val="24"/>
        </w:rPr>
        <w:t>一、磋商费用</w:t>
      </w:r>
      <w:bookmarkEnd w:id="70"/>
      <w:bookmarkEnd w:id="71"/>
      <w:bookmarkEnd w:id="72"/>
    </w:p>
    <w:p>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eastAsia="方正仿宋_GBK"/>
          <w:sz w:val="24"/>
          <w:szCs w:val="24"/>
        </w:rPr>
        <w:t>磋商</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eastAsia="方正仿宋_GBK"/>
          <w:sz w:val="24"/>
          <w:szCs w:val="24"/>
        </w:rPr>
        <w:t>磋商</w:t>
      </w:r>
      <w:r>
        <w:rPr>
          <w:rFonts w:hint="eastAsia" w:ascii="方正仿宋_GBK" w:hAnsi="宋体" w:eastAsia="方正仿宋_GBK"/>
          <w:sz w:val="24"/>
          <w:szCs w:val="24"/>
        </w:rPr>
        <w:t>结果如何，采购人和采购代理机构在任何情况下无义务也无责任承担这些费用。</w:t>
      </w:r>
    </w:p>
    <w:p>
      <w:pPr>
        <w:pStyle w:val="3"/>
        <w:adjustRightInd w:val="0"/>
        <w:snapToGrid w:val="0"/>
        <w:spacing w:before="0" w:after="0" w:line="400" w:lineRule="exact"/>
        <w:ind w:firstLine="482" w:firstLineChars="200"/>
        <w:rPr>
          <w:rFonts w:ascii="方正仿宋_GBK" w:hAnsi="宋体" w:eastAsia="方正仿宋_GBK"/>
          <w:sz w:val="24"/>
        </w:rPr>
      </w:pPr>
      <w:bookmarkStart w:id="73" w:name="_Toc342913391"/>
      <w:bookmarkStart w:id="74" w:name="_Toc106030894"/>
      <w:bookmarkStart w:id="75" w:name="_Toc76462339"/>
      <w:r>
        <w:rPr>
          <w:rFonts w:hint="eastAsia" w:ascii="方正仿宋_GBK" w:hAnsi="宋体" w:eastAsia="方正仿宋_GBK"/>
          <w:sz w:val="24"/>
        </w:rPr>
        <w:t>二、竞争性磋商文件</w:t>
      </w:r>
      <w:bookmarkEnd w:id="73"/>
      <w:bookmarkEnd w:id="74"/>
      <w:bookmarkEnd w:id="75"/>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（一）竞争性磋商文件由采购邀请书、项目服务需求、供应商须知、项目商务需求、磋商程序及方法、评审标准、无效响应和采购终止、供应商须知</w:t>
      </w:r>
      <w:r>
        <w:rPr>
          <w:rFonts w:hint="eastAsia" w:ascii="方正仿宋_GBK" w:hAnsi="宋体" w:eastAsia="方正仿宋_GBK"/>
          <w:b/>
          <w:sz w:val="24"/>
          <w:szCs w:val="24"/>
        </w:rPr>
        <w:t>、</w:t>
      </w:r>
      <w:r>
        <w:rPr>
          <w:rFonts w:hint="eastAsia" w:ascii="方正仿宋_GBK" w:hAnsi="宋体" w:eastAsia="方正仿宋_GBK"/>
          <w:sz w:val="24"/>
          <w:szCs w:val="24"/>
        </w:rPr>
        <w:t>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（二）采购人（或采购代理机构）所作的一切有效的书面通知或公告形式的通知、修改及补充，都是竞争性磋商文件不可分割的部分。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（三）竞争性磋商文件的解释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磋商文件有疑问，必须以书面形式在提交响应文件截止时间3个工作日前向采购代理机构要求澄清，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6" w:name="_Toc318159160"/>
      <w:bookmarkStart w:id="77" w:name="_Toc318159349"/>
      <w:bookmarkStart w:id="78" w:name="_Toc318159780"/>
      <w:bookmarkStart w:id="79" w:name="_Toc31816642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（四）本竞争性磋商文件中，磋商小组根据与供应商进行磋商可能实质性变动的内容为竞争性磋商文件第二、三、六篇全部内容。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（五）评审的依据为竞争性磋商文件和响应文件（含有效的书面承诺）。磋商小组判断响应文件对竞争性磋商文件的响应，仅基于响应文件本身而不靠外部证据。</w:t>
      </w:r>
    </w:p>
    <w:bookmarkEnd w:id="76"/>
    <w:bookmarkEnd w:id="77"/>
    <w:bookmarkEnd w:id="78"/>
    <w:bookmarkEnd w:id="79"/>
    <w:p>
      <w:pPr>
        <w:pStyle w:val="3"/>
        <w:adjustRightInd w:val="0"/>
        <w:snapToGrid w:val="0"/>
        <w:spacing w:before="0" w:after="0" w:line="400" w:lineRule="exact"/>
        <w:ind w:firstLine="482" w:firstLineChars="200"/>
        <w:rPr>
          <w:rFonts w:ascii="方正仿宋_GBK" w:hAnsi="宋体" w:eastAsia="方正仿宋_GBK"/>
          <w:sz w:val="24"/>
        </w:rPr>
      </w:pPr>
      <w:bookmarkStart w:id="80" w:name="_Toc76462340"/>
      <w:bookmarkStart w:id="81" w:name="_Toc179714297"/>
      <w:bookmarkStart w:id="82" w:name="_Toc106030895"/>
      <w:bookmarkStart w:id="83" w:name="_Toc342913392"/>
      <w:bookmarkStart w:id="84" w:name="_Toc102227318"/>
      <w:r>
        <w:rPr>
          <w:rFonts w:hint="eastAsia" w:ascii="方正仿宋_GBK" w:hAnsi="宋体" w:eastAsia="方正仿宋_GBK"/>
          <w:sz w:val="24"/>
        </w:rPr>
        <w:t>三、磋商要求</w:t>
      </w:r>
      <w:bookmarkEnd w:id="80"/>
      <w:bookmarkEnd w:id="81"/>
      <w:bookmarkEnd w:id="82"/>
      <w:bookmarkEnd w:id="83"/>
      <w:bookmarkEnd w:id="8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1.两个以上供应商可以组成一个联合体，以一个供应商的身份共同参与磋商。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2.以联合体形式参加磋商的，联合体各方均应满足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w:t>
      </w:r>
      <w:r>
        <w:rPr>
          <w:rFonts w:hint="eastAsia" w:ascii="方正仿宋_GBK" w:hAnsi="宋体" w:eastAsia="方正仿宋_GBK"/>
          <w:sz w:val="24"/>
          <w:szCs w:val="24"/>
        </w:rPr>
        <w:t>将</w:t>
      </w:r>
      <w:r>
        <w:rPr>
          <w:rFonts w:ascii="方正仿宋_GBK" w:hAnsi="宋体" w:eastAsia="方正仿宋_GBK"/>
          <w:sz w:val="24"/>
          <w:szCs w:val="24"/>
        </w:rPr>
        <w:t>对所有联合体成员进行信用记录查询，联合体成员存在不良信用记录的，视同联合体存在不良信用记录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（三）磋商有效期：响应文件及有关承诺文件有效期为提交响应文件截止时间起90天。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响应文件按竞争性磋商文件“第七篇响应文件编制要求”要求签署或盖章。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pPr>
        <w:pStyle w:val="5"/>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以及电子文档均应密封送达磋商地点，应在封套上注明磋商项目名称、供应商名称。若正本、副本以及电子文档分别进行密封的，还应在封套上注明“正本”、“副本”、“电子文档”字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pPr>
        <w:pStyle w:val="3"/>
        <w:adjustRightInd w:val="0"/>
        <w:snapToGrid w:val="0"/>
        <w:spacing w:before="0" w:after="0" w:line="400" w:lineRule="exact"/>
        <w:ind w:firstLine="482" w:firstLineChars="200"/>
        <w:rPr>
          <w:rFonts w:ascii="方正仿宋_GBK" w:hAnsi="宋体" w:eastAsia="方正仿宋_GBK"/>
          <w:sz w:val="24"/>
        </w:rPr>
      </w:pPr>
      <w:bookmarkStart w:id="85" w:name="_Toc106030896"/>
      <w:bookmarkStart w:id="86" w:name="_Toc76462341"/>
      <w:r>
        <w:rPr>
          <w:rFonts w:hint="eastAsia" w:ascii="方正仿宋_GBK" w:hAnsi="宋体" w:eastAsia="方正仿宋_GBK"/>
          <w:sz w:val="24"/>
        </w:rPr>
        <w:t>四、成交供应商的确认和变更</w:t>
      </w:r>
      <w:bookmarkEnd w:id="85"/>
      <w:bookmarkEnd w:id="8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采购代理机构应当在评审结束后2个工作日内将评审报告送采购人确认。采购人应当在收到评审报告后5个工作日内</w:t>
      </w:r>
      <w:r>
        <w:rPr>
          <w:rFonts w:hint="eastAsia" w:ascii="方正仿宋_GBK" w:hAnsi="宋体" w:eastAsia="方正仿宋_GBK"/>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成交供应商拒绝与采购人签订合同的，采购人可以按照评标报告推荐的成交候选供应商顺序，确定排名下一位的候选人为成交供应商，也可以重新开展政府采购活动。</w:t>
      </w:r>
    </w:p>
    <w:p>
      <w:pPr>
        <w:pStyle w:val="3"/>
        <w:adjustRightInd w:val="0"/>
        <w:snapToGrid w:val="0"/>
        <w:spacing w:before="0" w:after="0" w:line="400" w:lineRule="exact"/>
        <w:ind w:firstLine="482" w:firstLineChars="200"/>
        <w:rPr>
          <w:rFonts w:ascii="方正仿宋_GBK" w:hAnsi="宋体" w:eastAsia="方正仿宋_GBK"/>
          <w:sz w:val="24"/>
        </w:rPr>
      </w:pPr>
      <w:bookmarkStart w:id="87" w:name="_Toc342913395"/>
      <w:bookmarkStart w:id="88" w:name="_Toc102227321"/>
      <w:bookmarkStart w:id="89" w:name="_Toc76462342"/>
      <w:bookmarkStart w:id="90" w:name="_Toc106030897"/>
      <w:r>
        <w:rPr>
          <w:rFonts w:hint="eastAsia" w:ascii="方正仿宋_GBK" w:hAnsi="宋体" w:eastAsia="方正仿宋_GBK"/>
          <w:sz w:val="24"/>
        </w:rPr>
        <w:t>五、成交通知</w:t>
      </w:r>
      <w:bookmarkEnd w:id="87"/>
      <w:bookmarkEnd w:id="88"/>
      <w:bookmarkEnd w:id="89"/>
      <w:bookmarkEnd w:id="90"/>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（一）成交供应商确定后，采购代理机构将在重庆市政府采购网（</w:t>
      </w:r>
      <w:r>
        <w:fldChar w:fldCharType="begin"/>
      </w:r>
      <w:r>
        <w:instrText xml:space="preserve"> HYPERLINK "http://www.cqgp.gov.cn" </w:instrText>
      </w:r>
      <w:r>
        <w:fldChar w:fldCharType="separate"/>
      </w:r>
      <w:r>
        <w:rPr>
          <w:rFonts w:hint="eastAsia" w:ascii="方正仿宋_GBK" w:hAnsi="宋体" w:eastAsia="方正仿宋_GBK"/>
          <w:sz w:val="24"/>
          <w:szCs w:val="24"/>
        </w:rPr>
        <w:t>www.ccgp-chongqing.gov.cn</w:t>
      </w:r>
      <w:r>
        <w:rPr>
          <w:rFonts w:hint="eastAsia" w:ascii="方正仿宋_GBK" w:hAnsi="宋体" w:eastAsia="方正仿宋_GBK"/>
          <w:sz w:val="24"/>
          <w:szCs w:val="24"/>
        </w:rPr>
        <w:fldChar w:fldCharType="end"/>
      </w:r>
      <w:r>
        <w:rPr>
          <w:rFonts w:hint="eastAsia" w:ascii="方正仿宋_GBK" w:hAnsi="宋体" w:eastAsia="方正仿宋_GBK"/>
          <w:sz w:val="24"/>
          <w:szCs w:val="24"/>
        </w:rPr>
        <w:t>）上发布成交结果公告。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（二）结果公告发出同时，采购代理机构将以书面形式发出《成交通知书》。《成交通知书》一经发出即发生法律效力。</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pPr>
        <w:pStyle w:val="3"/>
        <w:adjustRightInd w:val="0"/>
        <w:snapToGrid w:val="0"/>
        <w:spacing w:before="0" w:after="0" w:line="400" w:lineRule="exact"/>
        <w:ind w:firstLine="482" w:firstLineChars="200"/>
        <w:rPr>
          <w:rFonts w:ascii="方正仿宋_GBK" w:hAnsi="宋体" w:eastAsia="方正仿宋_GBK"/>
          <w:sz w:val="24"/>
        </w:rPr>
      </w:pPr>
      <w:bookmarkStart w:id="91" w:name="_Toc76462343"/>
      <w:bookmarkStart w:id="92" w:name="_Toc106030898"/>
      <w:r>
        <w:rPr>
          <w:rFonts w:hint="eastAsia" w:ascii="方正仿宋_GBK" w:hAnsi="宋体" w:eastAsia="方正仿宋_GBK"/>
          <w:sz w:val="24"/>
        </w:rPr>
        <w:t>六、关于质疑和投诉</w:t>
      </w:r>
      <w:bookmarkEnd w:id="91"/>
      <w:bookmarkEnd w:id="92"/>
    </w:p>
    <w:p>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供应商认为采购文件、采购过程和成交结果使自己的权益收到伤害的，可向采购代理机构以书面形式提出质疑。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（二）投诉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3"/>
        <w:adjustRightInd w:val="0"/>
        <w:snapToGrid w:val="0"/>
        <w:spacing w:before="0" w:after="0" w:line="400" w:lineRule="exact"/>
        <w:ind w:firstLine="482" w:firstLineChars="200"/>
        <w:rPr>
          <w:rFonts w:ascii="方正仿宋_GBK" w:hAnsi="宋体" w:eastAsia="方正仿宋_GBK"/>
          <w:sz w:val="24"/>
        </w:rPr>
      </w:pPr>
      <w:bookmarkStart w:id="93" w:name="_Toc106030899"/>
      <w:bookmarkStart w:id="94" w:name="_Toc76462344"/>
      <w:r>
        <w:rPr>
          <w:rFonts w:hint="eastAsia" w:ascii="方正仿宋_GBK" w:hAnsi="宋体" w:eastAsia="方正仿宋_GBK"/>
          <w:sz w:val="24"/>
        </w:rPr>
        <w:t>七、</w:t>
      </w:r>
      <w:bookmarkEnd w:id="93"/>
      <w:bookmarkEnd w:id="94"/>
      <w:bookmarkStart w:id="95" w:name="_Toc102227322"/>
      <w:bookmarkStart w:id="96" w:name="_Toc106030901"/>
      <w:bookmarkStart w:id="97" w:name="_Toc76462346"/>
      <w:bookmarkStart w:id="98" w:name="_Toc342913396"/>
      <w:bookmarkStart w:id="99" w:name="_Toc12789059"/>
      <w:bookmarkStart w:id="100" w:name="_Toc11641055"/>
      <w:r>
        <w:rPr>
          <w:rFonts w:hint="eastAsia" w:ascii="方正仿宋_GBK" w:hAnsi="宋体" w:eastAsia="方正仿宋_GBK"/>
          <w:sz w:val="24"/>
        </w:rPr>
        <w:t>签订</w:t>
      </w:r>
      <w:bookmarkEnd w:id="95"/>
      <w:r>
        <w:rPr>
          <w:rFonts w:hint="eastAsia" w:ascii="方正仿宋_GBK" w:hAnsi="宋体" w:eastAsia="方正仿宋_GBK"/>
          <w:sz w:val="24"/>
        </w:rPr>
        <w:t>合同</w:t>
      </w:r>
      <w:bookmarkEnd w:id="96"/>
      <w:bookmarkEnd w:id="97"/>
      <w:bookmarkEnd w:id="9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采购人原则上应在成交通知书发出之日起二十日内和成交供应商签订政府采购合同，无正当理由不得拒绝或拖延合同签订</w:t>
      </w:r>
      <w:r>
        <w:rPr>
          <w:rFonts w:hint="eastAsia" w:ascii="方正仿宋_GBK" w:hAnsi="宋体" w:eastAsia="方正仿宋_GBK"/>
          <w:sz w:val="24"/>
          <w:szCs w:val="24"/>
        </w:rPr>
        <w:t>。所签订的合同不得对竞争性磋商文件和供应商的响应文件作实质性修改。其他未尽事宜由采购人和成交供应商在采购合同中详细约定。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rPr>
        <w:t>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（三）竞争性磋商文件、供应商的响应文件及澄清文件等，均为签订政府采购合同的依据。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（四）合同生效条款由供需双方约定，法律、行政法规规定应当办理批准、登记等手续后生效的合同，依照其规定。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（五）合同原则上应按照《重庆市政府采购合同》签订，相关单位要求适用合同通用格式版本的，应按其要求另行签订其他合同。</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（六）采购人要求成交供应商提供履约保证金的，应当在竞争性磋商文件中予以约定。成交供应商履约完毕后，采购人根据采购文件规定无息退还其履约保证金。</w:t>
      </w:r>
    </w:p>
    <w:p>
      <w:pPr>
        <w:pStyle w:val="3"/>
        <w:adjustRightInd w:val="0"/>
        <w:snapToGrid w:val="0"/>
        <w:spacing w:before="0" w:after="0" w:line="400" w:lineRule="exact"/>
        <w:ind w:firstLine="482" w:firstLineChars="200"/>
        <w:rPr>
          <w:rFonts w:ascii="方正仿宋_GBK" w:hAnsi="宋体" w:eastAsia="方正仿宋_GBK"/>
          <w:sz w:val="24"/>
        </w:rPr>
      </w:pPr>
      <w:bookmarkStart w:id="101" w:name="_Toc106030902"/>
      <w:r>
        <w:rPr>
          <w:rFonts w:hint="eastAsia" w:ascii="方正仿宋_GBK" w:hAnsi="宋体" w:eastAsia="方正仿宋_GBK"/>
          <w:sz w:val="24"/>
        </w:rPr>
        <w:t>八、项目验收</w:t>
      </w:r>
      <w:bookmarkEnd w:id="101"/>
    </w:p>
    <w:p>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合同执行完毕，采购人原则上应在7个工作日内组织履约情况验收，不得无故拖延或附加额外条件。</w:t>
      </w:r>
    </w:p>
    <w:p>
      <w:pPr>
        <w:pStyle w:val="3"/>
        <w:adjustRightInd w:val="0"/>
        <w:snapToGrid w:val="0"/>
        <w:spacing w:before="0" w:after="0" w:line="400" w:lineRule="exact"/>
        <w:ind w:firstLine="482" w:firstLineChars="200"/>
        <w:rPr>
          <w:rFonts w:ascii="方正仿宋_GBK" w:hAnsi="宋体" w:eastAsia="方正仿宋_GBK"/>
          <w:sz w:val="24"/>
        </w:rPr>
      </w:pPr>
      <w:bookmarkStart w:id="102" w:name="_Toc14780"/>
      <w:bookmarkStart w:id="103" w:name="_Toc76462347"/>
      <w:bookmarkStart w:id="104" w:name="_Toc106030903"/>
      <w:r>
        <w:rPr>
          <w:rFonts w:hint="eastAsia" w:ascii="方正仿宋_GBK" w:hAnsi="宋体" w:eastAsia="方正仿宋_GBK"/>
          <w:sz w:val="24"/>
        </w:rPr>
        <w:t>九、政府采购信用融资</w:t>
      </w:r>
      <w:bookmarkEnd w:id="102"/>
      <w:bookmarkEnd w:id="103"/>
      <w:bookmarkEnd w:id="10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pStyle w:val="3"/>
        <w:spacing w:before="0" w:after="0" w:line="360" w:lineRule="auto"/>
        <w:jc w:val="center"/>
        <w:rPr>
          <w:rFonts w:ascii="方正小标宋_GBK" w:hAnsi="宋体" w:eastAsia="方正小标宋_GBK"/>
          <w:b w:val="0"/>
          <w:sz w:val="36"/>
          <w:szCs w:val="30"/>
        </w:rPr>
      </w:pPr>
      <w:r>
        <w:rPr>
          <w:rFonts w:ascii="宋体" w:hAnsi="宋体" w:eastAsia="宋体"/>
          <w:sz w:val="36"/>
          <w:szCs w:val="30"/>
        </w:rPr>
        <w:br w:type="page"/>
      </w:r>
      <w:bookmarkStart w:id="105" w:name="_Toc106030904"/>
      <w:bookmarkStart w:id="106" w:name="_Toc76462348"/>
      <w:r>
        <w:rPr>
          <w:rFonts w:hint="eastAsia" w:ascii="方正小标宋_GBK" w:hAnsi="宋体" w:eastAsia="方正小标宋_GBK"/>
          <w:b w:val="0"/>
          <w:sz w:val="36"/>
          <w:szCs w:val="30"/>
        </w:rPr>
        <w:t xml:space="preserve">第六篇  </w:t>
      </w:r>
      <w:bookmarkEnd w:id="99"/>
      <w:bookmarkEnd w:id="100"/>
      <w:r>
        <w:rPr>
          <w:rFonts w:hint="eastAsia" w:ascii="方正小标宋_GBK" w:hAnsi="宋体" w:eastAsia="方正小标宋_GBK"/>
          <w:b w:val="0"/>
          <w:sz w:val="36"/>
          <w:szCs w:val="30"/>
        </w:rPr>
        <w:t>政府采购合同</w:t>
      </w:r>
      <w:bookmarkEnd w:id="105"/>
      <w:bookmarkEnd w:id="106"/>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rPr>
          <w:rFonts w:ascii="方正仿宋_GBK" w:eastAsia="方正仿宋_GBK"/>
        </w:rPr>
      </w:pPr>
      <w:r>
        <w:rPr>
          <w:rFonts w:hint="eastAsia" w:ascii="方正仿宋_GBK" w:eastAsia="方正仿宋_GBK"/>
        </w:rPr>
        <w:t>（项目号：     ）</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磋商项目名称</w:t>
            </w:r>
          </w:p>
        </w:tc>
        <w:tc>
          <w:tcPr>
            <w:tcW w:w="984"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三、付款方式：</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X、履约保证金</w:t>
            </w:r>
            <w:r>
              <w:rPr>
                <w:rFonts w:ascii="方正仿宋_GBK"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四、违约责任：</w:t>
            </w:r>
          </w:p>
          <w:p>
            <w:pPr>
              <w:spacing w:line="240" w:lineRule="atLeast"/>
              <w:rPr>
                <w:rFonts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12" w:type="default"/>
          <w:footerReference r:id="rId13" w:type="even"/>
          <w:pgSz w:w="11907" w:h="16840"/>
          <w:pgMar w:top="1134" w:right="1191" w:bottom="1134" w:left="1304" w:header="964" w:footer="992" w:gutter="0"/>
          <w:pgNumType w:fmt="numberInDash"/>
          <w:cols w:space="720" w:num="1"/>
          <w:docGrid w:linePitch="312" w:charSpace="0"/>
        </w:sectPr>
      </w:pPr>
    </w:p>
    <w:p>
      <w:pPr>
        <w:pStyle w:val="3"/>
        <w:spacing w:before="0" w:after="0" w:line="360" w:lineRule="auto"/>
        <w:jc w:val="center"/>
        <w:rPr>
          <w:rFonts w:ascii="方正小标宋_GBK" w:hAnsi="宋体" w:eastAsia="方正小标宋_GBK"/>
          <w:b w:val="0"/>
          <w:sz w:val="36"/>
          <w:szCs w:val="30"/>
        </w:rPr>
      </w:pPr>
      <w:bookmarkStart w:id="107" w:name="_Hlt41879464"/>
      <w:bookmarkEnd w:id="107"/>
      <w:bookmarkStart w:id="108" w:name="_Toc76462349"/>
      <w:bookmarkStart w:id="109" w:name="_Toc106030905"/>
      <w:r>
        <w:rPr>
          <w:rFonts w:hint="eastAsia" w:ascii="方正小标宋_GBK" w:hAnsi="宋体" w:eastAsia="方正小标宋_GBK"/>
          <w:b w:val="0"/>
          <w:sz w:val="36"/>
          <w:szCs w:val="30"/>
        </w:rPr>
        <w:t>第七篇  响应文件编制要求</w:t>
      </w:r>
      <w:bookmarkEnd w:id="108"/>
      <w:bookmarkEnd w:id="10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（二）报价一览表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（三）明细报价表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（五）落实政府采购政策需满足的资格要求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（六）特定资格条件证书或证明文件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（三）其他与项目有关的资料</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ascii="方正仿宋_GBK" w:hAnsi="宋体" w:eastAsia="方正仿宋_GBK"/>
          <w:sz w:val="24"/>
        </w:rPr>
      </w:pPr>
      <w:bookmarkStart w:id="110" w:name="_Toc313888360"/>
      <w:bookmarkStart w:id="111" w:name="_Toc106030906"/>
      <w:bookmarkStart w:id="112" w:name="_Toc342913419"/>
      <w:bookmarkStart w:id="113" w:name="_Toc313008356"/>
      <w:bookmarkStart w:id="114" w:name="_Toc76462350"/>
      <w:bookmarkStart w:id="115" w:name="_Toc283382454"/>
      <w:bookmarkStart w:id="116" w:name="_Toc12789073"/>
      <w:r>
        <w:rPr>
          <w:rFonts w:hint="eastAsia" w:ascii="方正仿宋_GBK" w:hAnsi="宋体" w:eastAsia="方正仿宋_GBK"/>
          <w:sz w:val="24"/>
        </w:rPr>
        <w:t>一、经济部分</w:t>
      </w:r>
      <w:bookmarkEnd w:id="110"/>
      <w:bookmarkEnd w:id="111"/>
      <w:bookmarkEnd w:id="112"/>
      <w:bookmarkEnd w:id="113"/>
      <w:bookmarkEnd w:id="114"/>
    </w:p>
    <w:bookmarkEnd w:id="115"/>
    <w:bookmarkEnd w:id="116"/>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jc w:val="center"/>
        <w:rPr>
          <w:rFonts w:ascii="方正仿宋_GBK" w:eastAsia="方正仿宋_GBK"/>
          <w:b/>
          <w:szCs w:val="28"/>
        </w:rPr>
      </w:pPr>
      <w:r>
        <w:rPr>
          <w:rFonts w:hint="eastAsia" w:ascii="方正仿宋_GBK" w:eastAsia="方正仿宋_GBK"/>
          <w:b/>
          <w:szCs w:val="28"/>
        </w:rPr>
        <w:t>竞争性磋商报价函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1.愿意按照竞争性磋商文件中的一切要求，提供本项目的服务，初始报价为人民币大写：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3.我方承诺：本次磋商的有效期为提交响应文件截止时间起90天。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4.我方完全理解和接受贵方竞争性磋商文件的一切规定和要求及评审办法。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7.如果我方成为成交供应商，保证在接到成交通知书后，向采购代理机构和</w:t>
      </w:r>
      <w:r>
        <w:rPr>
          <w:rFonts w:hint="eastAsia" w:ascii="方正仿宋_GBK" w:hAnsi="宋体" w:eastAsia="方正仿宋_GBK"/>
          <w:sz w:val="24"/>
        </w:rPr>
        <w:t>重庆联合产权交易所集团股份有限公司缴纳</w:t>
      </w:r>
      <w:r>
        <w:rPr>
          <w:rFonts w:hint="eastAsia" w:ascii="方正仿宋_GBK" w:hAnsi="宋体" w:eastAsia="方正仿宋_GBK"/>
          <w:sz w:val="24"/>
          <w:szCs w:val="24"/>
        </w:rPr>
        <w:t>竞争性磋商文件规定的采购代理服务费和交易服务费。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napToGrid w:val="0"/>
        <w:spacing w:line="500" w:lineRule="exact"/>
        <w:ind w:firstLine="480" w:firstLineChars="200"/>
        <w:jc w:val="left"/>
        <w:rPr>
          <w:rFonts w:ascii="仿宋_GB2312" w:hAnsi="宋体" w:eastAsia="仿宋_GB2312"/>
          <w:b/>
          <w:color w:val="000000"/>
          <w:szCs w:val="28"/>
        </w:rPr>
      </w:pPr>
      <w:r>
        <w:rPr>
          <w:rFonts w:hint="eastAsia" w:ascii="方正仿宋_GBK" w:hAnsi="宋体" w:eastAsia="方正仿宋_GBK"/>
          <w:sz w:val="24"/>
          <w:szCs w:val="24"/>
        </w:rPr>
        <w:t>（二）</w:t>
      </w:r>
      <w:r>
        <w:rPr>
          <w:rFonts w:hint="eastAsia" w:ascii="仿宋_GB2312" w:hAnsi="宋体" w:eastAsia="仿宋_GB2312"/>
          <w:b/>
          <w:color w:val="000000"/>
          <w:szCs w:val="28"/>
        </w:rPr>
        <w:t>报价一览表</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采购项目名称：</w:t>
      </w:r>
    </w:p>
    <w:tbl>
      <w:tblPr>
        <w:tblStyle w:val="14"/>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2240"/>
        <w:gridCol w:w="1369"/>
        <w:gridCol w:w="227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508" w:type="dxa"/>
            <w:vAlign w:val="center"/>
          </w:tcPr>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rPr>
              <w:t>供应商全称</w:t>
            </w:r>
          </w:p>
        </w:tc>
        <w:tc>
          <w:tcPr>
            <w:tcW w:w="7784" w:type="dxa"/>
            <w:gridSpan w:val="4"/>
          </w:tcPr>
          <w:p>
            <w:pPr>
              <w:tabs>
                <w:tab w:val="left" w:pos="6300"/>
              </w:tabs>
              <w:snapToGrid w:val="0"/>
              <w:spacing w:line="312" w:lineRule="auto"/>
              <w:ind w:firstLine="480" w:firstLineChars="20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gridSpan w:val="2"/>
            <w:vAlign w:val="center"/>
          </w:tcPr>
          <w:p>
            <w:pPr>
              <w:tabs>
                <w:tab w:val="left" w:pos="6300"/>
              </w:tabs>
              <w:snapToGrid w:val="0"/>
              <w:spacing w:line="312" w:lineRule="auto"/>
              <w:jc w:val="center"/>
              <w:rPr>
                <w:rFonts w:ascii="方正仿宋_GBK" w:hAnsi="宋体" w:eastAsia="方正仿宋_GBK"/>
                <w:sz w:val="24"/>
                <w:szCs w:val="24"/>
              </w:rPr>
            </w:pPr>
            <w:r>
              <w:rPr>
                <w:rFonts w:hint="eastAsia" w:ascii="方正仿宋_GBK" w:hAnsi="宋体" w:eastAsia="方正仿宋_GBK"/>
                <w:sz w:val="24"/>
                <w:szCs w:val="24"/>
              </w:rPr>
              <w:t>响应项目名称</w:t>
            </w:r>
          </w:p>
        </w:tc>
        <w:tc>
          <w:tcPr>
            <w:tcW w:w="1369" w:type="dxa"/>
            <w:vAlign w:val="center"/>
          </w:tcPr>
          <w:p>
            <w:pPr>
              <w:tabs>
                <w:tab w:val="left" w:pos="6300"/>
              </w:tabs>
              <w:snapToGrid w:val="0"/>
              <w:spacing w:line="312" w:lineRule="auto"/>
              <w:jc w:val="center"/>
              <w:rPr>
                <w:rFonts w:ascii="方正仿宋_GBK" w:hAnsi="宋体" w:eastAsia="方正仿宋_GBK"/>
                <w:sz w:val="24"/>
                <w:szCs w:val="24"/>
              </w:rPr>
            </w:pPr>
            <w:r>
              <w:rPr>
                <w:rFonts w:hint="eastAsia" w:ascii="方正仿宋_GBK" w:hAnsi="宋体" w:eastAsia="方正仿宋_GBK"/>
                <w:sz w:val="24"/>
                <w:szCs w:val="24"/>
              </w:rPr>
              <w:t>数量</w:t>
            </w:r>
          </w:p>
        </w:tc>
        <w:tc>
          <w:tcPr>
            <w:tcW w:w="2271" w:type="dxa"/>
            <w:vAlign w:val="center"/>
          </w:tcPr>
          <w:p>
            <w:pPr>
              <w:tabs>
                <w:tab w:val="left" w:pos="6300"/>
              </w:tabs>
              <w:snapToGrid w:val="0"/>
              <w:spacing w:line="312" w:lineRule="auto"/>
              <w:jc w:val="center"/>
              <w:rPr>
                <w:rFonts w:ascii="方正仿宋_GBK" w:hAnsi="宋体" w:eastAsia="方正仿宋_GBK"/>
                <w:sz w:val="24"/>
                <w:szCs w:val="24"/>
              </w:rPr>
            </w:pPr>
            <w:r>
              <w:rPr>
                <w:rFonts w:hint="eastAsia" w:ascii="方正仿宋_GBK" w:hAnsi="宋体" w:eastAsia="方正仿宋_GBK"/>
                <w:sz w:val="24"/>
                <w:szCs w:val="24"/>
              </w:rPr>
              <w:t>响应报价（小写）</w:t>
            </w:r>
          </w:p>
          <w:p>
            <w:pPr>
              <w:tabs>
                <w:tab w:val="left" w:pos="6300"/>
              </w:tabs>
              <w:snapToGrid w:val="0"/>
              <w:spacing w:line="312" w:lineRule="auto"/>
              <w:jc w:val="center"/>
              <w:rPr>
                <w:rFonts w:ascii="方正仿宋_GBK" w:hAnsi="宋体" w:eastAsia="方正仿宋_GBK"/>
                <w:sz w:val="24"/>
                <w:szCs w:val="24"/>
              </w:rPr>
            </w:pPr>
            <w:r>
              <w:rPr>
                <w:rFonts w:hint="eastAsia" w:ascii="方正仿宋_GBK" w:hAnsi="宋体" w:eastAsia="方正仿宋_GBK"/>
                <w:sz w:val="24"/>
                <w:szCs w:val="24"/>
              </w:rPr>
              <w:t>单位（元）</w:t>
            </w:r>
          </w:p>
        </w:tc>
        <w:tc>
          <w:tcPr>
            <w:tcW w:w="1904" w:type="dxa"/>
            <w:vAlign w:val="center"/>
          </w:tcPr>
          <w:p>
            <w:pPr>
              <w:tabs>
                <w:tab w:val="left" w:pos="6300"/>
              </w:tabs>
              <w:snapToGrid w:val="0"/>
              <w:spacing w:line="312" w:lineRule="auto"/>
              <w:jc w:val="center"/>
              <w:rPr>
                <w:rFonts w:ascii="方正仿宋_GBK" w:hAnsi="宋体" w:eastAsia="方正仿宋_GBK"/>
                <w:sz w:val="24"/>
                <w:szCs w:val="24"/>
              </w:rPr>
            </w:pPr>
            <w:r>
              <w:rPr>
                <w:rFonts w:hint="eastAsia" w:ascii="方正仿宋_GBK" w:hAnsi="宋体" w:eastAsia="方正仿宋_GBK"/>
                <w:sz w:val="24"/>
                <w:szCs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748" w:type="dxa"/>
            <w:gridSpan w:val="2"/>
            <w:vAlign w:val="center"/>
          </w:tcPr>
          <w:p>
            <w:pPr>
              <w:tabs>
                <w:tab w:val="left" w:pos="6300"/>
              </w:tabs>
              <w:snapToGrid w:val="0"/>
              <w:spacing w:line="312" w:lineRule="auto"/>
              <w:ind w:firstLine="480" w:firstLineChars="200"/>
              <w:rPr>
                <w:rFonts w:ascii="方正仿宋_GBK" w:hAnsi="宋体" w:eastAsia="方正仿宋_GBK"/>
                <w:sz w:val="24"/>
                <w:szCs w:val="24"/>
              </w:rPr>
            </w:pPr>
          </w:p>
        </w:tc>
        <w:tc>
          <w:tcPr>
            <w:tcW w:w="1369" w:type="dxa"/>
          </w:tcPr>
          <w:p>
            <w:pPr>
              <w:tabs>
                <w:tab w:val="left" w:pos="6300"/>
              </w:tabs>
              <w:snapToGrid w:val="0"/>
              <w:spacing w:line="312" w:lineRule="auto"/>
              <w:ind w:firstLine="480" w:firstLineChars="200"/>
              <w:rPr>
                <w:rFonts w:ascii="方正仿宋_GBK" w:hAnsi="宋体" w:eastAsia="方正仿宋_GBK"/>
                <w:sz w:val="24"/>
                <w:szCs w:val="24"/>
              </w:rPr>
            </w:pPr>
          </w:p>
        </w:tc>
        <w:tc>
          <w:tcPr>
            <w:tcW w:w="2271" w:type="dxa"/>
          </w:tcPr>
          <w:p>
            <w:pPr>
              <w:tabs>
                <w:tab w:val="left" w:pos="6300"/>
              </w:tabs>
              <w:snapToGrid w:val="0"/>
              <w:spacing w:line="312" w:lineRule="auto"/>
              <w:ind w:firstLine="480" w:firstLineChars="200"/>
              <w:rPr>
                <w:rFonts w:ascii="方正仿宋_GBK" w:hAnsi="宋体" w:eastAsia="方正仿宋_GBK"/>
                <w:sz w:val="24"/>
                <w:szCs w:val="24"/>
              </w:rPr>
            </w:pPr>
          </w:p>
        </w:tc>
        <w:tc>
          <w:tcPr>
            <w:tcW w:w="1904" w:type="dxa"/>
          </w:tcPr>
          <w:p>
            <w:pPr>
              <w:tabs>
                <w:tab w:val="left" w:pos="6300"/>
              </w:tabs>
              <w:snapToGrid w:val="0"/>
              <w:spacing w:line="312" w:lineRule="auto"/>
              <w:ind w:firstLine="480" w:firstLineChars="20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292" w:type="dxa"/>
            <w:gridSpan w:val="5"/>
            <w:vAlign w:val="center"/>
          </w:tcPr>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rPr>
              <w:t>响应报价（大写）：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292" w:type="dxa"/>
            <w:gridSpan w:val="5"/>
            <w:vAlign w:val="center"/>
          </w:tcPr>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rPr>
              <w:t>备注：不得高于本次采购人给定的响应最高限价，报价高于本限价的为无效响应。</w:t>
            </w:r>
          </w:p>
        </w:tc>
      </w:tr>
    </w:tbl>
    <w:p>
      <w:pPr>
        <w:spacing w:line="500" w:lineRule="exact"/>
        <w:ind w:firstLine="560" w:firstLineChars="200"/>
        <w:rPr>
          <w:rFonts w:ascii="仿宋_GB2312" w:hAnsi="宋体" w:eastAsia="仿宋_GB2312"/>
          <w:color w:val="000000"/>
          <w:szCs w:val="28"/>
        </w:rPr>
      </w:pPr>
    </w:p>
    <w:p>
      <w:pPr>
        <w:spacing w:line="500" w:lineRule="exact"/>
        <w:ind w:firstLine="560" w:firstLineChars="200"/>
        <w:rPr>
          <w:rFonts w:ascii="仿宋_GB2312" w:hAnsi="宋体" w:eastAsia="仿宋_GB2312"/>
          <w:color w:val="000000"/>
          <w:szCs w:val="28"/>
        </w:rPr>
      </w:pP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响应供应商：                            法人授权代表：</w:t>
      </w:r>
    </w:p>
    <w:p>
      <w:pPr>
        <w:tabs>
          <w:tab w:val="left" w:pos="6300"/>
        </w:tabs>
        <w:snapToGrid w:val="0"/>
        <w:spacing w:line="312" w:lineRule="auto"/>
        <w:ind w:firstLine="480" w:firstLineChars="200"/>
        <w:rPr>
          <w:rFonts w:ascii="方正仿宋_GBK" w:hAnsi="宋体" w:eastAsia="方正仿宋_GBK"/>
          <w:sz w:val="24"/>
          <w:szCs w:val="24"/>
        </w:rPr>
      </w:pP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（响应供应商公章）                          （签字或盖章）</w:t>
      </w:r>
    </w:p>
    <w:p>
      <w:pPr>
        <w:tabs>
          <w:tab w:val="left" w:pos="6300"/>
        </w:tabs>
        <w:snapToGrid w:val="0"/>
        <w:spacing w:line="312" w:lineRule="auto"/>
        <w:ind w:firstLine="480" w:firstLineChars="200"/>
        <w:rPr>
          <w:rFonts w:ascii="方正仿宋_GBK" w:hAnsi="宋体" w:eastAsia="方正仿宋_GBK"/>
          <w:sz w:val="24"/>
          <w:szCs w:val="24"/>
        </w:rPr>
      </w:pPr>
    </w:p>
    <w:p>
      <w:pPr>
        <w:tabs>
          <w:tab w:val="left" w:pos="6300"/>
        </w:tabs>
        <w:snapToGrid w:val="0"/>
        <w:spacing w:line="312" w:lineRule="auto"/>
        <w:ind w:firstLine="480" w:firstLineChars="200"/>
        <w:rPr>
          <w:rFonts w:ascii="方正仿宋_GBK" w:hAnsi="宋体" w:eastAsia="方正仿宋_GBK"/>
          <w:sz w:val="24"/>
          <w:szCs w:val="24"/>
        </w:rPr>
      </w:pP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snapToGrid w:val="0"/>
        <w:spacing w:line="500" w:lineRule="exact"/>
        <w:rPr>
          <w:rFonts w:ascii="仿宋_GB2312" w:hAnsi="宋体" w:eastAsia="仿宋_GB2312"/>
          <w:color w:val="000000"/>
          <w:szCs w:val="28"/>
        </w:rPr>
      </w:pP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说明：</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1.报价一览表在评审大会上当众宣读，供应商须按格式填写且务必填写清楚，准确无误。</w:t>
      </w:r>
    </w:p>
    <w:p>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2.若以联合体参与询价的，应在“响应供应商”处注明所有联合体名称，至少应加盖联合体主办方（主体）公章。</w:t>
      </w:r>
      <w:r>
        <w:rPr>
          <w:rFonts w:hint="eastAsia" w:ascii="方正仿宋_GBK" w:hAnsi="宋体" w:eastAsia="方正仿宋_GBK"/>
          <w:sz w:val="24"/>
          <w:szCs w:val="24"/>
        </w:rPr>
        <w:br w:type="page"/>
      </w:r>
    </w:p>
    <w:p>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（三）明细报价表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rPr>
        <w:t xml:space="preserve">磋商项目名称： </w:t>
      </w:r>
    </w:p>
    <w:tbl>
      <w:tblPr>
        <w:tblStyle w:val="14"/>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939"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939" w:type="dxa"/>
            <w:vAlign w:val="center"/>
          </w:tcPr>
          <w:p>
            <w:pPr>
              <w:pStyle w:val="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939" w:type="dxa"/>
            <w:vAlign w:val="center"/>
          </w:tcPr>
          <w:p>
            <w:pPr>
              <w:pStyle w:val="4"/>
              <w:spacing w:line="240" w:lineRule="atLeast"/>
              <w:ind w:left="3920"/>
              <w:jc w:val="center"/>
              <w:outlineLvl w:val="0"/>
              <w:rPr>
                <w:rFonts w:ascii="方正仿宋_GBK" w:hAnsi="宋体" w:eastAsia="方正仿宋_GBK"/>
                <w:sz w:val="21"/>
                <w:szCs w:val="21"/>
              </w:rPr>
            </w:pP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939" w:type="dxa"/>
            <w:vAlign w:val="center"/>
          </w:tcPr>
          <w:p>
            <w:pPr>
              <w:pStyle w:val="4"/>
              <w:spacing w:line="240" w:lineRule="atLeast"/>
              <w:ind w:left="3920"/>
              <w:jc w:val="center"/>
              <w:outlineLvl w:val="0"/>
              <w:rPr>
                <w:rFonts w:ascii="方正仿宋_GBK" w:hAnsi="宋体" w:eastAsia="方正仿宋_GBK"/>
                <w:sz w:val="21"/>
                <w:szCs w:val="21"/>
              </w:rPr>
            </w:pP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39" w:type="dxa"/>
            <w:vAlign w:val="center"/>
          </w:tcPr>
          <w:p>
            <w:pPr>
              <w:pStyle w:val="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w:t>
      </w:r>
      <w:r>
        <w:rPr>
          <w:rFonts w:hint="eastAsia" w:ascii="方正仿宋_GBK" w:hAnsi="宋体" w:eastAsia="方正仿宋_GBK"/>
          <w:sz w:val="24"/>
          <w:szCs w:val="28"/>
          <w:lang w:val="en-US" w:eastAsia="zh-CN"/>
        </w:rPr>
        <w:t>详细</w:t>
      </w:r>
      <w:r>
        <w:rPr>
          <w:rFonts w:hint="eastAsia" w:ascii="方正仿宋_GBK" w:hAnsi="宋体" w:eastAsia="方正仿宋_GBK"/>
          <w:sz w:val="24"/>
          <w:szCs w:val="28"/>
        </w:rPr>
        <w:t>填写本表</w:t>
      </w:r>
      <w:r>
        <w:rPr>
          <w:rFonts w:eastAsia="方正仿宋_GBK"/>
          <w:sz w:val="24"/>
          <w:szCs w:val="28"/>
        </w:rPr>
        <w:t>，没有填写或填</w:t>
      </w:r>
      <w:r>
        <w:rPr>
          <w:rFonts w:hint="eastAsia" w:eastAsia="方正仿宋_GBK"/>
          <w:sz w:val="24"/>
          <w:szCs w:val="28"/>
        </w:rPr>
        <w:t>写</w:t>
      </w:r>
      <w:r>
        <w:rPr>
          <w:rFonts w:eastAsia="方正仿宋_GBK"/>
          <w:sz w:val="24"/>
          <w:szCs w:val="28"/>
        </w:rPr>
        <w:t>不完整的按无明细</w:t>
      </w:r>
      <w:r>
        <w:rPr>
          <w:rFonts w:hint="eastAsia" w:eastAsia="方正仿宋_GBK"/>
          <w:sz w:val="24"/>
          <w:szCs w:val="28"/>
        </w:rPr>
        <w:t>报价表</w:t>
      </w:r>
      <w:r>
        <w:rPr>
          <w:rFonts w:eastAsia="方正仿宋_GBK"/>
          <w:sz w:val="24"/>
          <w:szCs w:val="28"/>
        </w:rPr>
        <w:t>处理</w:t>
      </w:r>
      <w:r>
        <w:rPr>
          <w:rFonts w:hint="eastAsia" w:ascii="方正仿宋_GBK" w:hAnsi="宋体" w:eastAsia="方正仿宋_GBK"/>
          <w:sz w:val="24"/>
          <w:szCs w:val="28"/>
        </w:rPr>
        <w:t>。</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17" w:name="OLE_LINK2"/>
      <w:bookmarkStart w:id="118" w:name="OLE_LINK1"/>
      <w:r>
        <w:rPr>
          <w:rFonts w:hint="eastAsia" w:ascii="方正仿宋_GBK" w:hAnsi="宋体" w:eastAsia="方正仿宋_GBK"/>
          <w:sz w:val="24"/>
          <w:szCs w:val="28"/>
          <w:lang w:val="en-US" w:eastAsia="zh-CN"/>
        </w:rPr>
        <w:t>或自拟</w:t>
      </w:r>
      <w:r>
        <w:rPr>
          <w:rFonts w:hint="eastAsia" w:ascii="方正仿宋_GBK" w:hAnsi="宋体" w:eastAsia="方正仿宋_GBK"/>
          <w:sz w:val="24"/>
          <w:szCs w:val="28"/>
        </w:rPr>
        <w:t>。</w:t>
      </w:r>
      <w:bookmarkEnd w:id="117"/>
      <w:bookmarkEnd w:id="118"/>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3.无此项费用的，以“单价”和“合计”栏以“0”表示。</w:t>
      </w:r>
    </w:p>
    <w:p>
      <w:pPr>
        <w:pStyle w:val="10"/>
        <w:spacing w:line="360" w:lineRule="auto"/>
        <w:rPr>
          <w:rFonts w:ascii="方正仿宋_GBK" w:hAnsi="宋体" w:eastAsia="方正仿宋_GBK"/>
          <w:sz w:val="24"/>
          <w:szCs w:val="24"/>
        </w:rPr>
      </w:pPr>
    </w:p>
    <w:p>
      <w:pPr>
        <w:pStyle w:val="1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headerReference r:id="rId14"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ascii="方正仿宋_GBK" w:hAnsi="宋体" w:eastAsia="方正仿宋_GBK"/>
          <w:sz w:val="24"/>
        </w:rPr>
      </w:pPr>
      <w:bookmarkStart w:id="119" w:name="_Toc313888361"/>
      <w:bookmarkStart w:id="120" w:name="_Toc76462351"/>
      <w:bookmarkStart w:id="121" w:name="_Toc313008357"/>
      <w:bookmarkStart w:id="122" w:name="_Toc106030907"/>
      <w:bookmarkStart w:id="123" w:name="_Toc342913420"/>
      <w:r>
        <w:rPr>
          <w:rFonts w:hint="eastAsia" w:ascii="方正仿宋_GBK" w:hAnsi="宋体" w:eastAsia="方正仿宋_GBK"/>
          <w:sz w:val="24"/>
        </w:rPr>
        <w:t>二、服务部分</w:t>
      </w:r>
      <w:bookmarkEnd w:id="119"/>
      <w:bookmarkEnd w:id="120"/>
      <w:bookmarkEnd w:id="121"/>
      <w:bookmarkEnd w:id="122"/>
      <w:bookmarkEnd w:id="123"/>
    </w:p>
    <w:p>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磋商项目名称：</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pPr>
        <w:tabs>
          <w:tab w:val="left" w:pos="6300"/>
        </w:tabs>
        <w:snapToGrid w:val="0"/>
        <w:spacing w:line="480" w:lineRule="exact"/>
        <w:ind w:firstLine="480" w:firstLineChars="200"/>
        <w:rPr>
          <w:rFonts w:ascii="方正仿宋_GBK" w:hAnsi="仿宋" w:eastAsia="方正仿宋_GBK"/>
          <w:sz w:val="24"/>
          <w:szCs w:val="24"/>
        </w:rPr>
      </w:pPr>
      <w:r>
        <w:rPr>
          <w:rFonts w:hint="eastAsia" w:ascii="方正仿宋_GBK" w:hAnsi="宋体" w:eastAsia="方正仿宋_GBK"/>
          <w:sz w:val="24"/>
        </w:rPr>
        <w:t>2.本表可扩展</w:t>
      </w:r>
      <w:r>
        <w:rPr>
          <w:rFonts w:hint="eastAsia" w:ascii="方正仿宋_GBK" w:hAnsi="仿宋" w:eastAsia="方正仿宋_GBK"/>
          <w:sz w:val="24"/>
          <w:szCs w:val="24"/>
        </w:rPr>
        <w:t>，</w:t>
      </w:r>
      <w:r>
        <w:rPr>
          <w:rFonts w:eastAsia="方正仿宋_GBK"/>
          <w:sz w:val="24"/>
          <w:szCs w:val="28"/>
        </w:rPr>
        <w:t>请</w:t>
      </w:r>
      <w:r>
        <w:rPr>
          <w:rFonts w:hint="eastAsia" w:eastAsia="方正仿宋_GBK"/>
          <w:sz w:val="24"/>
          <w:szCs w:val="28"/>
        </w:rPr>
        <w:t>供应商</w:t>
      </w:r>
      <w:r>
        <w:rPr>
          <w:rFonts w:eastAsia="方正仿宋_GBK"/>
          <w:sz w:val="24"/>
          <w:szCs w:val="28"/>
        </w:rPr>
        <w:t>完整填写本表，没有填写或填</w:t>
      </w:r>
      <w:r>
        <w:rPr>
          <w:rFonts w:hint="eastAsia" w:eastAsia="方正仿宋_GBK"/>
          <w:sz w:val="24"/>
          <w:szCs w:val="28"/>
        </w:rPr>
        <w:t>写</w:t>
      </w:r>
      <w:r>
        <w:rPr>
          <w:rFonts w:eastAsia="方正仿宋_GBK"/>
          <w:sz w:val="24"/>
          <w:szCs w:val="28"/>
        </w:rPr>
        <w:t>不完整的按无</w:t>
      </w:r>
      <w:r>
        <w:rPr>
          <w:rFonts w:hint="eastAsia" w:ascii="方正仿宋_GBK" w:hAnsi="宋体" w:eastAsia="方正仿宋_GBK"/>
          <w:sz w:val="24"/>
          <w:szCs w:val="28"/>
        </w:rPr>
        <w:t>服务响应偏离表</w:t>
      </w:r>
      <w:r>
        <w:rPr>
          <w:rFonts w:eastAsia="方正仿宋_GBK"/>
          <w:sz w:val="24"/>
          <w:szCs w:val="28"/>
        </w:rPr>
        <w:t>处理</w:t>
      </w:r>
      <w:r>
        <w:rPr>
          <w:rFonts w:hint="eastAsia" w:ascii="方正仿宋_GBK" w:hAnsi="仿宋" w:eastAsia="方正仿宋_GBK"/>
          <w:sz w:val="24"/>
          <w:szCs w:val="24"/>
        </w:rPr>
        <w:t>。</w:t>
      </w:r>
    </w:p>
    <w:p>
      <w:pPr>
        <w:snapToGrid w:val="0"/>
        <w:spacing w:line="400" w:lineRule="exact"/>
        <w:ind w:firstLine="480" w:firstLineChars="200"/>
        <w:jc w:val="left"/>
        <w:rPr>
          <w:rFonts w:ascii="方正仿宋_GBK" w:hAnsi="宋体" w:eastAsia="方正仿宋_GBK"/>
          <w:sz w:val="24"/>
          <w:szCs w:val="24"/>
        </w:rPr>
      </w:pPr>
      <w:r>
        <w:rPr>
          <w:rFonts w:hint="eastAsia" w:ascii="方正仿宋_GBK" w:hAnsi="仿宋" w:eastAsia="方正仿宋_GBK"/>
          <w:sz w:val="24"/>
          <w:szCs w:val="28"/>
        </w:rPr>
        <w:t>3.响应情况栏</w:t>
      </w:r>
      <w:r>
        <w:rPr>
          <w:rFonts w:ascii="方正仿宋_GBK" w:hAnsi="仿宋" w:eastAsia="方正仿宋_GBK"/>
          <w:sz w:val="24"/>
          <w:szCs w:val="28"/>
        </w:rPr>
        <w:t>中</w:t>
      </w:r>
      <w:r>
        <w:rPr>
          <w:rFonts w:hint="eastAsia" w:ascii="方正仿宋_GBK" w:hAnsi="仿宋" w:eastAsia="方正仿宋_GBK"/>
          <w:sz w:val="24"/>
          <w:szCs w:val="28"/>
        </w:rPr>
        <w:t>应当注明</w:t>
      </w:r>
      <w:r>
        <w:rPr>
          <w:rFonts w:ascii="方正仿宋_GBK" w:hAnsi="仿宋" w:eastAsia="方正仿宋_GBK"/>
          <w:sz w:val="24"/>
          <w:szCs w:val="28"/>
        </w:rPr>
        <w:t>具体内容，且必须标注具体内容</w:t>
      </w:r>
      <w:r>
        <w:rPr>
          <w:rFonts w:hint="eastAsia" w:ascii="方正仿宋_GBK" w:hAnsi="仿宋" w:eastAsia="方正仿宋_GBK"/>
          <w:sz w:val="24"/>
          <w:szCs w:val="28"/>
        </w:rPr>
        <w:t>在响应</w:t>
      </w:r>
      <w:r>
        <w:rPr>
          <w:rFonts w:ascii="方正仿宋_GBK" w:hAnsi="仿宋" w:eastAsia="方正仿宋_GBK"/>
          <w:sz w:val="24"/>
          <w:szCs w:val="28"/>
        </w:rPr>
        <w:t>文件中的位置（</w:t>
      </w:r>
      <w:r>
        <w:rPr>
          <w:rFonts w:hint="eastAsia" w:ascii="方正仿宋_GBK" w:hAnsi="仿宋" w:eastAsia="方正仿宋_GBK"/>
          <w:sz w:val="24"/>
          <w:szCs w:val="28"/>
        </w:rPr>
        <w:t>页码</w:t>
      </w:r>
      <w:r>
        <w:rPr>
          <w:rFonts w:ascii="方正仿宋_GBK" w:hAnsi="仿宋" w:eastAsia="方正仿宋_GBK"/>
          <w:sz w:val="24"/>
          <w:szCs w:val="28"/>
        </w:rPr>
        <w:t>）</w:t>
      </w:r>
      <w:r>
        <w:rPr>
          <w:rFonts w:hint="eastAsia" w:ascii="方正仿宋_GBK" w:hAnsi="仿宋" w:eastAsia="方正仿宋_GBK"/>
          <w:sz w:val="24"/>
          <w:szCs w:val="28"/>
        </w:rPr>
        <w:t>。</w:t>
      </w:r>
    </w:p>
    <w:p>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pPr>
        <w:pStyle w:val="3"/>
        <w:adjustRightInd w:val="0"/>
        <w:snapToGrid w:val="0"/>
        <w:spacing w:before="0" w:after="0" w:line="400" w:lineRule="exact"/>
        <w:ind w:firstLine="499" w:firstLineChars="208"/>
        <w:rPr>
          <w:rFonts w:ascii="方正仿宋_GBK" w:hAnsi="宋体" w:eastAsia="方正仿宋_GBK"/>
          <w:b w:val="0"/>
          <w:sz w:val="24"/>
        </w:rPr>
      </w:pPr>
      <w:r>
        <w:rPr>
          <w:rFonts w:hint="eastAsia" w:ascii="方正仿宋_GBK" w:hAnsi="宋体" w:eastAsia="方正仿宋_GBK"/>
          <w:b w:val="0"/>
          <w:sz w:val="24"/>
        </w:rPr>
        <w:t>1........</w:t>
      </w:r>
    </w:p>
    <w:p>
      <w:pPr>
        <w:pStyle w:val="3"/>
        <w:adjustRightInd w:val="0"/>
        <w:snapToGrid w:val="0"/>
        <w:spacing w:before="0" w:after="0" w:line="400" w:lineRule="exact"/>
        <w:ind w:firstLine="499" w:firstLineChars="208"/>
        <w:rPr>
          <w:rFonts w:ascii="方正仿宋_GBK" w:hAnsi="宋体" w:eastAsia="方正仿宋_GBK"/>
          <w:b w:val="0"/>
          <w:sz w:val="24"/>
        </w:rPr>
      </w:pPr>
      <w:r>
        <w:rPr>
          <w:rFonts w:hint="eastAsia" w:ascii="方正仿宋_GBK" w:hAnsi="宋体" w:eastAsia="方正仿宋_GBK"/>
          <w:b w:val="0"/>
          <w:sz w:val="24"/>
        </w:rPr>
        <w:t>2........</w:t>
      </w:r>
    </w:p>
    <w:p>
      <w:pPr>
        <w:pStyle w:val="3"/>
        <w:adjustRightInd w:val="0"/>
        <w:snapToGrid w:val="0"/>
        <w:spacing w:before="0" w:after="0" w:line="400" w:lineRule="exact"/>
        <w:ind w:firstLine="499" w:firstLineChars="208"/>
        <w:rPr>
          <w:rFonts w:ascii="方正仿宋_GBK" w:hAnsi="宋体" w:eastAsia="方正仿宋_GBK"/>
          <w:b w:val="0"/>
          <w:sz w:val="24"/>
        </w:rPr>
      </w:pPr>
      <w:r>
        <w:rPr>
          <w:rFonts w:hint="eastAsia" w:ascii="方正仿宋_GBK" w:hAnsi="宋体" w:eastAsia="方正仿宋_GBK"/>
          <w:b w:val="0"/>
          <w:sz w:val="24"/>
        </w:rPr>
        <w:t>3........</w:t>
      </w:r>
    </w:p>
    <w:p>
      <w:pPr>
        <w:pStyle w:val="3"/>
        <w:adjustRightInd w:val="0"/>
        <w:snapToGrid w:val="0"/>
        <w:spacing w:before="0" w:after="0" w:line="400" w:lineRule="exact"/>
        <w:ind w:firstLine="499" w:firstLineChars="208"/>
        <w:rPr>
          <w:rFonts w:ascii="方正仿宋_GBK" w:hAnsi="宋体" w:eastAsia="方正仿宋_GBK"/>
          <w:b w:val="0"/>
          <w:sz w:val="24"/>
        </w:rPr>
      </w:pPr>
      <w:r>
        <w:rPr>
          <w:rFonts w:hint="eastAsia" w:ascii="方正仿宋_GBK" w:hAnsi="宋体" w:eastAsia="方正仿宋_GBK"/>
          <w:b w:val="0"/>
          <w:sz w:val="24"/>
        </w:rPr>
        <w:t>4........</w:t>
      </w:r>
    </w:p>
    <w:p>
      <w:pPr>
        <w:pStyle w:val="3"/>
        <w:adjustRightInd w:val="0"/>
        <w:snapToGrid w:val="0"/>
        <w:spacing w:before="0" w:after="0" w:line="400" w:lineRule="exact"/>
        <w:ind w:firstLine="499" w:firstLineChars="208"/>
        <w:rPr>
          <w:rFonts w:ascii="方正仿宋_GBK" w:hAnsi="宋体" w:eastAsia="方正仿宋_GBK"/>
          <w:sz w:val="24"/>
        </w:rPr>
      </w:pPr>
      <w:r>
        <w:rPr>
          <w:rFonts w:hint="eastAsia" w:ascii="方正仿宋_GBK" w:hAnsi="宋体" w:eastAsia="方正仿宋_GBK"/>
          <w:b w:val="0"/>
          <w:sz w:val="24"/>
        </w:rPr>
        <w:t>..........</w:t>
      </w:r>
      <w:r>
        <w:rPr>
          <w:rFonts w:hint="eastAsia" w:ascii="方正仿宋_GBK" w:hAnsi="宋体" w:eastAsia="方正仿宋_GBK"/>
          <w:b w:val="0"/>
          <w:sz w:val="24"/>
        </w:rPr>
        <w:br w:type="page"/>
      </w:r>
      <w:bookmarkStart w:id="124" w:name="_Toc313888362"/>
      <w:bookmarkStart w:id="125" w:name="_Toc342913421"/>
      <w:bookmarkStart w:id="126" w:name="_Toc313008358"/>
      <w:bookmarkStart w:id="127" w:name="_Toc76462352"/>
      <w:bookmarkStart w:id="128" w:name="_Toc106030908"/>
      <w:r>
        <w:rPr>
          <w:rFonts w:hint="eastAsia" w:ascii="方正仿宋_GBK" w:hAnsi="宋体" w:eastAsia="方正仿宋_GBK"/>
          <w:sz w:val="24"/>
        </w:rPr>
        <w:t>三、商务部分</w:t>
      </w:r>
      <w:bookmarkEnd w:id="124"/>
      <w:bookmarkEnd w:id="125"/>
      <w:bookmarkEnd w:id="126"/>
      <w:bookmarkEnd w:id="127"/>
      <w:bookmarkEnd w:id="12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磋商项目名称： </w:t>
      </w:r>
    </w:p>
    <w:tbl>
      <w:tblPr>
        <w:tblStyle w:val="14"/>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磋商项目商务需求</w:t>
            </w: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仿宋" w:eastAsia="方正仿宋_GBK"/>
          <w:sz w:val="24"/>
          <w:szCs w:val="24"/>
        </w:rPr>
      </w:pPr>
      <w:r>
        <w:rPr>
          <w:rFonts w:hint="eastAsia" w:ascii="方正仿宋_GBK" w:hAnsi="宋体" w:eastAsia="方正仿宋_GBK"/>
          <w:sz w:val="24"/>
        </w:rPr>
        <w:t>2.本表可扩展</w:t>
      </w:r>
      <w:r>
        <w:rPr>
          <w:rFonts w:hint="eastAsia" w:ascii="方正仿宋_GBK" w:hAnsi="仿宋" w:eastAsia="方正仿宋_GBK"/>
          <w:sz w:val="24"/>
          <w:szCs w:val="24"/>
        </w:rPr>
        <w:t>，</w:t>
      </w:r>
      <w:r>
        <w:rPr>
          <w:rFonts w:eastAsia="方正仿宋_GBK"/>
          <w:sz w:val="24"/>
          <w:szCs w:val="28"/>
        </w:rPr>
        <w:t>请</w:t>
      </w:r>
      <w:r>
        <w:rPr>
          <w:rFonts w:hint="eastAsia" w:eastAsia="方正仿宋_GBK"/>
          <w:sz w:val="24"/>
          <w:szCs w:val="28"/>
        </w:rPr>
        <w:t>供应商</w:t>
      </w:r>
      <w:r>
        <w:rPr>
          <w:rFonts w:eastAsia="方正仿宋_GBK"/>
          <w:sz w:val="24"/>
          <w:szCs w:val="28"/>
        </w:rPr>
        <w:t>完整填写本表，没有填写或填</w:t>
      </w:r>
      <w:r>
        <w:rPr>
          <w:rFonts w:hint="eastAsia" w:eastAsia="方正仿宋_GBK"/>
          <w:sz w:val="24"/>
          <w:szCs w:val="28"/>
        </w:rPr>
        <w:t>写</w:t>
      </w:r>
      <w:r>
        <w:rPr>
          <w:rFonts w:eastAsia="方正仿宋_GBK"/>
          <w:sz w:val="24"/>
          <w:szCs w:val="28"/>
        </w:rPr>
        <w:t>不完整的按无</w:t>
      </w:r>
      <w:r>
        <w:rPr>
          <w:rFonts w:hint="eastAsia" w:ascii="方正仿宋_GBK" w:hAnsi="宋体" w:eastAsia="方正仿宋_GBK"/>
          <w:sz w:val="24"/>
          <w:szCs w:val="28"/>
        </w:rPr>
        <w:t>商务响应偏离表</w:t>
      </w:r>
      <w:r>
        <w:rPr>
          <w:rFonts w:eastAsia="方正仿宋_GBK"/>
          <w:sz w:val="24"/>
          <w:szCs w:val="28"/>
        </w:rPr>
        <w:t>处理</w:t>
      </w:r>
      <w:r>
        <w:rPr>
          <w:rFonts w:hint="eastAsia" w:ascii="方正仿宋_GBK" w:hAnsi="仿宋" w:eastAsia="方正仿宋_GBK"/>
          <w:sz w:val="24"/>
          <w:szCs w:val="24"/>
        </w:rPr>
        <w:t>。</w:t>
      </w:r>
    </w:p>
    <w:p>
      <w:pPr>
        <w:snapToGrid w:val="0"/>
        <w:spacing w:line="400" w:lineRule="exact"/>
        <w:ind w:firstLine="480" w:firstLineChars="200"/>
        <w:rPr>
          <w:rFonts w:ascii="方正仿宋_GBK" w:eastAsia="方正仿宋_GBK"/>
          <w:b/>
        </w:rPr>
        <w:sectPr>
          <w:pgSz w:w="11907" w:h="16840"/>
          <w:pgMar w:top="1134" w:right="1191" w:bottom="1134" w:left="1304" w:header="851" w:footer="992" w:gutter="0"/>
          <w:pgNumType w:fmt="numberInDash"/>
          <w:cols w:space="720" w:num="1"/>
          <w:docGrid w:linePitch="380" w:charSpace="-5735"/>
        </w:sectPr>
      </w:pPr>
      <w:r>
        <w:rPr>
          <w:rFonts w:hint="eastAsia" w:ascii="方正仿宋_GBK" w:hAnsi="仿宋" w:eastAsia="方正仿宋_GBK"/>
          <w:sz w:val="24"/>
          <w:szCs w:val="28"/>
        </w:rPr>
        <w:t>3.响应情况栏</w:t>
      </w:r>
      <w:r>
        <w:rPr>
          <w:rFonts w:ascii="方正仿宋_GBK" w:hAnsi="仿宋" w:eastAsia="方正仿宋_GBK"/>
          <w:sz w:val="24"/>
          <w:szCs w:val="28"/>
        </w:rPr>
        <w:t>中</w:t>
      </w:r>
      <w:r>
        <w:rPr>
          <w:rFonts w:hint="eastAsia" w:ascii="方正仿宋_GBK" w:hAnsi="仿宋" w:eastAsia="方正仿宋_GBK"/>
          <w:sz w:val="24"/>
          <w:szCs w:val="28"/>
        </w:rPr>
        <w:t>应当注明</w:t>
      </w:r>
      <w:r>
        <w:rPr>
          <w:rFonts w:ascii="方正仿宋_GBK" w:hAnsi="仿宋" w:eastAsia="方正仿宋_GBK"/>
          <w:sz w:val="24"/>
          <w:szCs w:val="28"/>
        </w:rPr>
        <w:t>具体内容，且必须标注具体内容</w:t>
      </w:r>
      <w:r>
        <w:rPr>
          <w:rFonts w:hint="eastAsia" w:ascii="方正仿宋_GBK" w:hAnsi="仿宋" w:eastAsia="方正仿宋_GBK"/>
          <w:sz w:val="24"/>
          <w:szCs w:val="28"/>
        </w:rPr>
        <w:t>在响应</w:t>
      </w:r>
      <w:r>
        <w:rPr>
          <w:rFonts w:ascii="方正仿宋_GBK" w:hAnsi="仿宋" w:eastAsia="方正仿宋_GBK"/>
          <w:sz w:val="24"/>
          <w:szCs w:val="28"/>
        </w:rPr>
        <w:t>文件中的位置（</w:t>
      </w:r>
      <w:r>
        <w:rPr>
          <w:rFonts w:hint="eastAsia" w:ascii="方正仿宋_GBK" w:hAnsi="仿宋" w:eastAsia="方正仿宋_GBK"/>
          <w:sz w:val="24"/>
          <w:szCs w:val="28"/>
        </w:rPr>
        <w:t>页码</w:t>
      </w:r>
      <w:r>
        <w:rPr>
          <w:rFonts w:ascii="方正仿宋_GBK" w:hAnsi="仿宋" w:eastAsia="方正仿宋_GBK"/>
          <w:sz w:val="24"/>
          <w:szCs w:val="28"/>
        </w:rPr>
        <w:t>）</w:t>
      </w:r>
      <w:r>
        <w:rPr>
          <w:rFonts w:hint="eastAsia" w:ascii="方正仿宋_GBK" w:hAnsi="仿宋" w:eastAsia="方正仿宋_GBK"/>
          <w:sz w:val="24"/>
          <w:szCs w:val="28"/>
        </w:rPr>
        <w:t>。</w:t>
      </w:r>
    </w:p>
    <w:p>
      <w:pPr>
        <w:snapToGrid w:val="0"/>
        <w:spacing w:line="400" w:lineRule="exact"/>
        <w:ind w:firstLine="480" w:firstLineChars="200"/>
        <w:rPr>
          <w:rFonts w:ascii="方正仿宋_GBK" w:hAnsi="宋体" w:eastAsia="方正仿宋_GBK"/>
          <w:sz w:val="24"/>
          <w:szCs w:val="24"/>
        </w:rPr>
      </w:pPr>
      <w:bookmarkStart w:id="129" w:name="_Toc283382459"/>
      <w:r>
        <w:rPr>
          <w:rFonts w:hint="eastAsia" w:ascii="方正仿宋_GBK" w:hAnsi="宋体" w:eastAsia="方正仿宋_GBK"/>
          <w:sz w:val="24"/>
          <w:szCs w:val="24"/>
        </w:rPr>
        <w:t>（二）其它优惠承诺（格式自定）</w:t>
      </w:r>
    </w:p>
    <w:p>
      <w:pPr>
        <w:snapToGrid w:val="0"/>
        <w:spacing w:line="400" w:lineRule="exact"/>
        <w:ind w:firstLine="480" w:firstLineChars="200"/>
        <w:rPr>
          <w:rFonts w:ascii="方正仿宋_GBK" w:hAnsi="宋体" w:eastAsia="方正仿宋_GBK"/>
          <w:sz w:val="24"/>
          <w:szCs w:val="24"/>
        </w:rPr>
      </w:pPr>
    </w:p>
    <w:p>
      <w:pPr>
        <w:pStyle w:val="3"/>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End w:id="129"/>
      <w:bookmarkStart w:id="130" w:name="_Toc106030909"/>
      <w:bookmarkStart w:id="131" w:name="_Toc342913422"/>
      <w:bookmarkStart w:id="132" w:name="_Toc313888363"/>
      <w:bookmarkStart w:id="133" w:name="_Toc313008359"/>
      <w:bookmarkStart w:id="134" w:name="_Toc76462353"/>
      <w:r>
        <w:rPr>
          <w:rFonts w:hint="eastAsia" w:ascii="方正仿宋_GBK" w:hAnsi="宋体" w:eastAsia="方正仿宋_GBK"/>
          <w:sz w:val="24"/>
        </w:rPr>
        <w:t>四、资格条件</w:t>
      </w:r>
      <w:bookmarkEnd w:id="130"/>
      <w:bookmarkEnd w:id="131"/>
      <w:bookmarkEnd w:id="132"/>
      <w:bookmarkEnd w:id="133"/>
      <w:bookmarkEnd w:id="134"/>
    </w:p>
    <w:p>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磋商项目名称：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磋商项目名称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（五）落实政府采购政策需满足的资格要求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本项目属于专门面向中小企业采购的项目（</w:t>
      </w:r>
      <w:r>
        <w:rPr>
          <w:rFonts w:hint="eastAsia" w:ascii="方正仿宋_GBK" w:hAnsi="仿宋" w:eastAsia="方正仿宋_GBK"/>
          <w:bCs/>
          <w:sz w:val="24"/>
          <w:szCs w:val="24"/>
        </w:rPr>
        <w:t>监狱企业、残疾人福利性单位视同小型、微型企业</w:t>
      </w:r>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（六）特定资格条件证明文件</w:t>
      </w:r>
      <w:r>
        <w:rPr>
          <w:rFonts w:hint="eastAsia" w:ascii="方正仿宋_GBK" w:hAnsi="宋体" w:eastAsia="方正仿宋_GBK"/>
          <w:sz w:val="24"/>
          <w:szCs w:val="24"/>
          <w:lang w:eastAsia="zh-CN"/>
        </w:rPr>
        <w:t>（</w:t>
      </w:r>
      <w:r>
        <w:rPr>
          <w:rFonts w:hint="eastAsia" w:ascii="方正仿宋_GBK" w:hAnsi="宋体" w:eastAsia="方正仿宋_GBK"/>
          <w:color w:val="0000FF"/>
          <w:sz w:val="24"/>
          <w:szCs w:val="24"/>
          <w:lang w:val="en-US" w:eastAsia="zh-CN"/>
        </w:rPr>
        <w:t>此项以特定资格</w:t>
      </w:r>
      <w:bookmarkStart w:id="138" w:name="_GoBack"/>
      <w:bookmarkEnd w:id="138"/>
      <w:r>
        <w:rPr>
          <w:rFonts w:hint="eastAsia" w:ascii="方正仿宋_GBK" w:hAnsi="宋体" w:eastAsia="方正仿宋_GBK"/>
          <w:color w:val="0000FF"/>
          <w:sz w:val="24"/>
          <w:szCs w:val="24"/>
          <w:lang w:val="en-US" w:eastAsia="zh-CN"/>
        </w:rPr>
        <w:t>要求为准，下面所列仅供参考</w:t>
      </w:r>
      <w:r>
        <w:rPr>
          <w:rFonts w:hint="eastAsia" w:ascii="方正仿宋_GBK" w:hAnsi="宋体" w:eastAsia="方正仿宋_GBK"/>
          <w:sz w:val="24"/>
          <w:szCs w:val="24"/>
          <w:lang w:eastAsia="zh-CN"/>
        </w:rPr>
        <w:t>）</w:t>
      </w:r>
    </w:p>
    <w:p>
      <w:pPr>
        <w:pStyle w:val="3"/>
        <w:adjustRightInd w:val="0"/>
        <w:snapToGrid w:val="0"/>
        <w:spacing w:before="0" w:after="0" w:line="400" w:lineRule="exact"/>
        <w:ind w:firstLine="480" w:firstLineChars="200"/>
        <w:rPr>
          <w:rFonts w:ascii="方正仿宋_GBK" w:hAnsi="宋体" w:eastAsia="方正仿宋_GBK"/>
          <w:b w:val="0"/>
          <w:sz w:val="24"/>
          <w:szCs w:val="24"/>
        </w:rPr>
      </w:pPr>
      <w:bookmarkStart w:id="135" w:name="_Toc14422"/>
      <w:r>
        <w:rPr>
          <w:rFonts w:hint="eastAsia" w:ascii="方正仿宋_GBK" w:hAnsi="宋体" w:eastAsia="方正仿宋_GBK"/>
          <w:b w:val="0"/>
          <w:sz w:val="24"/>
          <w:szCs w:val="24"/>
        </w:rPr>
        <w:t>1.城乡规划编制甲级；</w:t>
      </w:r>
    </w:p>
    <w:p>
      <w:pPr>
        <w:pStyle w:val="3"/>
        <w:adjustRightInd w:val="0"/>
        <w:snapToGrid w:val="0"/>
        <w:spacing w:before="0" w:after="0" w:line="400" w:lineRule="exact"/>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2.建设行政主管部门颁发的工程设计建筑行业（建筑工程）甲级或建筑行业甲级或工程设计综合甲级资质；</w:t>
      </w:r>
    </w:p>
    <w:p>
      <w:pPr>
        <w:pStyle w:val="3"/>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b w:val="0"/>
          <w:sz w:val="24"/>
          <w:szCs w:val="24"/>
        </w:rPr>
        <w:t>3.已按规定缴纳保证金的证明材料。</w:t>
      </w:r>
      <w:r>
        <w:rPr>
          <w:rFonts w:hint="eastAsia" w:ascii="方正仿宋_GBK" w:hAnsi="宋体" w:eastAsia="方正仿宋_GBK"/>
          <w:b w:val="0"/>
          <w:sz w:val="24"/>
          <w:szCs w:val="24"/>
        </w:rPr>
        <w:br w:type="page"/>
      </w:r>
      <w:bookmarkStart w:id="136" w:name="_Toc76462354"/>
      <w:bookmarkStart w:id="137" w:name="_Toc106030910"/>
      <w:r>
        <w:rPr>
          <w:rFonts w:hint="eastAsia" w:ascii="方正仿宋_GBK" w:hAnsi="宋体" w:eastAsia="方正仿宋_GBK"/>
          <w:b w:val="0"/>
          <w:sz w:val="24"/>
          <w:szCs w:val="24"/>
        </w:rPr>
        <w:t xml:space="preserve">    </w:t>
      </w:r>
      <w:r>
        <w:rPr>
          <w:rFonts w:hint="eastAsia" w:ascii="方正仿宋_GBK" w:hAnsi="宋体" w:eastAsia="方正仿宋_GBK"/>
          <w:sz w:val="24"/>
        </w:rPr>
        <w:t>五、其他资料</w:t>
      </w:r>
      <w:bookmarkEnd w:id="135"/>
      <w:bookmarkEnd w:id="136"/>
      <w:bookmarkEnd w:id="137"/>
    </w:p>
    <w:p>
      <w:pPr>
        <w:tabs>
          <w:tab w:val="left" w:pos="63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pPr>
        <w:tabs>
          <w:tab w:val="left" w:pos="6300"/>
        </w:tabs>
        <w:snapToGrid w:val="0"/>
        <w:spacing w:line="500" w:lineRule="exact"/>
        <w:ind w:firstLine="560" w:firstLineChars="200"/>
        <w:jc w:val="center"/>
        <w:rPr>
          <w:rFonts w:ascii="方正仿宋_GBK" w:hAnsi="宋体" w:eastAsia="方正仿宋_GBK"/>
        </w:rPr>
      </w:pPr>
      <w:r>
        <w:rPr>
          <w:rFonts w:hint="eastAsia" w:ascii="方正仿宋_GBK" w:hAnsi="宋体" w:eastAsia="方正仿宋_GBK"/>
        </w:rPr>
        <w:t>中小企业声明函</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480" w:firstLineChars="200"/>
        <w:rPr>
          <w:rFonts w:ascii="方正仿宋_GBK" w:hAnsi="仿宋" w:eastAsia="方正仿宋_GBK"/>
          <w:sz w:val="24"/>
          <w:szCs w:val="28"/>
        </w:rPr>
      </w:pPr>
      <w:r>
        <w:rPr>
          <w:rFonts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right="784" w:firstLine="6120" w:firstLineChars="2550"/>
        <w:rPr>
          <w:rFonts w:ascii="方正仿宋_GBK" w:hAnsi="仿宋" w:eastAsia="方正仿宋_GBK"/>
          <w:sz w:val="24"/>
        </w:rPr>
      </w:pPr>
      <w:r>
        <w:rPr>
          <w:rFonts w:hint="eastAsia" w:ascii="方正仿宋_GBK" w:hAnsi="仿宋" w:eastAsia="方正仿宋_GBK"/>
          <w:sz w:val="24"/>
          <w:szCs w:val="28"/>
        </w:rPr>
        <w:t>日期：</w:t>
      </w:r>
    </w:p>
    <w:p>
      <w:pPr>
        <w:tabs>
          <w:tab w:val="left" w:pos="6300"/>
        </w:tabs>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ind w:firstLine="422"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pPr>
        <w:tabs>
          <w:tab w:val="left" w:pos="6300"/>
        </w:tabs>
        <w:snapToGrid w:val="0"/>
        <w:ind w:firstLine="422"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ascii="方正仿宋_GBK" w:hAnsi="宋体" w:eastAsia="方正仿宋_GBK"/>
        </w:rPr>
      </w:pPr>
      <w:r>
        <w:rPr>
          <w:rFonts w:ascii="方正仿宋_GBK" w:hAnsi="宋体" w:eastAsia="方正仿宋_GBK"/>
          <w:sz w:val="24"/>
          <w:szCs w:val="24"/>
        </w:rPr>
        <w:br w:type="page"/>
      </w:r>
      <w:r>
        <w:rPr>
          <w:rFonts w:hint="eastAsia" w:ascii="方正仿宋_GBK" w:hAnsi="宋体" w:eastAsia="方正仿宋_GBK"/>
        </w:rPr>
        <w:t>监狱企业证明文件</w:t>
      </w:r>
    </w:p>
    <w:p>
      <w:pPr>
        <w:tabs>
          <w:tab w:val="left" w:pos="6300"/>
        </w:tabs>
        <w:snapToGrid w:val="0"/>
        <w:spacing w:line="400" w:lineRule="exact"/>
        <w:ind w:firstLine="480" w:firstLineChars="200"/>
        <w:rPr>
          <w:rFonts w:ascii="方正仿宋_GBK" w:hAnsi="仿宋" w:eastAsia="方正仿宋_GBK"/>
          <w:sz w:val="24"/>
        </w:rPr>
      </w:pPr>
      <w:r>
        <w:rPr>
          <w:rFonts w:hint="eastAsia" w:ascii="方正仿宋_GBK" w:hAnsi="仿宋" w:eastAsia="方正仿宋_GBK"/>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方正仿宋_GBK" w:hAnsi="宋体" w:eastAsia="方正仿宋_GBK"/>
        </w:rPr>
      </w:pPr>
      <w:r>
        <w:rPr>
          <w:rFonts w:ascii="方正仿宋_GBK" w:hAnsi="仿宋" w:eastAsia="方正仿宋_GBK"/>
          <w:sz w:val="24"/>
        </w:rPr>
        <w:br w:type="page"/>
      </w:r>
      <w:r>
        <w:rPr>
          <w:rFonts w:hint="eastAsia" w:ascii="方正仿宋_GBK" w:hAnsi="宋体" w:eastAsia="方正仿宋_GBK"/>
        </w:rPr>
        <w:t>残疾人福利性单位声明函</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供应商名称（盖章）：</w:t>
      </w:r>
    </w:p>
    <w:p>
      <w:pPr>
        <w:snapToGrid w:val="0"/>
        <w:spacing w:line="440" w:lineRule="exact"/>
        <w:ind w:firstLine="480" w:firstLineChars="200"/>
        <w:rPr>
          <w:rFonts w:ascii="方正仿宋_GBK" w:hAnsi="仿宋" w:eastAsia="方正仿宋_GBK"/>
          <w:sz w:val="24"/>
        </w:rPr>
      </w:pPr>
      <w:r>
        <w:rPr>
          <w:rFonts w:hint="eastAsia" w:ascii="方正仿宋_GBK" w:hAnsi="仿宋" w:eastAsia="方正仿宋_GBK"/>
          <w:sz w:val="24"/>
        </w:rPr>
        <w:t xml:space="preserve">                                                  日  期：</w:t>
      </w: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r>
        <w:rPr>
          <w:rFonts w:hint="eastAsia" w:ascii="方正仿宋_GBK" w:hAnsi="宋体" w:eastAsia="方正仿宋_GBK" w:cs="宋体"/>
          <w:kern w:val="0"/>
          <w:sz w:val="24"/>
        </w:rPr>
        <w:t>若成交供应商为残疾人福利性单位的，将在结果公告时公告其《残疾人福利性单位声明函》。</w:t>
      </w:r>
    </w:p>
    <w:p>
      <w:pPr>
        <w:snapToGrid w:val="0"/>
        <w:spacing w:line="440" w:lineRule="exact"/>
        <w:ind w:firstLine="480" w:firstLineChars="200"/>
        <w:rPr>
          <w:rFonts w:ascii="方正仿宋_GBK" w:hAnsi="仿宋" w:eastAsia="方正仿宋_GBK"/>
          <w:sz w:val="24"/>
        </w:rPr>
      </w:pP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br w:type="page"/>
      </w:r>
      <w:r>
        <w:rPr>
          <w:rFonts w:hint="eastAsia" w:ascii="方正仿宋_GBK" w:hAnsi="宋体" w:eastAsia="方正仿宋_GBK"/>
          <w:sz w:val="24"/>
          <w:szCs w:val="24"/>
        </w:rPr>
        <w:t>（二）联合体协议或分包意向协议（格式自定）</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（三）其他与项目有关的资料</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其他与项目有关的资料（自附）：供应商总体情况介绍、其他与本项目有关的资料等。</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- 5 -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p>
  <w:p>
    <w:pPr>
      <w:pStyle w:val="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rPr>
    </w:pPr>
    <w:r>
      <w:rPr>
        <w:sz w:val="24"/>
      </w:rPr>
      <w:fldChar w:fldCharType="begin"/>
    </w:r>
    <w:r>
      <w:rPr>
        <w:rStyle w:val="16"/>
        <w:sz w:val="24"/>
      </w:rPr>
      <w:instrText xml:space="preserve"> PAGE </w:instrText>
    </w:r>
    <w:r>
      <w:rPr>
        <w:sz w:val="24"/>
      </w:rPr>
      <w:fldChar w:fldCharType="separate"/>
    </w:r>
    <w:r>
      <w:rPr>
        <w:rStyle w:val="16"/>
        <w:sz w:val="24"/>
      </w:rPr>
      <w:t>- 6 -</w:t>
    </w:r>
    <w:r>
      <w:rPr>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- 14 -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- 38 -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firstLine="2415" w:firstLineChars="1150"/>
      <w:jc w:val="both"/>
      <w:rPr>
        <w:rFonts w:ascii="方正仿宋_GBK" w:eastAsia="方正仿宋_GBK"/>
        <w:sz w:val="21"/>
        <w:szCs w:val="24"/>
      </w:rPr>
    </w:pPr>
    <w:r>
      <w:rPr>
        <w:rFonts w:hint="eastAsia" w:ascii="方正仿宋_GBK" w:eastAsia="方正仿宋_GBK"/>
        <w:sz w:val="21"/>
        <w:szCs w:val="24"/>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lY2NlYjI5YzU2OTU4NjAyMjEzMGRjNGM0Y2JmOWMifQ=="/>
  </w:docVars>
  <w:rsids>
    <w:rsidRoot w:val="4A3F1D41"/>
    <w:rsid w:val="00050424"/>
    <w:rsid w:val="00081D19"/>
    <w:rsid w:val="000E3A1E"/>
    <w:rsid w:val="001544A9"/>
    <w:rsid w:val="00291359"/>
    <w:rsid w:val="002B1B1C"/>
    <w:rsid w:val="002D5CF2"/>
    <w:rsid w:val="003D61A6"/>
    <w:rsid w:val="003E1305"/>
    <w:rsid w:val="00427CDE"/>
    <w:rsid w:val="00457F1E"/>
    <w:rsid w:val="00494FF2"/>
    <w:rsid w:val="004E3071"/>
    <w:rsid w:val="00522C15"/>
    <w:rsid w:val="0056763C"/>
    <w:rsid w:val="00624085"/>
    <w:rsid w:val="00653F52"/>
    <w:rsid w:val="00720DF3"/>
    <w:rsid w:val="007A0721"/>
    <w:rsid w:val="008434FF"/>
    <w:rsid w:val="00913B08"/>
    <w:rsid w:val="0094647F"/>
    <w:rsid w:val="00993413"/>
    <w:rsid w:val="009F17C6"/>
    <w:rsid w:val="00A26BDA"/>
    <w:rsid w:val="00A9366B"/>
    <w:rsid w:val="00B012A0"/>
    <w:rsid w:val="00B21E12"/>
    <w:rsid w:val="00BB699E"/>
    <w:rsid w:val="00C46940"/>
    <w:rsid w:val="00C63928"/>
    <w:rsid w:val="00C8550A"/>
    <w:rsid w:val="00CC259D"/>
    <w:rsid w:val="00D359E0"/>
    <w:rsid w:val="00D72E9D"/>
    <w:rsid w:val="00D9646B"/>
    <w:rsid w:val="00DD4774"/>
    <w:rsid w:val="00ED35CE"/>
    <w:rsid w:val="00F2245A"/>
    <w:rsid w:val="00F26166"/>
    <w:rsid w:val="00F945E2"/>
    <w:rsid w:val="01954D23"/>
    <w:rsid w:val="040B2705"/>
    <w:rsid w:val="04567A04"/>
    <w:rsid w:val="06DF4054"/>
    <w:rsid w:val="0B8A3084"/>
    <w:rsid w:val="0CE24F2B"/>
    <w:rsid w:val="0D554727"/>
    <w:rsid w:val="113B16DB"/>
    <w:rsid w:val="126A3360"/>
    <w:rsid w:val="13C805B1"/>
    <w:rsid w:val="148E100D"/>
    <w:rsid w:val="166C04B5"/>
    <w:rsid w:val="177014B8"/>
    <w:rsid w:val="17EC6AA8"/>
    <w:rsid w:val="1B764195"/>
    <w:rsid w:val="1B993517"/>
    <w:rsid w:val="1C155BE0"/>
    <w:rsid w:val="1E34308F"/>
    <w:rsid w:val="222A7517"/>
    <w:rsid w:val="26F131EE"/>
    <w:rsid w:val="2C9B7F14"/>
    <w:rsid w:val="2E9D3319"/>
    <w:rsid w:val="2EF60424"/>
    <w:rsid w:val="2FDE323F"/>
    <w:rsid w:val="30250777"/>
    <w:rsid w:val="311C3AA5"/>
    <w:rsid w:val="32F42001"/>
    <w:rsid w:val="33DE4C4F"/>
    <w:rsid w:val="35422731"/>
    <w:rsid w:val="35696BE1"/>
    <w:rsid w:val="384C13F3"/>
    <w:rsid w:val="392A4877"/>
    <w:rsid w:val="3B68320B"/>
    <w:rsid w:val="3D723F35"/>
    <w:rsid w:val="40E23743"/>
    <w:rsid w:val="41CC4AC2"/>
    <w:rsid w:val="42651D43"/>
    <w:rsid w:val="434A3318"/>
    <w:rsid w:val="438A54B5"/>
    <w:rsid w:val="448A54E4"/>
    <w:rsid w:val="46D613F9"/>
    <w:rsid w:val="48B616C7"/>
    <w:rsid w:val="4A3F1D41"/>
    <w:rsid w:val="4F512C0C"/>
    <w:rsid w:val="514B772E"/>
    <w:rsid w:val="51E20A73"/>
    <w:rsid w:val="521E70AB"/>
    <w:rsid w:val="525654BB"/>
    <w:rsid w:val="544117BF"/>
    <w:rsid w:val="551A4845"/>
    <w:rsid w:val="554D029E"/>
    <w:rsid w:val="55AE2AAB"/>
    <w:rsid w:val="561C2485"/>
    <w:rsid w:val="57F02AEE"/>
    <w:rsid w:val="58B37589"/>
    <w:rsid w:val="5DCA244C"/>
    <w:rsid w:val="5E3C008D"/>
    <w:rsid w:val="5EE67C51"/>
    <w:rsid w:val="606F0433"/>
    <w:rsid w:val="645E4BD3"/>
    <w:rsid w:val="65D65F25"/>
    <w:rsid w:val="671347D2"/>
    <w:rsid w:val="67190860"/>
    <w:rsid w:val="69891185"/>
    <w:rsid w:val="69C25DAF"/>
    <w:rsid w:val="6B29403F"/>
    <w:rsid w:val="6F99247E"/>
    <w:rsid w:val="750F6793"/>
    <w:rsid w:val="76E448F0"/>
    <w:rsid w:val="771747A5"/>
    <w:rsid w:val="79692AE1"/>
    <w:rsid w:val="7D2A276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4">
    <w:name w:val="Body Text Indent"/>
    <w:basedOn w:val="1"/>
    <w:qFormat/>
    <w:uiPriority w:val="0"/>
    <w:pPr>
      <w:spacing w:line="700" w:lineRule="exact"/>
      <w:ind w:left="960"/>
    </w:pPr>
    <w:rPr>
      <w:sz w:val="44"/>
    </w:rPr>
  </w:style>
  <w:style w:type="paragraph" w:styleId="5">
    <w:name w:val="Plain Text"/>
    <w:basedOn w:val="1"/>
    <w:qFormat/>
    <w:uiPriority w:val="0"/>
    <w:rPr>
      <w:rFonts w:ascii="宋体" w:hAnsi="Courier New"/>
      <w:sz w:val="21"/>
    </w:rPr>
  </w:style>
  <w:style w:type="paragraph" w:styleId="6">
    <w:name w:val="Date"/>
    <w:basedOn w:val="1"/>
    <w:next w:val="1"/>
    <w:qFormat/>
    <w:uiPriority w:val="0"/>
  </w:style>
  <w:style w:type="paragraph" w:styleId="7">
    <w:name w:val="Body Text Indent 2"/>
    <w:basedOn w:val="1"/>
    <w:qFormat/>
    <w:uiPriority w:val="0"/>
    <w:pPr>
      <w:snapToGrid w:val="0"/>
      <w:spacing w:line="560" w:lineRule="atLeast"/>
      <w:ind w:firstLine="54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spacing w:line="180" w:lineRule="auto"/>
      <w:jc w:val="center"/>
    </w:pPr>
    <w:rPr>
      <w:sz w:val="30"/>
    </w:rPr>
  </w:style>
  <w:style w:type="paragraph" w:styleId="11">
    <w:name w:val="toc 2"/>
    <w:basedOn w:val="1"/>
    <w:next w:val="1"/>
    <w:qFormat/>
    <w:uiPriority w:val="0"/>
    <w:pPr>
      <w:ind w:left="420" w:leftChars="200"/>
    </w:pPr>
  </w:style>
  <w:style w:type="paragraph" w:styleId="12">
    <w:name w:val="HTML Preformatted"/>
    <w:basedOn w:val="1"/>
    <w:qFormat/>
    <w:uiPriority w:val="0"/>
    <w:rPr>
      <w:rFonts w:ascii="Courier New" w:hAnsi="Courier New"/>
      <w:sz w:val="20"/>
    </w:rPr>
  </w:style>
  <w:style w:type="paragraph" w:styleId="13">
    <w:name w:val="Body Text First Indent"/>
    <w:basedOn w:val="1"/>
    <w:qFormat/>
    <w:uiPriority w:val="0"/>
    <w:pPr>
      <w:ind w:firstLine="420" w:firstLineChars="100"/>
    </w:pPr>
  </w:style>
  <w:style w:type="character" w:styleId="16">
    <w:name w:val="page number"/>
    <w:qFormat/>
    <w:uiPriority w:val="0"/>
  </w:style>
  <w:style w:type="character" w:styleId="17">
    <w:name w:val="FollowedHyperlink"/>
    <w:basedOn w:val="15"/>
    <w:qFormat/>
    <w:uiPriority w:val="0"/>
    <w:rPr>
      <w:color w:val="000000"/>
      <w:u w:val="none"/>
    </w:rPr>
  </w:style>
  <w:style w:type="character" w:styleId="18">
    <w:name w:val="Hyperlink"/>
    <w:qFormat/>
    <w:uiPriority w:val="0"/>
    <w:rPr>
      <w:color w:val="0000FF"/>
      <w:u w:val="single"/>
    </w:rPr>
  </w:style>
  <w:style w:type="paragraph" w:customStyle="1" w:styleId="19">
    <w:name w:val="图例"/>
    <w:basedOn w:val="1"/>
    <w:qFormat/>
    <w:uiPriority w:val="0"/>
    <w:pPr>
      <w:spacing w:before="120" w:after="120" w:line="360" w:lineRule="auto"/>
      <w:jc w:val="center"/>
    </w:pPr>
    <w:rPr>
      <w:rFonts w:eastAsia="仿宋_GB2312"/>
      <w:b/>
      <w:sz w:val="24"/>
    </w:rPr>
  </w:style>
  <w:style w:type="paragraph" w:customStyle="1" w:styleId="20">
    <w:name w:val="1"/>
    <w:basedOn w:val="1"/>
    <w:next w:val="5"/>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19184</Words>
  <Characters>20219</Characters>
  <Lines>163</Lines>
  <Paragraphs>46</Paragraphs>
  <TotalTime>87</TotalTime>
  <ScaleCrop>false</ScaleCrop>
  <LinksUpToDate>false</LinksUpToDate>
  <CharactersWithSpaces>21732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2022-11-03T01:37:00Z</dcterms:created>
  <dc:creator>Administrator</dc:creator>
  <cp:lastModifiedBy>Administrator</cp:lastModifiedBy>
  <dcterms:modified xsi:type="dcterms:W3CDTF">2023-03-02T02:04:38Z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A8D890CF5F18499E80CD5EB6D03B9813</vt:lpwstr>
  </property>
</Properties>
</file>