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contextualSpacing/>
        <w:jc w:val="left"/>
        <w:rPr>
          <w:rFonts w:eastAsia="方正黑体_GBK"/>
          <w:color w:val="FF0000"/>
          <w:spacing w:val="-10"/>
          <w:kern w:val="0"/>
          <w:sz w:val="28"/>
          <w:szCs w:val="28"/>
        </w:rPr>
      </w:pPr>
      <w:r>
        <w:rPr>
          <w:rFonts w:eastAsia="方正黑体_GBK"/>
          <w:color w:val="000000"/>
          <w:sz w:val="32"/>
          <w:szCs w:val="32"/>
        </w:rPr>
        <w:t>附件2</w:t>
      </w:r>
    </w:p>
    <w:p>
      <w:pPr>
        <w:spacing w:line="570" w:lineRule="exact"/>
        <w:contextualSpacing/>
        <w:jc w:val="left"/>
        <w:rPr>
          <w:rFonts w:eastAsia="方正黑体_GBK"/>
          <w:kern w:val="0"/>
          <w:sz w:val="28"/>
          <w:szCs w:val="28"/>
        </w:rPr>
      </w:pPr>
    </w:p>
    <w:p>
      <w:pPr>
        <w:snapToGrid w:val="0"/>
        <w:spacing w:line="700" w:lineRule="exact"/>
        <w:contextualSpacing/>
        <w:jc w:val="center"/>
        <w:rPr>
          <w:rFonts w:eastAsia="方正小标宋_GBK"/>
          <w:sz w:val="44"/>
          <w:szCs w:val="44"/>
        </w:rPr>
      </w:pPr>
      <w:r>
        <w:rPr>
          <w:rFonts w:eastAsia="方正小标宋_GBK"/>
          <w:sz w:val="44"/>
          <w:szCs w:val="44"/>
        </w:rPr>
        <w:t>沙坪坝区东风新村片区旧城区改造项目（一期）</w:t>
      </w:r>
    </w:p>
    <w:p>
      <w:pPr>
        <w:snapToGrid w:val="0"/>
        <w:spacing w:line="700" w:lineRule="exact"/>
        <w:contextualSpacing/>
        <w:jc w:val="center"/>
        <w:rPr>
          <w:rFonts w:eastAsia="方正小标宋_GBK"/>
          <w:sz w:val="44"/>
          <w:szCs w:val="44"/>
        </w:rPr>
      </w:pPr>
      <w:r>
        <w:rPr>
          <w:rFonts w:eastAsia="方正小标宋_GBK"/>
          <w:sz w:val="44"/>
          <w:szCs w:val="44"/>
        </w:rPr>
        <w:t>国有土地上房屋征收补偿方案补充实施办法</w:t>
      </w:r>
    </w:p>
    <w:p>
      <w:pPr>
        <w:snapToGrid w:val="0"/>
        <w:spacing w:line="570" w:lineRule="exact"/>
        <w:ind w:firstLine="640" w:firstLineChars="200"/>
        <w:rPr>
          <w:rFonts w:eastAsia="方正仿宋_GBK"/>
          <w:color w:val="000000"/>
          <w:sz w:val="32"/>
          <w:szCs w:val="32"/>
        </w:rPr>
      </w:pPr>
    </w:p>
    <w:p>
      <w:pPr>
        <w:snapToGrid w:val="0"/>
        <w:spacing w:line="570" w:lineRule="exact"/>
        <w:ind w:firstLine="640" w:firstLineChars="200"/>
        <w:rPr>
          <w:rFonts w:eastAsia="方正仿宋_GBK"/>
          <w:color w:val="000000"/>
          <w:sz w:val="32"/>
          <w:szCs w:val="32"/>
        </w:rPr>
      </w:pPr>
      <w:r>
        <w:rPr>
          <w:rFonts w:eastAsia="方正仿宋_GBK"/>
          <w:color w:val="000000"/>
          <w:sz w:val="32"/>
          <w:szCs w:val="32"/>
        </w:rPr>
        <w:t>为维护公共利益，保障被征收人合法权益，加快推进</w:t>
      </w:r>
      <w:r>
        <w:rPr>
          <w:rFonts w:eastAsia="方正仿宋_GBK"/>
          <w:color w:val="000000"/>
          <w:sz w:val="32"/>
          <w:szCs w:val="20"/>
        </w:rPr>
        <w:t>沙坪坝区东风新村片区旧城区改造项目</w:t>
      </w:r>
      <w:r>
        <w:rPr>
          <w:rFonts w:eastAsia="方正仿宋_GBK"/>
          <w:color w:val="000000"/>
          <w:sz w:val="32"/>
          <w:szCs w:val="32"/>
        </w:rPr>
        <w:t>国有土地上房屋征收与补偿工</w:t>
      </w:r>
      <w:r>
        <w:rPr>
          <w:rFonts w:eastAsia="方正仿宋_GBK"/>
          <w:sz w:val="32"/>
          <w:szCs w:val="32"/>
        </w:rPr>
        <w:t>作，依据相关法律、法规，结合沙坪坝区和本项目实际情况，制定《</w:t>
      </w:r>
      <w:r>
        <w:rPr>
          <w:rFonts w:eastAsia="方正仿宋_GBK"/>
          <w:sz w:val="32"/>
          <w:szCs w:val="20"/>
        </w:rPr>
        <w:t>沙坪坝区东风新村片区旧城区改造项目（一期）</w:t>
      </w:r>
      <w:r>
        <w:rPr>
          <w:rFonts w:eastAsia="方正仿宋_GBK"/>
          <w:sz w:val="32"/>
          <w:szCs w:val="32"/>
        </w:rPr>
        <w:t>国有</w:t>
      </w:r>
      <w:r>
        <w:rPr>
          <w:rFonts w:eastAsia="方正仿宋_GBK"/>
          <w:color w:val="000000"/>
          <w:sz w:val="32"/>
          <w:szCs w:val="32"/>
        </w:rPr>
        <w:t>土地上房屋征收补偿方案补充实施办法》。</w:t>
      </w:r>
    </w:p>
    <w:p>
      <w:pPr>
        <w:snapToGrid w:val="0"/>
        <w:spacing w:line="570" w:lineRule="exact"/>
        <w:ind w:firstLine="640" w:firstLineChars="200"/>
        <w:rPr>
          <w:rFonts w:eastAsia="方正黑体_GBK"/>
          <w:color w:val="000000"/>
          <w:sz w:val="32"/>
          <w:szCs w:val="32"/>
        </w:rPr>
      </w:pPr>
      <w:r>
        <w:rPr>
          <w:rFonts w:eastAsia="方正黑体_GBK"/>
          <w:color w:val="000000"/>
          <w:sz w:val="32"/>
          <w:szCs w:val="32"/>
        </w:rPr>
        <w:t>一、关于选择货币补偿的一次性奖励</w:t>
      </w:r>
    </w:p>
    <w:p>
      <w:pPr>
        <w:snapToGrid w:val="0"/>
        <w:spacing w:line="570" w:lineRule="exact"/>
        <w:ind w:firstLine="640" w:firstLineChars="200"/>
        <w:rPr>
          <w:rFonts w:eastAsia="方正仿宋_GBK"/>
          <w:color w:val="000000"/>
          <w:sz w:val="32"/>
          <w:szCs w:val="32"/>
        </w:rPr>
      </w:pPr>
      <w:r>
        <w:rPr>
          <w:rFonts w:eastAsia="方正仿宋_GBK"/>
          <w:color w:val="000000"/>
          <w:sz w:val="32"/>
          <w:szCs w:val="32"/>
        </w:rPr>
        <w:t>为鼓励被征收人选择一次性货币补偿方式，对选择货币补偿的被征收人，在征收公告确定的签约期限内签订货币征收补偿协议的，按被征收房屋价值的10%予以一次性奖励。</w:t>
      </w:r>
    </w:p>
    <w:p>
      <w:pPr>
        <w:snapToGrid w:val="0"/>
        <w:spacing w:line="570" w:lineRule="exact"/>
        <w:ind w:firstLine="640" w:firstLineChars="200"/>
        <w:rPr>
          <w:rFonts w:eastAsia="方正黑体_GBK"/>
          <w:color w:val="000000"/>
          <w:sz w:val="32"/>
          <w:szCs w:val="32"/>
        </w:rPr>
      </w:pPr>
      <w:r>
        <w:rPr>
          <w:rFonts w:eastAsia="方正黑体_GBK"/>
          <w:color w:val="000000"/>
          <w:sz w:val="32"/>
          <w:szCs w:val="32"/>
        </w:rPr>
        <w:t>二、关于提前签约和提前搬迁特别奖励</w:t>
      </w:r>
    </w:p>
    <w:p>
      <w:pPr>
        <w:snapToGrid w:val="0"/>
        <w:spacing w:line="570" w:lineRule="exact"/>
        <w:ind w:firstLine="640" w:firstLineChars="200"/>
        <w:rPr>
          <w:rFonts w:eastAsia="方正仿宋_GBK"/>
          <w:color w:val="000000"/>
          <w:sz w:val="32"/>
          <w:szCs w:val="32"/>
        </w:rPr>
      </w:pPr>
      <w:r>
        <w:rPr>
          <w:rFonts w:eastAsia="方正仿宋_GBK"/>
          <w:color w:val="000000"/>
          <w:sz w:val="32"/>
          <w:szCs w:val="32"/>
        </w:rPr>
        <w:t>征收公告确定的签约期限内签订征收补偿协议（含所属未经登记建筑）的，给予提前签约特别奖20000元/户；在征收公告确定的签约期限内签订征收补偿协议（含所属未经登记建筑）并在协议约定期限内完成腾空交房的，给予提前搬迁特别奖20000元/户。</w:t>
      </w:r>
    </w:p>
    <w:p>
      <w:pPr>
        <w:snapToGrid w:val="0"/>
        <w:spacing w:line="570" w:lineRule="exact"/>
        <w:ind w:firstLine="640" w:firstLineChars="200"/>
        <w:rPr>
          <w:rFonts w:eastAsia="方正仿宋_GBK"/>
          <w:color w:val="000000"/>
          <w:sz w:val="32"/>
          <w:szCs w:val="32"/>
        </w:rPr>
      </w:pPr>
      <w:r>
        <w:rPr>
          <w:rFonts w:eastAsia="方正仿宋_GBK"/>
          <w:color w:val="000000"/>
          <w:sz w:val="32"/>
          <w:szCs w:val="32"/>
        </w:rPr>
        <w:t>凡在规定期限内签定补偿协议的，提前签约奖励费（住宅40元/户·日，非住宅20元/平方米·日）享受全额奖励。</w:t>
      </w:r>
    </w:p>
    <w:p>
      <w:pPr>
        <w:snapToGrid w:val="0"/>
        <w:spacing w:line="570" w:lineRule="exact"/>
        <w:ind w:firstLine="640" w:firstLineChars="200"/>
        <w:rPr>
          <w:rFonts w:eastAsia="方正黑体_GBK"/>
          <w:color w:val="000000"/>
          <w:sz w:val="32"/>
          <w:szCs w:val="32"/>
        </w:rPr>
      </w:pPr>
      <w:r>
        <w:rPr>
          <w:rFonts w:eastAsia="方正黑体_GBK"/>
          <w:color w:val="000000"/>
          <w:sz w:val="32"/>
          <w:szCs w:val="32"/>
        </w:rPr>
        <w:t>三、关于住宅搬家补助</w:t>
      </w:r>
    </w:p>
    <w:p>
      <w:pPr>
        <w:snapToGrid w:val="0"/>
        <w:spacing w:line="570" w:lineRule="exact"/>
        <w:ind w:firstLine="640" w:firstLineChars="200"/>
        <w:rPr>
          <w:rFonts w:eastAsia="方正仿宋_GBK"/>
          <w:color w:val="000000"/>
          <w:sz w:val="32"/>
          <w:szCs w:val="32"/>
        </w:rPr>
      </w:pPr>
      <w:r>
        <w:rPr>
          <w:rFonts w:eastAsia="方正仿宋_GBK"/>
          <w:color w:val="000000"/>
          <w:sz w:val="32"/>
          <w:szCs w:val="32"/>
        </w:rPr>
        <w:t>被征收房屋为住宅的，给予搬家补助费500元/次·户，货币补助一次/户，产权调换补助二次/户。</w:t>
      </w:r>
    </w:p>
    <w:p>
      <w:pPr>
        <w:snapToGrid w:val="0"/>
        <w:spacing w:line="570" w:lineRule="exact"/>
        <w:ind w:firstLine="640" w:firstLineChars="200"/>
        <w:rPr>
          <w:rFonts w:eastAsia="方正黑体_GBK"/>
          <w:color w:val="000000"/>
          <w:sz w:val="32"/>
          <w:szCs w:val="32"/>
        </w:rPr>
      </w:pPr>
      <w:r>
        <w:rPr>
          <w:rFonts w:eastAsia="方正黑体_GBK"/>
          <w:color w:val="000000"/>
          <w:sz w:val="32"/>
          <w:szCs w:val="32"/>
        </w:rPr>
        <w:t>四、选择产权调换方式安置的按不同的安置房源给予特别补助费</w:t>
      </w:r>
    </w:p>
    <w:p>
      <w:pPr>
        <w:snapToGrid w:val="0"/>
        <w:spacing w:line="570" w:lineRule="exact"/>
        <w:ind w:firstLine="640" w:firstLineChars="200"/>
        <w:rPr>
          <w:rFonts w:eastAsia="方正仿宋_GBK"/>
          <w:sz w:val="32"/>
          <w:szCs w:val="32"/>
        </w:rPr>
      </w:pPr>
      <w:r>
        <w:rPr>
          <w:rFonts w:hint="eastAsia" w:ascii="宋体" w:hAnsi="宋体" w:cs="宋体"/>
          <w:sz w:val="32"/>
          <w:szCs w:val="32"/>
        </w:rPr>
        <w:t>①</w:t>
      </w:r>
      <w:r>
        <w:rPr>
          <w:rFonts w:eastAsia="方正仿宋_GBK"/>
          <w:sz w:val="32"/>
          <w:szCs w:val="32"/>
        </w:rPr>
        <w:t>畔山桃园，特别补助费：2850元/㎡</w:t>
      </w:r>
    </w:p>
    <w:p>
      <w:pPr>
        <w:snapToGrid w:val="0"/>
        <w:spacing w:line="570" w:lineRule="exact"/>
        <w:ind w:firstLine="640" w:firstLineChars="200"/>
        <w:rPr>
          <w:rFonts w:eastAsia="方正仿宋_GBK"/>
          <w:sz w:val="32"/>
          <w:szCs w:val="32"/>
        </w:rPr>
      </w:pPr>
      <w:r>
        <w:rPr>
          <w:rFonts w:hint="eastAsia" w:ascii="宋体" w:hAnsi="宋体" w:cs="宋体"/>
          <w:sz w:val="32"/>
          <w:szCs w:val="32"/>
        </w:rPr>
        <w:t>②</w:t>
      </w:r>
      <w:r>
        <w:rPr>
          <w:rFonts w:eastAsia="方正仿宋_GBK"/>
          <w:sz w:val="32"/>
          <w:szCs w:val="32"/>
        </w:rPr>
        <w:t xml:space="preserve">叠彩西城，特别补助费：1950元/㎡ </w:t>
      </w:r>
    </w:p>
    <w:p>
      <w:pPr>
        <w:snapToGrid w:val="0"/>
        <w:spacing w:line="570" w:lineRule="exact"/>
        <w:ind w:firstLine="640" w:firstLineChars="200"/>
        <w:rPr>
          <w:rFonts w:eastAsia="方正黑体_GBK"/>
          <w:color w:val="000000"/>
          <w:sz w:val="32"/>
          <w:szCs w:val="32"/>
        </w:rPr>
      </w:pPr>
      <w:r>
        <w:rPr>
          <w:rFonts w:eastAsia="方正黑体_GBK"/>
          <w:color w:val="000000"/>
          <w:sz w:val="32"/>
          <w:szCs w:val="32"/>
        </w:rPr>
        <w:t>五、关于房屋用途改变的处理</w:t>
      </w:r>
    </w:p>
    <w:p>
      <w:pPr>
        <w:snapToGrid w:val="0"/>
        <w:spacing w:line="570" w:lineRule="exact"/>
        <w:ind w:firstLine="640" w:firstLineChars="200"/>
        <w:rPr>
          <w:rFonts w:eastAsia="方正楷体_GBK"/>
          <w:color w:val="000000"/>
          <w:sz w:val="32"/>
          <w:szCs w:val="32"/>
        </w:rPr>
      </w:pPr>
      <w:r>
        <w:rPr>
          <w:rFonts w:eastAsia="方正楷体_GBK"/>
          <w:color w:val="000000"/>
          <w:sz w:val="32"/>
          <w:szCs w:val="32"/>
        </w:rPr>
        <w:t>（一）对“非改非”房屋的处理</w:t>
      </w:r>
    </w:p>
    <w:p>
      <w:pPr>
        <w:snapToGrid w:val="0"/>
        <w:spacing w:line="570" w:lineRule="exact"/>
        <w:ind w:firstLine="640" w:firstLineChars="200"/>
        <w:rPr>
          <w:rFonts w:eastAsia="方正仿宋_GBK"/>
          <w:color w:val="000000"/>
          <w:sz w:val="32"/>
          <w:szCs w:val="32"/>
        </w:rPr>
      </w:pPr>
      <w:r>
        <w:rPr>
          <w:rFonts w:eastAsia="方正仿宋_GBK"/>
          <w:color w:val="000000"/>
          <w:sz w:val="32"/>
          <w:szCs w:val="32"/>
        </w:rPr>
        <w:t>未经规划、国土资源等部门批准，将非住宅房屋改为经营性用房的，按原产权证上载明用途性质进行评估补偿。被征收房屋座落与工商、税务登记的证明一致，房屋征收公告发布前连续合法经营，并能够提供2年以上纳税记录的，按照房屋评估值的6%一次性给予停产停业损失补偿费。</w:t>
      </w:r>
    </w:p>
    <w:p>
      <w:pPr>
        <w:snapToGrid w:val="0"/>
        <w:spacing w:line="570" w:lineRule="exact"/>
        <w:ind w:firstLine="640" w:firstLineChars="200"/>
        <w:rPr>
          <w:rFonts w:eastAsia="方正楷体_GBK"/>
          <w:color w:val="000000"/>
          <w:sz w:val="32"/>
          <w:szCs w:val="32"/>
        </w:rPr>
      </w:pPr>
      <w:r>
        <w:rPr>
          <w:rFonts w:eastAsia="方正楷体_GBK"/>
          <w:color w:val="000000"/>
          <w:sz w:val="32"/>
          <w:szCs w:val="32"/>
        </w:rPr>
        <w:t>（二）对“非改住”房屋的处理</w:t>
      </w:r>
    </w:p>
    <w:p>
      <w:pPr>
        <w:snapToGrid w:val="0"/>
        <w:spacing w:line="570" w:lineRule="exact"/>
        <w:ind w:firstLine="640" w:firstLineChars="200"/>
        <w:rPr>
          <w:rFonts w:eastAsia="方正仿宋_GBK"/>
          <w:color w:val="000000"/>
          <w:sz w:val="32"/>
          <w:szCs w:val="32"/>
        </w:rPr>
      </w:pPr>
      <w:r>
        <w:rPr>
          <w:rFonts w:eastAsia="方正仿宋_GBK"/>
          <w:color w:val="000000"/>
          <w:sz w:val="32"/>
          <w:szCs w:val="32"/>
        </w:rPr>
        <w:t>未经规划、国土资源等部门批准，将非住宅改为住宅使用的，由房屋产权人作出书面说明，提供证明资料，经上级主管部门备案或签署意见，并经项目工作组研究同意后，按住宅予以补偿；无主管部门的，则由所属街镇、社区证实，并经项目工作组研究同意后，按住宅予以补偿。</w:t>
      </w:r>
    </w:p>
    <w:p>
      <w:pPr>
        <w:snapToGrid w:val="0"/>
        <w:spacing w:line="570" w:lineRule="exact"/>
        <w:ind w:firstLine="640" w:firstLineChars="200"/>
        <w:rPr>
          <w:rFonts w:eastAsia="方正黑体_GBK"/>
          <w:color w:val="000000"/>
          <w:sz w:val="32"/>
          <w:szCs w:val="32"/>
        </w:rPr>
      </w:pPr>
      <w:r>
        <w:rPr>
          <w:rFonts w:eastAsia="方正黑体_GBK"/>
          <w:color w:val="000000"/>
          <w:sz w:val="32"/>
          <w:szCs w:val="32"/>
        </w:rPr>
        <w:t>六、关于房屋结构发生改变的处理</w:t>
      </w:r>
    </w:p>
    <w:p>
      <w:pPr>
        <w:snapToGrid w:val="0"/>
        <w:spacing w:line="570" w:lineRule="exact"/>
        <w:ind w:firstLine="640" w:firstLineChars="200"/>
        <w:rPr>
          <w:rFonts w:eastAsia="方正仿宋_GBK"/>
          <w:color w:val="000000"/>
          <w:sz w:val="32"/>
          <w:szCs w:val="32"/>
        </w:rPr>
      </w:pPr>
      <w:r>
        <w:rPr>
          <w:rFonts w:eastAsia="方正仿宋_GBK"/>
          <w:color w:val="000000"/>
          <w:sz w:val="32"/>
          <w:szCs w:val="32"/>
        </w:rPr>
        <w:t>对于因房屋修缮造成结构发生变化（不包括重建行为）的，由产权人提出申请，并经产权人、项目评估公司、辖区街道及社区、房屋征收中心工作人员现场勘查形成书面记录后，项目评估公司以实际房屋结构出具的评估价格作为补偿依据。</w:t>
      </w:r>
    </w:p>
    <w:p>
      <w:pPr>
        <w:snapToGrid w:val="0"/>
        <w:spacing w:line="570" w:lineRule="exact"/>
        <w:ind w:firstLine="640" w:firstLineChars="200"/>
        <w:rPr>
          <w:rFonts w:eastAsia="方正黑体_GBK"/>
          <w:color w:val="000000"/>
          <w:sz w:val="32"/>
          <w:szCs w:val="32"/>
        </w:rPr>
      </w:pPr>
      <w:r>
        <w:rPr>
          <w:rFonts w:eastAsia="方正黑体_GBK"/>
          <w:color w:val="000000"/>
          <w:sz w:val="32"/>
          <w:szCs w:val="32"/>
        </w:rPr>
        <w:t>七、产权调换房屋选择方式</w:t>
      </w:r>
    </w:p>
    <w:p>
      <w:pPr>
        <w:snapToGrid w:val="0"/>
        <w:spacing w:line="570" w:lineRule="exact"/>
        <w:ind w:firstLine="640" w:firstLineChars="200"/>
        <w:rPr>
          <w:rFonts w:eastAsia="方正仿宋_GBK"/>
          <w:sz w:val="32"/>
          <w:szCs w:val="32"/>
        </w:rPr>
      </w:pPr>
      <w:r>
        <w:rPr>
          <w:rFonts w:eastAsia="方正仿宋_GBK"/>
          <w:sz w:val="32"/>
          <w:szCs w:val="32"/>
        </w:rPr>
        <w:t>对选择产权调换的被征收人，原则上只能选择一套与被征收房屋面积相近或价值相当的产权调换房屋。被征收房屋应补偿建筑面积超出本项目最大安置房源建筑面积的，可选择两套安置房进行安置，并按本方案公布的安置房价格进行结算。</w:t>
      </w:r>
    </w:p>
    <w:p>
      <w:pPr>
        <w:snapToGrid w:val="0"/>
        <w:spacing w:line="570" w:lineRule="exact"/>
        <w:ind w:firstLine="640" w:firstLineChars="200"/>
        <w:rPr>
          <w:rFonts w:eastAsia="方正黑体_GBK"/>
          <w:color w:val="000000"/>
          <w:sz w:val="32"/>
          <w:szCs w:val="32"/>
        </w:rPr>
      </w:pPr>
      <w:r>
        <w:rPr>
          <w:rFonts w:eastAsia="方正黑体_GBK"/>
          <w:color w:val="000000"/>
          <w:sz w:val="32"/>
          <w:szCs w:val="32"/>
        </w:rPr>
        <w:t>八、关于现房结算方式及程序</w:t>
      </w:r>
    </w:p>
    <w:p>
      <w:pPr>
        <w:snapToGrid w:val="0"/>
        <w:spacing w:line="570" w:lineRule="exact"/>
        <w:ind w:firstLine="640" w:firstLineChars="200"/>
        <w:rPr>
          <w:rFonts w:eastAsia="方正仿宋_GBK"/>
          <w:color w:val="000000"/>
          <w:sz w:val="32"/>
          <w:szCs w:val="32"/>
        </w:rPr>
      </w:pPr>
      <w:r>
        <w:rPr>
          <w:rFonts w:eastAsia="方正仿宋_GBK"/>
          <w:color w:val="000000"/>
          <w:sz w:val="32"/>
          <w:szCs w:val="32"/>
        </w:rPr>
        <w:t>选择现房进行产权调换的被征收人，需在签订协议的同时结清产权调换差价，待完善相关附属设施注销手续并腾空交房后，至现场工作人员处领取产权调换接房安置通知书，凭此通知书到安置房物管处办理接房手续。</w:t>
      </w:r>
    </w:p>
    <w:p>
      <w:pPr>
        <w:snapToGrid w:val="0"/>
        <w:spacing w:line="570" w:lineRule="exact"/>
        <w:ind w:firstLine="640" w:firstLineChars="200"/>
        <w:rPr>
          <w:rFonts w:eastAsia="方正黑体_GBK"/>
          <w:color w:val="000000"/>
          <w:sz w:val="32"/>
          <w:szCs w:val="32"/>
        </w:rPr>
      </w:pPr>
      <w:r>
        <w:rPr>
          <w:rFonts w:eastAsia="方正黑体_GBK"/>
          <w:color w:val="000000"/>
          <w:sz w:val="32"/>
          <w:szCs w:val="32"/>
        </w:rPr>
        <w:t>九、其他</w:t>
      </w:r>
    </w:p>
    <w:p>
      <w:pPr>
        <w:snapToGrid w:val="0"/>
        <w:spacing w:line="570" w:lineRule="exact"/>
        <w:ind w:firstLine="640" w:firstLineChars="200"/>
        <w:rPr>
          <w:rFonts w:eastAsia="方正仿宋_GBK"/>
          <w:color w:val="000000"/>
          <w:sz w:val="32"/>
          <w:szCs w:val="32"/>
        </w:rPr>
      </w:pPr>
      <w:r>
        <w:rPr>
          <w:rFonts w:eastAsia="方正仿宋_GBK"/>
          <w:color w:val="000000"/>
          <w:sz w:val="32"/>
          <w:szCs w:val="32"/>
        </w:rPr>
        <w:t>本方案的解释权归重庆市沙坪坝区住房和城乡建设委员会。</w:t>
      </w:r>
    </w:p>
    <w:p>
      <w:bookmarkStart w:id="0" w:name="_GoBack"/>
      <w:bookmarkEnd w:id="0"/>
    </w:p>
    <w:sectPr>
      <w:footerReference r:id="rId3" w:type="default"/>
      <w:footerReference r:id="rId4" w:type="even"/>
      <w:pgSz w:w="11906" w:h="16838"/>
      <w:pgMar w:top="2098" w:right="1531" w:bottom="1985" w:left="1531" w:header="567" w:footer="1418"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13</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560"/>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12</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5E461B"/>
    <w:rsid w:val="695E4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2021-11-24T07:46:00Z</dcterms:created>
  <dc:creator>Administrator</dc:creator>
  <cp:lastModifiedBy>Administrator</cp:lastModifiedBy>
  <dcterms:modified xsi:type="dcterms:W3CDTF">2021-11-24T07:46:31Z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