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560" w:lineRule="exact"/>
        <w:contextualSpacing/>
        <w:jc w:val="left"/>
        <w:rPr>
          <w:rFonts w:eastAsia="方正楷体_GBK"/>
          <w:color w:val="FF0000"/>
          <w:spacing w:val="-10"/>
          <w:kern w:val="0"/>
          <w:sz w:val="28"/>
          <w:szCs w:val="28"/>
        </w:rPr>
      </w:pPr>
      <w:r>
        <w:rPr>
          <w:rFonts w:eastAsia="方正黑体_GBK"/>
          <w:color w:val="000000"/>
          <w:szCs w:val="32"/>
        </w:rPr>
        <w:t>附件</w:t>
      </w:r>
      <w:r>
        <w:rPr>
          <w:rFonts w:hint="eastAsia" w:eastAsia="方正黑体_GBK"/>
          <w:color w:val="000000"/>
          <w:szCs w:val="32"/>
        </w:rPr>
        <w:t>2</w:t>
      </w:r>
    </w:p>
    <w:p>
      <w:pPr>
        <w:spacing w:line="560" w:lineRule="exact"/>
        <w:contextualSpacing/>
        <w:jc w:val="left"/>
        <w:rPr>
          <w:rFonts w:eastAsia="方正仿宋简体"/>
          <w:color w:val="000000"/>
          <w:kern w:val="0"/>
          <w:sz w:val="28"/>
          <w:szCs w:val="28"/>
        </w:rPr>
      </w:pPr>
    </w:p>
    <w:p>
      <w:pPr>
        <w:snapToGrid w:val="0"/>
        <w:spacing w:line="700" w:lineRule="exact"/>
        <w:contextualSpacing/>
        <w:jc w:val="center"/>
        <w:rPr>
          <w:rFonts w:eastAsia="方正小标宋_GBK"/>
          <w:color w:val="000000"/>
          <w:sz w:val="44"/>
          <w:szCs w:val="44"/>
        </w:rPr>
      </w:pPr>
      <w:r>
        <w:rPr>
          <w:rFonts w:eastAsia="方正小标宋_GBK"/>
          <w:color w:val="000000"/>
          <w:sz w:val="44"/>
          <w:szCs w:val="44"/>
        </w:rPr>
        <w:t>重庆市模具中心和市标准件厂家属区和厂区国有企业棚户区改造项目国有土地上房屋征收补偿方案补充实施办法</w:t>
      </w:r>
    </w:p>
    <w:p>
      <w:pPr>
        <w:snapToGrid w:val="0"/>
        <w:spacing w:line="560" w:lineRule="exact"/>
        <w:ind w:firstLine="640" w:firstLineChars="200"/>
        <w:rPr>
          <w:color w:val="000000"/>
          <w:szCs w:val="32"/>
        </w:rPr>
      </w:pPr>
    </w:p>
    <w:p>
      <w:pPr>
        <w:snapToGrid w:val="0"/>
        <w:spacing w:line="560" w:lineRule="exact"/>
        <w:ind w:firstLine="640" w:firstLineChars="200"/>
        <w:rPr>
          <w:color w:val="000000"/>
          <w:szCs w:val="32"/>
        </w:rPr>
      </w:pPr>
      <w:r>
        <w:rPr>
          <w:color w:val="000000"/>
          <w:szCs w:val="32"/>
        </w:rPr>
        <w:t>为维护公共利益，保障被征收人合法权益，加快推进</w:t>
      </w:r>
      <w:r>
        <w:rPr>
          <w:color w:val="000000"/>
        </w:rPr>
        <w:t>重庆市模具中心和市标准件厂家属区和厂区国有企业棚户区改造项目</w:t>
      </w:r>
      <w:r>
        <w:rPr>
          <w:color w:val="000000"/>
          <w:szCs w:val="32"/>
        </w:rPr>
        <w:t>国有土地上房屋征收与补偿工作，依据相关法律、法规，结合沙坪坝区和本项目实际情况，制定《</w:t>
      </w:r>
      <w:r>
        <w:rPr>
          <w:color w:val="000000"/>
        </w:rPr>
        <w:t>重庆市模具中心和市标准件厂家属区和厂区国有企业棚户区改造项目</w:t>
      </w:r>
      <w:r>
        <w:rPr>
          <w:color w:val="000000"/>
          <w:szCs w:val="32"/>
        </w:rPr>
        <w:t>国有土地上房屋征收补偿方案补充实施办法》。</w:t>
      </w:r>
    </w:p>
    <w:p>
      <w:pPr>
        <w:snapToGrid w:val="0"/>
        <w:spacing w:line="560" w:lineRule="exact"/>
        <w:ind w:firstLine="640" w:firstLineChars="200"/>
        <w:rPr>
          <w:rFonts w:eastAsia="方正黑体_GBK"/>
          <w:color w:val="000000"/>
          <w:szCs w:val="32"/>
        </w:rPr>
      </w:pPr>
      <w:r>
        <w:rPr>
          <w:rFonts w:eastAsia="方正黑体_GBK"/>
          <w:color w:val="000000"/>
          <w:szCs w:val="32"/>
        </w:rPr>
        <w:t>一、关于选择货币补偿的一次性奖励</w:t>
      </w:r>
    </w:p>
    <w:p>
      <w:pPr>
        <w:snapToGrid w:val="0"/>
        <w:spacing w:line="560" w:lineRule="exact"/>
        <w:ind w:firstLine="640" w:firstLineChars="200"/>
        <w:rPr>
          <w:color w:val="000000"/>
          <w:szCs w:val="32"/>
        </w:rPr>
      </w:pPr>
      <w:r>
        <w:rPr>
          <w:color w:val="000000"/>
          <w:szCs w:val="32"/>
        </w:rPr>
        <w:t>为鼓励被征收人选择一次性货币补偿方式，对选择货币补偿的被征收人,在征收公告确定的签约期限内签订货币征收补偿协议的，按被征收房屋价值的10%予以一次性奖励。</w:t>
      </w:r>
    </w:p>
    <w:p>
      <w:pPr>
        <w:snapToGrid w:val="0"/>
        <w:spacing w:line="560" w:lineRule="exact"/>
        <w:ind w:firstLine="640" w:firstLineChars="200"/>
        <w:rPr>
          <w:rFonts w:eastAsia="方正黑体_GBK"/>
          <w:color w:val="000000"/>
          <w:szCs w:val="32"/>
        </w:rPr>
      </w:pPr>
      <w:r>
        <w:rPr>
          <w:rFonts w:eastAsia="方正黑体_GBK"/>
          <w:color w:val="000000"/>
          <w:szCs w:val="32"/>
        </w:rPr>
        <w:t>二、关于提前签约和提前搬迁特别奖励</w:t>
      </w:r>
    </w:p>
    <w:p>
      <w:pPr>
        <w:snapToGrid w:val="0"/>
        <w:spacing w:line="560" w:lineRule="exact"/>
        <w:ind w:firstLine="640" w:firstLineChars="200"/>
        <w:rPr>
          <w:color w:val="000000"/>
          <w:szCs w:val="32"/>
        </w:rPr>
      </w:pPr>
      <w:r>
        <w:rPr>
          <w:color w:val="000000"/>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snapToGrid w:val="0"/>
        <w:spacing w:line="560" w:lineRule="exact"/>
        <w:ind w:firstLine="640" w:firstLineChars="200"/>
        <w:rPr>
          <w:color w:val="000000"/>
          <w:szCs w:val="32"/>
        </w:rPr>
      </w:pPr>
      <w:r>
        <w:rPr>
          <w:color w:val="000000"/>
          <w:szCs w:val="32"/>
        </w:rPr>
        <w:t>凡在规定期限内签定补偿协议的，提前签约奖励费（住宅40元/户·日,非住宅20元/平方米·日）享受全额奖励。</w:t>
      </w:r>
    </w:p>
    <w:p>
      <w:pPr>
        <w:snapToGrid w:val="0"/>
        <w:spacing w:line="560" w:lineRule="exact"/>
        <w:ind w:firstLine="640" w:firstLineChars="200"/>
        <w:rPr>
          <w:rFonts w:eastAsia="方正黑体_GBK"/>
          <w:color w:val="000000"/>
          <w:szCs w:val="32"/>
        </w:rPr>
      </w:pPr>
      <w:r>
        <w:rPr>
          <w:rFonts w:eastAsia="方正黑体_GBK"/>
          <w:color w:val="000000"/>
          <w:szCs w:val="32"/>
        </w:rPr>
        <w:t>三、关于住宅搬家补助</w:t>
      </w:r>
    </w:p>
    <w:p>
      <w:pPr>
        <w:snapToGrid w:val="0"/>
        <w:spacing w:line="560" w:lineRule="exact"/>
        <w:ind w:firstLine="640" w:firstLineChars="200"/>
        <w:rPr>
          <w:color w:val="000000"/>
          <w:szCs w:val="32"/>
        </w:rPr>
      </w:pPr>
      <w:r>
        <w:rPr>
          <w:color w:val="000000"/>
          <w:szCs w:val="32"/>
        </w:rPr>
        <w:t>被征收房屋为住宅的，给予搬家补助费500元/次·户，货币补助一次/户，产权调换补助二次/户。</w:t>
      </w:r>
    </w:p>
    <w:p>
      <w:pPr>
        <w:snapToGrid w:val="0"/>
        <w:spacing w:line="560" w:lineRule="exact"/>
        <w:ind w:firstLine="640" w:firstLineChars="200"/>
        <w:rPr>
          <w:rFonts w:hint="eastAsia" w:eastAsia="方正黑体_GBK"/>
          <w:szCs w:val="32"/>
        </w:rPr>
      </w:pPr>
      <w:r>
        <w:rPr>
          <w:rFonts w:eastAsia="方正黑体_GBK"/>
          <w:szCs w:val="32"/>
        </w:rPr>
        <w:t>四、选择产权调换方式安置的按不同的安置房源给予特别补助费</w:t>
      </w:r>
    </w:p>
    <w:p>
      <w:pPr>
        <w:snapToGrid w:val="0"/>
        <w:spacing w:line="560" w:lineRule="exact"/>
        <w:ind w:firstLine="640" w:firstLineChars="200"/>
        <w:rPr>
          <w:color w:val="000000"/>
          <w:szCs w:val="32"/>
        </w:rPr>
      </w:pPr>
      <w:r>
        <w:rPr>
          <w:rFonts w:hint="eastAsia" w:ascii="宋体" w:hAnsi="宋体" w:eastAsia="宋体" w:cs="宋体"/>
          <w:color w:val="000000"/>
          <w:szCs w:val="32"/>
        </w:rPr>
        <w:t>①</w:t>
      </w:r>
      <w:r>
        <w:rPr>
          <w:color w:val="000000"/>
          <w:szCs w:val="32"/>
        </w:rPr>
        <w:t>叠彩西城，特别补助费：</w:t>
      </w:r>
      <w:r>
        <w:rPr>
          <w:rFonts w:hint="eastAsia"/>
          <w:szCs w:val="32"/>
        </w:rPr>
        <w:t>1050</w:t>
      </w:r>
      <w:r>
        <w:rPr>
          <w:color w:val="000000"/>
          <w:szCs w:val="32"/>
        </w:rPr>
        <w:t>元/</w:t>
      </w:r>
      <w:r>
        <w:rPr>
          <w:rFonts w:eastAsia="宋体"/>
          <w:color w:val="000000"/>
          <w:szCs w:val="32"/>
        </w:rPr>
        <w:t>㎡</w:t>
      </w:r>
      <w:r>
        <w:rPr>
          <w:color w:val="000000"/>
          <w:szCs w:val="32"/>
        </w:rPr>
        <w:t xml:space="preserve"> </w:t>
      </w:r>
    </w:p>
    <w:p>
      <w:pPr>
        <w:snapToGrid w:val="0"/>
        <w:spacing w:line="560" w:lineRule="exact"/>
        <w:ind w:firstLine="640" w:firstLineChars="200"/>
        <w:rPr>
          <w:color w:val="000000"/>
          <w:szCs w:val="32"/>
        </w:rPr>
      </w:pPr>
      <w:r>
        <w:rPr>
          <w:rFonts w:hint="eastAsia" w:ascii="宋体" w:hAnsi="宋体" w:eastAsia="宋体" w:cs="宋体"/>
          <w:color w:val="000000"/>
          <w:szCs w:val="32"/>
        </w:rPr>
        <w:t>②</w:t>
      </w:r>
      <w:r>
        <w:rPr>
          <w:color w:val="000000"/>
          <w:szCs w:val="32"/>
        </w:rPr>
        <w:t>麒雅中央花园，特别补助费：</w:t>
      </w:r>
      <w:r>
        <w:rPr>
          <w:rFonts w:hint="eastAsia"/>
          <w:szCs w:val="32"/>
        </w:rPr>
        <w:t>850</w:t>
      </w:r>
      <w:r>
        <w:rPr>
          <w:color w:val="000000"/>
          <w:szCs w:val="32"/>
        </w:rPr>
        <w:t>元/</w:t>
      </w:r>
      <w:r>
        <w:rPr>
          <w:rFonts w:eastAsia="宋体"/>
          <w:color w:val="000000"/>
          <w:szCs w:val="32"/>
        </w:rPr>
        <w:t>㎡</w:t>
      </w:r>
    </w:p>
    <w:p>
      <w:pPr>
        <w:snapToGrid w:val="0"/>
        <w:spacing w:line="560" w:lineRule="exact"/>
        <w:ind w:firstLine="640" w:firstLineChars="200"/>
        <w:rPr>
          <w:color w:val="000000"/>
          <w:szCs w:val="32"/>
        </w:rPr>
      </w:pPr>
      <w:r>
        <w:rPr>
          <w:rFonts w:hint="eastAsia" w:ascii="宋体" w:hAnsi="宋体" w:eastAsia="宋体" w:cs="宋体"/>
          <w:color w:val="000000"/>
          <w:szCs w:val="32"/>
        </w:rPr>
        <w:t>③</w:t>
      </w:r>
      <w:r>
        <w:rPr>
          <w:color w:val="000000"/>
          <w:szCs w:val="32"/>
        </w:rPr>
        <w:t>腰子堡二期，特别补助费：</w:t>
      </w:r>
      <w:r>
        <w:rPr>
          <w:rFonts w:hint="eastAsia"/>
          <w:szCs w:val="32"/>
        </w:rPr>
        <w:t>2450</w:t>
      </w:r>
      <w:r>
        <w:rPr>
          <w:color w:val="000000"/>
          <w:szCs w:val="32"/>
        </w:rPr>
        <w:t>元/</w:t>
      </w:r>
      <w:r>
        <w:rPr>
          <w:rFonts w:eastAsia="宋体"/>
          <w:color w:val="000000"/>
          <w:szCs w:val="32"/>
        </w:rPr>
        <w:t>㎡</w:t>
      </w:r>
    </w:p>
    <w:p>
      <w:pPr>
        <w:snapToGrid w:val="0"/>
        <w:spacing w:line="560" w:lineRule="exact"/>
        <w:ind w:firstLine="640" w:firstLineChars="200"/>
        <w:rPr>
          <w:rFonts w:eastAsia="方正黑体_GBK"/>
          <w:color w:val="000000"/>
          <w:szCs w:val="32"/>
        </w:rPr>
      </w:pPr>
      <w:r>
        <w:rPr>
          <w:rFonts w:eastAsia="方正黑体_GBK"/>
          <w:color w:val="000000"/>
          <w:szCs w:val="32"/>
        </w:rPr>
        <w:t>五、关于房屋用途改变的处理</w:t>
      </w:r>
    </w:p>
    <w:p>
      <w:pPr>
        <w:snapToGrid w:val="0"/>
        <w:spacing w:line="560" w:lineRule="exact"/>
        <w:ind w:firstLine="640" w:firstLineChars="200"/>
        <w:rPr>
          <w:rFonts w:eastAsia="方正楷体_GBK"/>
          <w:color w:val="000000"/>
          <w:szCs w:val="32"/>
        </w:rPr>
      </w:pPr>
      <w:r>
        <w:rPr>
          <w:rFonts w:eastAsia="方正楷体_GBK"/>
          <w:color w:val="000000"/>
          <w:szCs w:val="32"/>
        </w:rPr>
        <w:t>（一）对“非改非”房屋的处理</w:t>
      </w:r>
    </w:p>
    <w:p>
      <w:pPr>
        <w:snapToGrid w:val="0"/>
        <w:spacing w:line="560" w:lineRule="exact"/>
        <w:ind w:firstLine="640" w:firstLineChars="200"/>
        <w:rPr>
          <w:color w:val="000000"/>
          <w:szCs w:val="32"/>
        </w:rPr>
      </w:pPr>
      <w:r>
        <w:rPr>
          <w:color w:val="000000"/>
          <w:szCs w:val="32"/>
        </w:rPr>
        <w:t>未经规划、国土资源等部门批准，将非住宅房屋改为经营性用房的，按原产权证上载明用途性质进行评估补偿。被征收房屋座落与工商、税务登记的证明一致，房屋征收公告发布前连续合法经营，并能够提供2年以上纳税记录的，按照房屋评估值的6%一次性给予停产停业损失补偿费。</w:t>
      </w:r>
    </w:p>
    <w:p>
      <w:pPr>
        <w:snapToGrid w:val="0"/>
        <w:spacing w:line="560" w:lineRule="exact"/>
        <w:ind w:firstLine="640" w:firstLineChars="200"/>
        <w:rPr>
          <w:rFonts w:eastAsia="方正楷体_GBK"/>
          <w:color w:val="000000"/>
          <w:szCs w:val="32"/>
        </w:rPr>
      </w:pPr>
      <w:r>
        <w:rPr>
          <w:rFonts w:eastAsia="方正楷体_GBK"/>
          <w:color w:val="000000"/>
          <w:szCs w:val="32"/>
        </w:rPr>
        <w:t>（二）对“非改住”房屋的处理</w:t>
      </w:r>
    </w:p>
    <w:p>
      <w:pPr>
        <w:snapToGrid w:val="0"/>
        <w:spacing w:line="560" w:lineRule="exact"/>
        <w:ind w:firstLine="640" w:firstLineChars="200"/>
        <w:rPr>
          <w:color w:val="000000"/>
          <w:szCs w:val="32"/>
        </w:rPr>
      </w:pPr>
      <w:r>
        <w:rPr>
          <w:color w:val="000000"/>
          <w:szCs w:val="32"/>
        </w:rPr>
        <w:t>未经规划、国土资源等部门批准，将非住宅改为住宅使用的，由房屋产权人作出书面说明，提供证明资料，经上级主管部门备案或签署意见，并经项目工作组研究同意后，按住宅予以补偿；无主管部门的，则由所属街镇、社区证实，并经项目工作组研究同意后，按住宅予以补偿。</w:t>
      </w:r>
    </w:p>
    <w:p>
      <w:pPr>
        <w:snapToGrid w:val="0"/>
        <w:spacing w:line="560" w:lineRule="exact"/>
        <w:ind w:firstLine="640" w:firstLineChars="200"/>
        <w:rPr>
          <w:rFonts w:eastAsia="方正黑体_GBK"/>
          <w:color w:val="000000"/>
          <w:szCs w:val="32"/>
        </w:rPr>
      </w:pPr>
      <w:r>
        <w:rPr>
          <w:rFonts w:eastAsia="方正黑体_GBK"/>
          <w:color w:val="000000"/>
          <w:szCs w:val="32"/>
        </w:rPr>
        <w:t>六、关于房屋结构发生改变的处理</w:t>
      </w:r>
    </w:p>
    <w:p>
      <w:pPr>
        <w:snapToGrid w:val="0"/>
        <w:spacing w:line="560" w:lineRule="exact"/>
        <w:ind w:firstLine="640" w:firstLineChars="200"/>
        <w:rPr>
          <w:rFonts w:eastAsia="方正黑体_GBK"/>
          <w:color w:val="000000"/>
          <w:szCs w:val="32"/>
        </w:rPr>
      </w:pPr>
      <w:r>
        <w:rPr>
          <w:color w:val="000000"/>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snapToGrid w:val="0"/>
        <w:spacing w:line="560" w:lineRule="exact"/>
        <w:ind w:firstLine="640" w:firstLineChars="200"/>
        <w:rPr>
          <w:rFonts w:eastAsia="方正黑体_GBK"/>
          <w:szCs w:val="32"/>
        </w:rPr>
      </w:pPr>
      <w:r>
        <w:rPr>
          <w:rFonts w:eastAsia="方正黑体_GBK"/>
          <w:color w:val="000000"/>
          <w:szCs w:val="32"/>
        </w:rPr>
        <w:t>七、</w:t>
      </w:r>
      <w:r>
        <w:rPr>
          <w:rFonts w:eastAsia="方正黑体_GBK"/>
          <w:szCs w:val="32"/>
        </w:rPr>
        <w:t>产权调换房屋选择方式</w:t>
      </w:r>
    </w:p>
    <w:p>
      <w:pPr>
        <w:snapToGrid w:val="0"/>
        <w:spacing w:line="560" w:lineRule="exact"/>
        <w:ind w:firstLine="640" w:firstLineChars="200"/>
        <w:rPr>
          <w:szCs w:val="32"/>
        </w:rPr>
      </w:pPr>
      <w:r>
        <w:rPr>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snapToGrid w:val="0"/>
        <w:spacing w:line="560" w:lineRule="exact"/>
        <w:ind w:firstLine="640" w:firstLineChars="200"/>
        <w:rPr>
          <w:rFonts w:eastAsia="方正黑体_GBK"/>
          <w:color w:val="000000"/>
          <w:szCs w:val="32"/>
        </w:rPr>
      </w:pPr>
      <w:r>
        <w:rPr>
          <w:rFonts w:hint="eastAsia" w:eastAsia="方正黑体_GBK"/>
          <w:color w:val="000000"/>
          <w:szCs w:val="32"/>
        </w:rPr>
        <w:t>八</w:t>
      </w:r>
      <w:r>
        <w:rPr>
          <w:rFonts w:eastAsia="方正黑体_GBK"/>
          <w:color w:val="000000"/>
          <w:szCs w:val="32"/>
        </w:rPr>
        <w:t>、关于现房结算方式及程序</w:t>
      </w:r>
    </w:p>
    <w:p>
      <w:pPr>
        <w:snapToGrid w:val="0"/>
        <w:spacing w:line="560" w:lineRule="exact"/>
        <w:ind w:firstLine="640" w:firstLineChars="200"/>
        <w:rPr>
          <w:color w:val="000000"/>
          <w:szCs w:val="32"/>
        </w:rPr>
      </w:pPr>
      <w:r>
        <w:rPr>
          <w:color w:val="000000"/>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snapToGrid w:val="0"/>
        <w:spacing w:line="560" w:lineRule="exact"/>
        <w:ind w:firstLine="640" w:firstLineChars="200"/>
        <w:rPr>
          <w:rFonts w:eastAsia="方正黑体_GBK"/>
          <w:color w:val="000000"/>
          <w:szCs w:val="32"/>
        </w:rPr>
      </w:pPr>
      <w:r>
        <w:rPr>
          <w:rFonts w:hint="eastAsia" w:eastAsia="方正黑体_GBK"/>
          <w:color w:val="000000"/>
          <w:szCs w:val="32"/>
        </w:rPr>
        <w:t>九</w:t>
      </w:r>
      <w:r>
        <w:rPr>
          <w:rFonts w:eastAsia="方正黑体_GBK"/>
          <w:color w:val="000000"/>
          <w:szCs w:val="32"/>
        </w:rPr>
        <w:t>、其他</w:t>
      </w:r>
    </w:p>
    <w:p>
      <w:pPr>
        <w:snapToGrid w:val="0"/>
        <w:spacing w:line="560" w:lineRule="exact"/>
        <w:ind w:firstLine="640" w:firstLineChars="200"/>
        <w:rPr>
          <w:color w:val="000000"/>
          <w:szCs w:val="32"/>
        </w:rPr>
      </w:pPr>
      <w:r>
        <w:rPr>
          <w:color w:val="000000"/>
          <w:szCs w:val="32"/>
        </w:rPr>
        <w:t>本方案的解释权归重庆市沙坪坝区住房和城乡建设委员会。</w:t>
      </w:r>
    </w:p>
    <w:p>
      <w:pPr>
        <w:spacing w:line="560" w:lineRule="exact"/>
        <w:contextualSpacing/>
        <w:jc w:val="left"/>
        <w:rPr>
          <w:color w:val="000000"/>
        </w:rPr>
      </w:pPr>
    </w:p>
    <w:p>
      <w:bookmarkStart w:id="0" w:name="_GoBack"/>
      <w:bookmarkEnd w:id="0"/>
    </w:p>
    <w:sectPr>
      <w:footerReference r:id="rId3" w:type="default"/>
      <w:footerReference r:id="rId4" w:type="even"/>
      <w:pgSz w:w="11906" w:h="16838"/>
      <w:pgMar w:top="1985" w:right="1446" w:bottom="1644" w:left="1446" w:header="851" w:footer="1191"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2320" w:firstLineChars="4400"/>
      <w:jc w:val="right"/>
    </w:pPr>
    <w:r>
      <w:rPr>
        <w:rStyle w:val="5"/>
        <w:rFonts w:hint="eastAsia"/>
        <w:color w:val="FFFFFF"/>
        <w:sz w:val="28"/>
      </w:rPr>
      <w:t>—</w:t>
    </w:r>
    <w:r>
      <w:rPr>
        <w:rStyle w:val="5"/>
        <w:rFonts w:hint="eastAsia" w:ascii="宋体" w:hAnsi="宋体" w:eastAsia="宋体"/>
        <w:sz w:val="32"/>
        <w:szCs w:val="32"/>
      </w:rPr>
      <w:t>―</w:t>
    </w:r>
    <w:r>
      <w:rPr>
        <w:rStyle w:val="5"/>
        <w:rFonts w:hint="eastAsia" w:ascii="宋体" w:hAnsi="宋体" w:eastAsia="宋体"/>
        <w:sz w:val="32"/>
        <w:szCs w:val="32"/>
        <w:lang w:eastAsia="zh-CN"/>
      </w:rPr>
      <w:t xml:space="preserve"> </w:t>
    </w:r>
    <w:r>
      <w:rPr>
        <w:rFonts w:ascii="宋体" w:hAnsi="宋体" w:eastAsia="宋体"/>
        <w:kern w:val="0"/>
        <w:sz w:val="32"/>
        <w:szCs w:val="32"/>
      </w:rPr>
      <w:fldChar w:fldCharType="begin"/>
    </w:r>
    <w:r>
      <w:rPr>
        <w:rFonts w:ascii="宋体" w:hAnsi="宋体" w:eastAsia="宋体"/>
        <w:kern w:val="0"/>
        <w:sz w:val="32"/>
        <w:szCs w:val="32"/>
      </w:rPr>
      <w:instrText xml:space="preserve"> PAGE </w:instrText>
    </w:r>
    <w:r>
      <w:rPr>
        <w:rFonts w:ascii="宋体" w:hAnsi="宋体" w:eastAsia="宋体"/>
        <w:kern w:val="0"/>
        <w:sz w:val="32"/>
        <w:szCs w:val="32"/>
      </w:rPr>
      <w:fldChar w:fldCharType="separate"/>
    </w:r>
    <w:r>
      <w:rPr>
        <w:rFonts w:ascii="宋体" w:hAnsi="宋体" w:eastAsia="宋体"/>
        <w:kern w:val="0"/>
        <w:sz w:val="32"/>
        <w:szCs w:val="32"/>
      </w:rPr>
      <w:t>1</w:t>
    </w:r>
    <w:r>
      <w:rPr>
        <w:rFonts w:ascii="宋体" w:hAnsi="宋体" w:eastAsia="宋体"/>
        <w:kern w:val="0"/>
        <w:sz w:val="32"/>
        <w:szCs w:val="32"/>
      </w:rPr>
      <w:fldChar w:fldCharType="end"/>
    </w:r>
    <w:r>
      <w:rPr>
        <w:rFonts w:ascii="宋体" w:hAnsi="宋体" w:eastAsia="宋体"/>
        <w:kern w:val="0"/>
        <w:sz w:val="32"/>
        <w:szCs w:val="32"/>
      </w:rPr>
      <w:t xml:space="preserve"> </w:t>
    </w:r>
    <w:r>
      <w:rPr>
        <w:rStyle w:val="5"/>
        <w:rFonts w:hint="eastAsia" w:ascii="宋体" w:hAnsi="宋体" w:eastAsia="宋体"/>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919" w:firstLine="12320" w:firstLineChars="4400"/>
      <w:rPr>
        <w:rFonts w:hint="eastAsia" w:ascii="宋体" w:hAnsi="宋体" w:eastAsia="宋体"/>
      </w:rPr>
    </w:pPr>
    <w:r>
      <w:rPr>
        <w:rStyle w:val="5"/>
        <w:color w:val="FFFFFF"/>
        <w:sz w:val="28"/>
      </w:rPr>
      <w:t>—</w:t>
    </w:r>
    <w:r>
      <w:rPr>
        <w:rStyle w:val="5"/>
        <w:rFonts w:ascii="宋体" w:hAnsi="宋体" w:eastAsia="宋体"/>
        <w:sz w:val="32"/>
        <w:szCs w:val="32"/>
      </w:rPr>
      <w:t xml:space="preserve">― </w:t>
    </w:r>
    <w:r>
      <w:rPr>
        <w:rFonts w:ascii="宋体" w:hAnsi="宋体" w:eastAsia="宋体"/>
        <w:kern w:val="0"/>
        <w:sz w:val="32"/>
        <w:szCs w:val="32"/>
      </w:rPr>
      <w:fldChar w:fldCharType="begin"/>
    </w:r>
    <w:r>
      <w:rPr>
        <w:rFonts w:ascii="宋体" w:hAnsi="宋体" w:eastAsia="宋体"/>
        <w:kern w:val="0"/>
        <w:sz w:val="32"/>
        <w:szCs w:val="32"/>
      </w:rPr>
      <w:instrText xml:space="preserve"> PAGE </w:instrText>
    </w:r>
    <w:r>
      <w:rPr>
        <w:rFonts w:ascii="宋体" w:hAnsi="宋体" w:eastAsia="宋体"/>
        <w:kern w:val="0"/>
        <w:sz w:val="32"/>
        <w:szCs w:val="32"/>
      </w:rPr>
      <w:fldChar w:fldCharType="separate"/>
    </w:r>
    <w:r>
      <w:rPr>
        <w:rFonts w:ascii="宋体" w:hAnsi="宋体" w:eastAsia="宋体"/>
        <w:kern w:val="0"/>
        <w:sz w:val="32"/>
        <w:szCs w:val="32"/>
      </w:rPr>
      <w:t>2</w:t>
    </w:r>
    <w:r>
      <w:rPr>
        <w:rFonts w:ascii="宋体" w:hAnsi="宋体" w:eastAsia="宋体"/>
        <w:kern w:val="0"/>
        <w:sz w:val="32"/>
        <w:szCs w:val="32"/>
      </w:rPr>
      <w:fldChar w:fldCharType="end"/>
    </w:r>
    <w:r>
      <w:rPr>
        <w:rFonts w:ascii="宋体" w:hAnsi="宋体" w:eastAsia="宋体"/>
        <w:kern w:val="0"/>
        <w:sz w:val="32"/>
        <w:szCs w:val="32"/>
      </w:rPr>
      <w:t xml:space="preserve"> </w:t>
    </w:r>
    <w:r>
      <w:rPr>
        <w:rStyle w:val="5"/>
        <w:rFonts w:ascii="宋体" w:hAnsi="宋体" w:eastAsia="宋体"/>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D0D0F"/>
    <w:rsid w:val="082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2021-11-24T03:28:00Z</dcterms:created>
  <dc:creator>Administrator</dc:creator>
  <cp:lastModifiedBy>Administrator</cp:lastModifiedBy>
  <dcterms:modified xsi:type="dcterms:W3CDTF">2021-11-24T03:28:46Z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