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p>
      <w:pPr>
        <w:spacing w:line="600" w:lineRule="exact"/>
        <w:jc w:val="center"/>
        <w:rPr>
          <w:rFonts w:ascii="Times New Roman" w:hAnsi="方正小标宋_GBK" w:eastAsia="方正小标宋_GBK"/>
          <w:color w:val="000000"/>
          <w:sz w:val="44"/>
          <w:szCs w:val="44"/>
        </w:rPr>
      </w:pPr>
    </w:p>
    <w:p>
      <w:pPr>
        <w:spacing w:line="600" w:lineRule="exact"/>
        <w:jc w:val="center"/>
        <w:rPr>
          <w:rFonts w:ascii="Times New Roman" w:hAnsi="Times New Roman" w:eastAsia="方正小标宋_GBK"/>
          <w:color w:val="000000"/>
          <w:sz w:val="44"/>
          <w:szCs w:val="44"/>
        </w:rPr>
      </w:pPr>
      <w:r>
        <w:rPr>
          <w:rFonts w:ascii="Times New Roman" w:hAnsi="方正小标宋_GBK" w:eastAsia="方正小标宋_GBK"/>
          <w:color w:val="000000"/>
          <w:sz w:val="44"/>
          <w:szCs w:val="44"/>
        </w:rPr>
        <w:t>马鞍山北侧道路延伸段项目</w:t>
      </w:r>
    </w:p>
    <w:p>
      <w:pPr>
        <w:snapToGrid w:val="0"/>
        <w:spacing w:line="600" w:lineRule="exact"/>
        <w:contextualSpacing/>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 xml:space="preserve">  </w:t>
      </w:r>
      <w:r>
        <w:rPr>
          <w:rFonts w:ascii="Times New Roman" w:hAnsi="方正小标宋_GBK" w:eastAsia="方正小标宋_GBK"/>
          <w:color w:val="000000"/>
          <w:sz w:val="44"/>
          <w:szCs w:val="44"/>
        </w:rPr>
        <w:t>国有土地上房屋征收与补偿方案</w:t>
      </w:r>
    </w:p>
    <w:p>
      <w:pPr>
        <w:snapToGrid w:val="0"/>
        <w:spacing w:line="600" w:lineRule="exact"/>
        <w:jc w:val="center"/>
        <w:rPr>
          <w:rFonts w:ascii="Times New Roman" w:hAnsi="Times New Roman"/>
          <w:color w:val="000000"/>
          <w:sz w:val="32"/>
          <w:szCs w:val="32"/>
        </w:rPr>
      </w:pPr>
    </w:p>
    <w:p>
      <w:pPr>
        <w:spacing w:line="560" w:lineRule="exact"/>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r>
        <w:rPr>
          <w:rFonts w:ascii="Times New Roman" w:hAnsi="方正仿宋_GBK" w:eastAsia="方正仿宋_GBK"/>
          <w:color w:val="000000"/>
          <w:sz w:val="32"/>
          <w:szCs w:val="32"/>
        </w:rPr>
        <w:t>为了规范沙坪坝区马鞍山道路延伸段项目国有土地上房屋征收与补偿活动，维护公共利益，保障被征收房屋所有权人的合法权益，按照《国有土地上房屋征收与补偿条例》（国务院第</w:t>
      </w:r>
      <w:r>
        <w:rPr>
          <w:rFonts w:ascii="Times New Roman" w:hAnsi="Times New Roman" w:eastAsia="方正仿宋_GBK"/>
          <w:color w:val="000000"/>
          <w:sz w:val="32"/>
          <w:szCs w:val="32"/>
        </w:rPr>
        <w:t>590</w:t>
      </w:r>
      <w:r>
        <w:rPr>
          <w:rFonts w:ascii="Times New Roman" w:hAnsi="方正仿宋_GBK" w:eastAsia="方正仿宋_GBK"/>
          <w:color w:val="000000"/>
          <w:sz w:val="32"/>
          <w:szCs w:val="32"/>
        </w:rPr>
        <w:t>号令）和《重庆市人民政府办公厅关于印发</w:t>
      </w:r>
      <w:r>
        <w:rPr>
          <w:rFonts w:ascii="Times New Roman" w:hAnsi="Times New Roman" w:eastAsia="方正仿宋_GBK"/>
          <w:color w:val="000000"/>
          <w:sz w:val="32"/>
          <w:szCs w:val="32"/>
        </w:rPr>
        <w:t>&lt;</w:t>
      </w:r>
      <w:r>
        <w:rPr>
          <w:rFonts w:ascii="Times New Roman" w:hAnsi="方正仿宋_GBK" w:eastAsia="方正仿宋_GBK"/>
          <w:color w:val="000000"/>
          <w:sz w:val="32"/>
          <w:szCs w:val="32"/>
        </w:rPr>
        <w:t>重庆市国有土地上房屋征收与补偿办法（暂行）</w:t>
      </w:r>
      <w:r>
        <w:rPr>
          <w:rFonts w:ascii="Times New Roman" w:hAnsi="Times New Roman" w:eastAsia="方正仿宋_GBK"/>
          <w:color w:val="000000"/>
          <w:sz w:val="32"/>
          <w:szCs w:val="32"/>
        </w:rPr>
        <w:t>&gt;</w:t>
      </w:r>
      <w:r>
        <w:rPr>
          <w:rFonts w:ascii="Times New Roman" w:hAnsi="方正仿宋_GBK" w:eastAsia="方正仿宋_GBK"/>
          <w:color w:val="000000"/>
          <w:sz w:val="32"/>
          <w:szCs w:val="32"/>
        </w:rPr>
        <w:t>等有关办法的通知》（渝办发〔</w:t>
      </w:r>
      <w:r>
        <w:rPr>
          <w:rFonts w:ascii="Times New Roman" w:hAnsi="Times New Roman" w:eastAsia="方正仿宋_GBK"/>
          <w:color w:val="000000"/>
          <w:sz w:val="32"/>
          <w:szCs w:val="32"/>
        </w:rPr>
        <w:t>2011</w:t>
      </w:r>
      <w:r>
        <w:rPr>
          <w:rFonts w:ascii="Times New Roman" w:hAnsi="方正仿宋_GBK" w:eastAsia="方正仿宋_GBK"/>
          <w:color w:val="000000"/>
          <w:sz w:val="32"/>
          <w:szCs w:val="32"/>
        </w:rPr>
        <w:t>〕</w:t>
      </w:r>
      <w:r>
        <w:rPr>
          <w:rFonts w:ascii="Times New Roman" w:hAnsi="Times New Roman" w:eastAsia="方正仿宋_GBK"/>
          <w:color w:val="000000"/>
          <w:sz w:val="32"/>
          <w:szCs w:val="32"/>
        </w:rPr>
        <w:t>123</w:t>
      </w:r>
      <w:r>
        <w:rPr>
          <w:rFonts w:ascii="Times New Roman" w:hAnsi="方正仿宋_GBK" w:eastAsia="方正仿宋_GBK"/>
          <w:color w:val="000000"/>
          <w:sz w:val="32"/>
          <w:szCs w:val="32"/>
        </w:rPr>
        <w:t>号）的规定，根据决策民主、程序正当、结果公开、先补偿后搬迁的原则，结合本项目实际情况，特制定《马鞍山北侧道路延伸段项目国有土地上房屋征收与补偿方案》。</w:t>
      </w:r>
    </w:p>
    <w:p>
      <w:pPr>
        <w:snapToGrid w:val="0"/>
        <w:spacing w:line="560" w:lineRule="exact"/>
        <w:ind w:firstLine="640" w:firstLineChars="200"/>
        <w:rPr>
          <w:rFonts w:ascii="Times New Roman" w:hAnsi="Times New Roman" w:eastAsia="方正黑体_GBK"/>
          <w:color w:val="000000"/>
          <w:sz w:val="32"/>
          <w:szCs w:val="32"/>
        </w:rPr>
      </w:pPr>
      <w:r>
        <w:rPr>
          <w:rFonts w:ascii="Times New Roman" w:hAnsi="方正黑体_GBK" w:eastAsia="方正黑体_GBK"/>
          <w:color w:val="000000"/>
          <w:sz w:val="32"/>
          <w:szCs w:val="32"/>
        </w:rPr>
        <w:t>一、征收项目概况</w:t>
      </w:r>
    </w:p>
    <w:p>
      <w:pPr>
        <w:spacing w:line="560" w:lineRule="exact"/>
        <w:ind w:firstLine="480" w:firstLineChars="150"/>
        <w:rPr>
          <w:rFonts w:ascii="Times New Roman" w:hAnsi="Times New Roman" w:eastAsia="仿宋"/>
          <w:sz w:val="32"/>
          <w:szCs w:val="32"/>
        </w:rPr>
      </w:pPr>
      <w:r>
        <w:rPr>
          <w:rFonts w:ascii="Times New Roman" w:hAnsi="方正楷体_GBK" w:eastAsia="方正楷体_GBK"/>
          <w:color w:val="000000"/>
          <w:sz w:val="32"/>
          <w:szCs w:val="32"/>
        </w:rPr>
        <w:t>（一）征收范围</w:t>
      </w:r>
      <w:r>
        <w:rPr>
          <w:rFonts w:ascii="Times New Roman" w:hAnsi="Times New Roman" w:eastAsia="方正黑体_GBK"/>
          <w:color w:val="000000"/>
          <w:sz w:val="32"/>
          <w:szCs w:val="32"/>
        </w:rPr>
        <w:t>。</w:t>
      </w:r>
      <w:r>
        <w:rPr>
          <w:rFonts w:ascii="Times New Roman" w:hAnsi="Times New Roman" w:eastAsia="方正仿宋_GBK"/>
          <w:bCs/>
          <w:sz w:val="32"/>
          <w:szCs w:val="32"/>
        </w:rPr>
        <w:t>沙坪坝区蔡家湾100-7号、100-7-1号、100-7-2号、100-1号、100-6号；蔡家湾100号（五个产权证）；蔡家湾144号；</w:t>
      </w:r>
      <w:r>
        <w:rPr>
          <w:rFonts w:ascii="Times New Roman" w:hAnsi="Times New Roman" w:eastAsia="方正仿宋_GBK"/>
          <w:sz w:val="32"/>
          <w:szCs w:val="32"/>
        </w:rPr>
        <w:t>共</w:t>
      </w:r>
      <w:r>
        <w:rPr>
          <w:rFonts w:ascii="Times New Roman" w:hAnsi="Times New Roman" w:eastAsia="方正仿宋_GBK"/>
          <w:bCs/>
          <w:sz w:val="32"/>
          <w:szCs w:val="32"/>
        </w:rPr>
        <w:t>涉及11户，有证建筑面积约2</w:t>
      </w:r>
      <w:r>
        <w:rPr>
          <w:rFonts w:hint="eastAsia" w:ascii="Times New Roman" w:hAnsi="Times New Roman" w:eastAsia="方正仿宋_GBK"/>
          <w:bCs/>
          <w:sz w:val="32"/>
          <w:szCs w:val="32"/>
        </w:rPr>
        <w:t>1</w:t>
      </w:r>
      <w:r>
        <w:rPr>
          <w:rFonts w:ascii="Times New Roman" w:hAnsi="Times New Roman" w:eastAsia="方正仿宋_GBK"/>
          <w:bCs/>
          <w:sz w:val="32"/>
          <w:szCs w:val="32"/>
        </w:rPr>
        <w:t>5</w:t>
      </w:r>
      <w:r>
        <w:rPr>
          <w:rFonts w:hint="eastAsia" w:ascii="Times New Roman" w:hAnsi="Times New Roman" w:eastAsia="方正仿宋_GBK"/>
          <w:bCs/>
          <w:sz w:val="32"/>
          <w:szCs w:val="32"/>
        </w:rPr>
        <w:t>8</w:t>
      </w:r>
      <w:r>
        <w:rPr>
          <w:rFonts w:ascii="Times New Roman" w:hAnsi="Times New Roman" w:eastAsia="方正仿宋_GBK"/>
          <w:bCs/>
          <w:sz w:val="32"/>
          <w:szCs w:val="32"/>
        </w:rPr>
        <w:t>平方米。</w:t>
      </w:r>
      <w:r>
        <w:rPr>
          <w:rFonts w:ascii="Times New Roman" w:hAnsi="Times New Roman" w:eastAsia="方正仿宋_GBK"/>
          <w:sz w:val="32"/>
          <w:szCs w:val="32"/>
        </w:rPr>
        <w:t>实际征收范围以政府参照规划范围线确定的征收范围为准。</w:t>
      </w:r>
    </w:p>
    <w:p>
      <w:pPr>
        <w:spacing w:line="560" w:lineRule="exact"/>
        <w:ind w:firstLine="480" w:firstLineChars="150"/>
        <w:rPr>
          <w:rFonts w:ascii="Times New Roman" w:hAnsi="Times New Roman" w:eastAsia="方正仿宋_GBK"/>
          <w:sz w:val="32"/>
          <w:szCs w:val="32"/>
        </w:rPr>
      </w:pPr>
      <w:r>
        <w:rPr>
          <w:rFonts w:ascii="Times New Roman" w:hAnsi="方正楷体_GBK" w:eastAsia="方正楷体_GBK"/>
          <w:color w:val="000000"/>
          <w:sz w:val="32"/>
          <w:szCs w:val="32"/>
        </w:rPr>
        <w:t>（二）征收户数及面积。</w:t>
      </w:r>
      <w:r>
        <w:rPr>
          <w:rFonts w:ascii="Times New Roman" w:hAnsi="Times New Roman" w:eastAsia="方正仿宋_GBK"/>
          <w:sz w:val="32"/>
          <w:szCs w:val="32"/>
        </w:rPr>
        <w:t>征收总户数 11 户，征收有证房屋总建筑面积约 2</w:t>
      </w:r>
      <w:r>
        <w:rPr>
          <w:rFonts w:hint="eastAsia" w:ascii="Times New Roman" w:hAnsi="Times New Roman" w:eastAsia="方正仿宋_GBK"/>
          <w:sz w:val="32"/>
          <w:szCs w:val="32"/>
        </w:rPr>
        <w:t>1</w:t>
      </w:r>
      <w:r>
        <w:rPr>
          <w:rFonts w:ascii="Times New Roman" w:hAnsi="Times New Roman" w:eastAsia="方正仿宋_GBK"/>
          <w:sz w:val="32"/>
          <w:szCs w:val="32"/>
        </w:rPr>
        <w:t>5</w:t>
      </w:r>
      <w:r>
        <w:rPr>
          <w:rFonts w:hint="eastAsia" w:ascii="Times New Roman" w:hAnsi="Times New Roman" w:eastAsia="方正仿宋_GBK"/>
          <w:sz w:val="32"/>
          <w:szCs w:val="32"/>
        </w:rPr>
        <w:t>8</w:t>
      </w:r>
      <w:r>
        <w:rPr>
          <w:rFonts w:ascii="Times New Roman" w:hAnsi="Times New Roman" w:eastAsia="方正仿宋_GBK"/>
          <w:sz w:val="32"/>
          <w:szCs w:val="32"/>
        </w:rPr>
        <w:t xml:space="preserve"> ㎡。其中住宅 6 户，有证建筑面积约 29</w:t>
      </w:r>
      <w:r>
        <w:rPr>
          <w:rFonts w:hint="eastAsia" w:ascii="Times New Roman" w:hAnsi="Times New Roman" w:eastAsia="方正仿宋_GBK"/>
          <w:sz w:val="32"/>
          <w:szCs w:val="32"/>
        </w:rPr>
        <w:t>8</w:t>
      </w:r>
      <w:r>
        <w:rPr>
          <w:rFonts w:ascii="Times New Roman" w:hAnsi="Times New Roman" w:eastAsia="方正仿宋_GBK"/>
          <w:sz w:val="32"/>
          <w:szCs w:val="32"/>
        </w:rPr>
        <w:t xml:space="preserve"> ㎡，非住宅户 5</w:t>
      </w:r>
      <w:r>
        <w:rPr>
          <w:rFonts w:hint="eastAsia" w:ascii="Times New Roman" w:hAnsi="Times New Roman" w:eastAsia="方正仿宋_GBK"/>
          <w:sz w:val="32"/>
          <w:szCs w:val="32"/>
        </w:rPr>
        <w:t>户</w:t>
      </w:r>
      <w:r>
        <w:rPr>
          <w:rFonts w:ascii="Times New Roman" w:hAnsi="Times New Roman" w:eastAsia="方正仿宋_GBK"/>
          <w:sz w:val="32"/>
          <w:szCs w:val="32"/>
        </w:rPr>
        <w:t xml:space="preserve"> ，有证建筑面积约 1860  ㎡。最终征收户数和面积以实际为准。</w:t>
      </w:r>
    </w:p>
    <w:p>
      <w:pPr>
        <w:spacing w:line="560" w:lineRule="exact"/>
        <w:ind w:firstLine="480" w:firstLineChars="150"/>
        <w:rPr>
          <w:rFonts w:ascii="Times New Roman" w:hAnsi="Times New Roman" w:eastAsia="方正仿宋_GBK"/>
          <w:color w:val="000000"/>
          <w:sz w:val="32"/>
          <w:szCs w:val="32"/>
        </w:rPr>
      </w:pPr>
      <w:r>
        <w:rPr>
          <w:rFonts w:ascii="Times New Roman" w:hAnsi="方正楷体_GBK" w:eastAsia="方正楷体_GBK"/>
          <w:color w:val="000000"/>
          <w:sz w:val="32"/>
          <w:szCs w:val="32"/>
        </w:rPr>
        <w:t>（三）征收签约期限。</w:t>
      </w:r>
      <w:r>
        <w:rPr>
          <w:rFonts w:ascii="Times New Roman" w:hAnsi="方正仿宋_GBK" w:eastAsia="方正仿宋_GBK"/>
          <w:color w:val="000000"/>
          <w:sz w:val="32"/>
          <w:szCs w:val="32"/>
        </w:rPr>
        <w:t>从</w:t>
      </w:r>
      <w:r>
        <w:rPr>
          <w:rFonts w:ascii="Times New Roman" w:hAnsi="Times New Roman" w:eastAsia="方正仿宋_GBK"/>
          <w:color w:val="000000"/>
          <w:sz w:val="32"/>
          <w:szCs w:val="32"/>
        </w:rPr>
        <w:t>2020</w:t>
      </w:r>
      <w:r>
        <w:rPr>
          <w:rFonts w:ascii="Times New Roman" w:hAnsi="方正仿宋_GBK" w:eastAsia="方正仿宋_GBK"/>
          <w:color w:val="000000"/>
          <w:sz w:val="32"/>
          <w:szCs w:val="32"/>
        </w:rPr>
        <w:t>年</w:t>
      </w:r>
      <w:r>
        <w:rPr>
          <w:rFonts w:hint="eastAsia" w:ascii="Times New Roman" w:hAnsi="方正仿宋_GBK" w:eastAsia="方正仿宋_GBK"/>
          <w:color w:val="000000"/>
          <w:sz w:val="32"/>
          <w:szCs w:val="32"/>
        </w:rPr>
        <w:t>1</w:t>
      </w:r>
      <w:r>
        <w:rPr>
          <w:rFonts w:ascii="Times New Roman" w:hAnsi="方正仿宋_GBK" w:eastAsia="方正仿宋_GBK"/>
          <w:color w:val="000000"/>
          <w:sz w:val="32"/>
          <w:szCs w:val="32"/>
        </w:rPr>
        <w:t>月</w:t>
      </w:r>
      <w:r>
        <w:rPr>
          <w:rFonts w:hint="eastAsia" w:ascii="Times New Roman" w:hAnsi="方正仿宋_GBK" w:eastAsia="方正仿宋_GBK"/>
          <w:color w:val="000000"/>
          <w:sz w:val="32"/>
          <w:szCs w:val="32"/>
        </w:rPr>
        <w:t>12</w:t>
      </w:r>
      <w:r>
        <w:rPr>
          <w:rFonts w:ascii="Times New Roman" w:hAnsi="方正仿宋_GBK" w:eastAsia="方正仿宋_GBK"/>
          <w:color w:val="000000"/>
          <w:sz w:val="32"/>
          <w:szCs w:val="32"/>
        </w:rPr>
        <w:t>日至</w:t>
      </w:r>
      <w:r>
        <w:rPr>
          <w:rFonts w:ascii="Times New Roman" w:hAnsi="Times New Roman" w:eastAsia="方正仿宋_GBK"/>
          <w:color w:val="000000"/>
          <w:sz w:val="32"/>
          <w:szCs w:val="32"/>
        </w:rPr>
        <w:t>2020</w:t>
      </w:r>
      <w:r>
        <w:rPr>
          <w:rFonts w:ascii="Times New Roman" w:hAnsi="方正仿宋_GBK" w:eastAsia="方正仿宋_GBK"/>
          <w:color w:val="000000"/>
          <w:sz w:val="32"/>
          <w:szCs w:val="32"/>
        </w:rPr>
        <w:t>年</w:t>
      </w:r>
      <w:r>
        <w:rPr>
          <w:rFonts w:hint="eastAsia" w:ascii="Times New Roman" w:hAnsi="Times New Roman" w:eastAsia="方正仿宋_GBK"/>
          <w:color w:val="000000"/>
          <w:sz w:val="32"/>
          <w:szCs w:val="32"/>
        </w:rPr>
        <w:t>2</w:t>
      </w:r>
      <w:r>
        <w:rPr>
          <w:rFonts w:ascii="Times New Roman" w:hAnsi="方正仿宋_GBK" w:eastAsia="方正仿宋_GBK"/>
          <w:color w:val="000000"/>
          <w:sz w:val="32"/>
          <w:szCs w:val="32"/>
        </w:rPr>
        <w:t>月</w:t>
      </w:r>
      <w:r>
        <w:rPr>
          <w:rFonts w:hint="eastAsia" w:ascii="Times New Roman" w:hAnsi="方正仿宋_GBK" w:eastAsia="方正仿宋_GBK"/>
          <w:color w:val="000000"/>
          <w:sz w:val="32"/>
          <w:szCs w:val="32"/>
        </w:rPr>
        <w:t>10</w:t>
      </w:r>
      <w:r>
        <w:rPr>
          <w:rFonts w:ascii="Times New Roman" w:hAnsi="方正仿宋_GBK" w:eastAsia="方正仿宋_GBK"/>
          <w:color w:val="000000"/>
          <w:sz w:val="32"/>
          <w:szCs w:val="32"/>
        </w:rPr>
        <w:t>日，共计</w:t>
      </w:r>
      <w:r>
        <w:rPr>
          <w:rFonts w:ascii="Times New Roman" w:hAnsi="Times New Roman" w:eastAsia="方正仿宋_GBK"/>
          <w:sz w:val="32"/>
          <w:szCs w:val="32"/>
        </w:rPr>
        <w:t>30</w:t>
      </w:r>
      <w:r>
        <w:rPr>
          <w:rFonts w:ascii="Times New Roman" w:hAnsi="方正仿宋_GBK" w:eastAsia="方正仿宋_GBK"/>
          <w:color w:val="000000"/>
          <w:sz w:val="32"/>
          <w:szCs w:val="32"/>
        </w:rPr>
        <w:t>天。实际征收签约期限以沙坪坝区人民政府发布的房屋征收公告载明期限为准。</w:t>
      </w:r>
    </w:p>
    <w:p>
      <w:pPr>
        <w:snapToGrid w:val="0"/>
        <w:spacing w:line="560" w:lineRule="exact"/>
        <w:ind w:firstLine="640" w:firstLineChars="200"/>
        <w:rPr>
          <w:rFonts w:ascii="Times New Roman" w:hAnsi="Times New Roman" w:eastAsia="方正黑体_GBK"/>
          <w:color w:val="000000"/>
          <w:sz w:val="32"/>
          <w:szCs w:val="32"/>
        </w:rPr>
      </w:pPr>
      <w:r>
        <w:rPr>
          <w:rFonts w:ascii="Times New Roman" w:hAnsi="方正黑体_GBK" w:eastAsia="方正黑体_GBK"/>
          <w:color w:val="000000"/>
          <w:sz w:val="32"/>
          <w:szCs w:val="32"/>
        </w:rPr>
        <w:t>二、征收与补偿实施单位</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该项目国有土地上房屋征收与补偿的具体实施工作，由重庆市沙坪坝区住房和城乡建设委员会委托重庆市沙坪坝区房屋征收中心负责实施。</w:t>
      </w:r>
    </w:p>
    <w:p>
      <w:pPr>
        <w:snapToGrid w:val="0"/>
        <w:spacing w:line="560" w:lineRule="exact"/>
        <w:ind w:firstLine="640" w:firstLineChars="200"/>
        <w:rPr>
          <w:rFonts w:ascii="Times New Roman" w:hAnsi="Times New Roman" w:eastAsia="方正黑体_GBK"/>
          <w:color w:val="000000"/>
          <w:sz w:val="32"/>
          <w:szCs w:val="32"/>
        </w:rPr>
      </w:pPr>
      <w:r>
        <w:rPr>
          <w:rFonts w:ascii="Times New Roman" w:hAnsi="方正黑体_GBK" w:eastAsia="方正黑体_GBK"/>
          <w:color w:val="000000"/>
          <w:sz w:val="32"/>
          <w:szCs w:val="32"/>
        </w:rPr>
        <w:t>三、征收与补偿评估机构</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该项目国有土地上房屋征收与补偿的评估工作，由被征收人按照法定程序确定的重庆万合资产评估房地产土地估价有限公司承担。</w:t>
      </w:r>
    </w:p>
    <w:p>
      <w:pPr>
        <w:snapToGrid w:val="0"/>
        <w:spacing w:line="560" w:lineRule="exact"/>
        <w:ind w:firstLine="640" w:firstLineChars="200"/>
        <w:rPr>
          <w:rFonts w:ascii="Times New Roman" w:hAnsi="Times New Roman" w:eastAsia="方正黑体_GBK"/>
          <w:color w:val="000000"/>
          <w:sz w:val="32"/>
          <w:szCs w:val="32"/>
        </w:rPr>
      </w:pPr>
      <w:r>
        <w:rPr>
          <w:rFonts w:ascii="Times New Roman" w:hAnsi="方正黑体_GBK" w:eastAsia="方正黑体_GBK"/>
          <w:color w:val="000000"/>
          <w:sz w:val="32"/>
          <w:szCs w:val="32"/>
        </w:rPr>
        <w:t>四、征收与补偿对象</w:t>
      </w:r>
    </w:p>
    <w:p>
      <w:pPr>
        <w:snapToGrid w:val="0"/>
        <w:spacing w:line="560" w:lineRule="exact"/>
        <w:ind w:firstLine="640" w:firstLineChars="200"/>
        <w:rPr>
          <w:rFonts w:ascii="Times New Roman" w:hAnsi="Times New Roman" w:eastAsia="仿宋"/>
          <w:sz w:val="32"/>
          <w:szCs w:val="32"/>
        </w:rPr>
      </w:pPr>
      <w:r>
        <w:rPr>
          <w:rFonts w:ascii="Times New Roman" w:hAnsi="仿宋" w:eastAsia="仿宋"/>
          <w:sz w:val="32"/>
          <w:szCs w:val="32"/>
        </w:rPr>
        <w:t>马鞍山北侧道路延伸段征收项目规划红线范围内：持有不动产权证书、房地产权证、房屋所有权证和国有土地使用权证的所有权人；持有单位公有房屋产权出售（购买）合同的房屋权益人；具有其他有效权属证明，或经认定为合法建筑和未超过批准期限的临时建筑的实际权益人。</w:t>
      </w:r>
    </w:p>
    <w:p>
      <w:pPr>
        <w:snapToGrid w:val="0"/>
        <w:spacing w:line="560" w:lineRule="exact"/>
        <w:ind w:firstLine="640" w:firstLineChars="200"/>
        <w:rPr>
          <w:rFonts w:ascii="Times New Roman" w:hAnsi="Times New Roman" w:eastAsia="方正黑体_GBK"/>
          <w:color w:val="000000"/>
          <w:sz w:val="32"/>
          <w:szCs w:val="32"/>
        </w:rPr>
      </w:pPr>
      <w:r>
        <w:rPr>
          <w:rFonts w:ascii="Times New Roman" w:hAnsi="方正黑体_GBK" w:eastAsia="方正黑体_GBK"/>
          <w:color w:val="000000"/>
          <w:sz w:val="32"/>
          <w:szCs w:val="32"/>
        </w:rPr>
        <w:t>五、安置原则</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实行等价值结算原则，一个房屋所有权证为一个独立产权户，一个房屋所有权证有多个共有产权人（证）的仍按一个产权户计算。</w:t>
      </w:r>
    </w:p>
    <w:p>
      <w:pPr>
        <w:snapToGrid w:val="0"/>
        <w:spacing w:line="560" w:lineRule="exact"/>
        <w:ind w:firstLine="640" w:firstLineChars="200"/>
        <w:rPr>
          <w:rFonts w:ascii="Times New Roman" w:hAnsi="Times New Roman" w:eastAsia="方正黑体_GBK"/>
          <w:color w:val="000000"/>
          <w:sz w:val="32"/>
          <w:szCs w:val="32"/>
        </w:rPr>
      </w:pPr>
      <w:r>
        <w:rPr>
          <w:rFonts w:ascii="Times New Roman" w:hAnsi="方正黑体_GBK" w:eastAsia="方正黑体_GBK"/>
          <w:color w:val="000000"/>
          <w:sz w:val="32"/>
          <w:szCs w:val="32"/>
        </w:rPr>
        <w:t>六、征收与补偿政策法规依据</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（一）《国有土地上房屋征收与补偿条例》（国务院第</w:t>
      </w:r>
      <w:r>
        <w:rPr>
          <w:rFonts w:ascii="Times New Roman" w:hAnsi="Times New Roman" w:eastAsia="方正仿宋_GBK"/>
          <w:color w:val="000000"/>
          <w:sz w:val="32"/>
          <w:szCs w:val="32"/>
        </w:rPr>
        <w:t>590</w:t>
      </w:r>
      <w:r>
        <w:rPr>
          <w:rFonts w:ascii="Times New Roman" w:hAnsi="方正仿宋_GBK" w:eastAsia="方正仿宋_GBK"/>
          <w:color w:val="000000"/>
          <w:sz w:val="32"/>
          <w:szCs w:val="32"/>
        </w:rPr>
        <w:t>号令）；</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（二）《国有土地上房屋征收评估办法》（建房〔</w:t>
      </w:r>
      <w:r>
        <w:rPr>
          <w:rFonts w:ascii="Times New Roman" w:hAnsi="Times New Roman" w:eastAsia="方正仿宋_GBK"/>
          <w:color w:val="000000"/>
          <w:sz w:val="32"/>
          <w:szCs w:val="32"/>
        </w:rPr>
        <w:t>2011</w:t>
      </w:r>
      <w:r>
        <w:rPr>
          <w:rFonts w:ascii="Times New Roman" w:hAnsi="方正仿宋_GBK" w:eastAsia="方正仿宋_GBK"/>
          <w:color w:val="000000"/>
          <w:sz w:val="32"/>
          <w:szCs w:val="32"/>
        </w:rPr>
        <w:t>〕</w:t>
      </w:r>
      <w:r>
        <w:rPr>
          <w:rFonts w:ascii="Times New Roman" w:hAnsi="Times New Roman" w:eastAsia="方正仿宋_GBK"/>
          <w:color w:val="000000"/>
          <w:sz w:val="32"/>
          <w:szCs w:val="32"/>
        </w:rPr>
        <w:t>77</w:t>
      </w:r>
      <w:r>
        <w:rPr>
          <w:rFonts w:ascii="Times New Roman" w:hAnsi="方正仿宋_GBK" w:eastAsia="方正仿宋_GBK"/>
          <w:color w:val="000000"/>
          <w:sz w:val="32"/>
          <w:szCs w:val="32"/>
        </w:rPr>
        <w:t>号）；</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（三）《重庆市人民政府办公厅关于印发</w:t>
      </w:r>
      <w:r>
        <w:rPr>
          <w:rFonts w:ascii="Times New Roman" w:hAnsi="Times New Roman" w:eastAsia="方正仿宋_GBK"/>
          <w:color w:val="000000"/>
          <w:sz w:val="32"/>
          <w:szCs w:val="32"/>
        </w:rPr>
        <w:t>&lt;</w:t>
      </w:r>
      <w:r>
        <w:rPr>
          <w:rFonts w:ascii="Times New Roman" w:hAnsi="方正仿宋_GBK" w:eastAsia="方正仿宋_GBK"/>
          <w:color w:val="000000"/>
          <w:sz w:val="32"/>
          <w:szCs w:val="32"/>
        </w:rPr>
        <w:t>重庆市国有土地上房屋征收与补偿办法（暂行）</w:t>
      </w:r>
      <w:r>
        <w:rPr>
          <w:rFonts w:ascii="Times New Roman" w:hAnsi="Times New Roman" w:eastAsia="方正仿宋_GBK"/>
          <w:color w:val="000000"/>
          <w:sz w:val="32"/>
          <w:szCs w:val="32"/>
        </w:rPr>
        <w:t>&gt;</w:t>
      </w:r>
      <w:r>
        <w:rPr>
          <w:rFonts w:ascii="Times New Roman" w:hAnsi="方正仿宋_GBK" w:eastAsia="方正仿宋_GBK"/>
          <w:color w:val="000000"/>
          <w:sz w:val="32"/>
          <w:szCs w:val="32"/>
        </w:rPr>
        <w:t>等有关办法的通知》（渝办发〔</w:t>
      </w:r>
      <w:r>
        <w:rPr>
          <w:rFonts w:ascii="Times New Roman" w:hAnsi="Times New Roman" w:eastAsia="方正仿宋_GBK"/>
          <w:color w:val="000000"/>
          <w:sz w:val="32"/>
          <w:szCs w:val="32"/>
        </w:rPr>
        <w:t>2011</w:t>
      </w:r>
      <w:r>
        <w:rPr>
          <w:rFonts w:ascii="Times New Roman" w:hAnsi="方正仿宋_GBK" w:eastAsia="方正仿宋_GBK"/>
          <w:color w:val="000000"/>
          <w:sz w:val="32"/>
          <w:szCs w:val="32"/>
        </w:rPr>
        <w:t>〕</w:t>
      </w:r>
      <w:r>
        <w:rPr>
          <w:rFonts w:ascii="Times New Roman" w:hAnsi="Times New Roman" w:eastAsia="方正仿宋_GBK"/>
          <w:color w:val="000000"/>
          <w:sz w:val="32"/>
          <w:szCs w:val="32"/>
        </w:rPr>
        <w:t>123</w:t>
      </w:r>
      <w:r>
        <w:rPr>
          <w:rFonts w:ascii="Times New Roman" w:hAnsi="方正仿宋_GBK" w:eastAsia="方正仿宋_GBK"/>
          <w:color w:val="000000"/>
          <w:sz w:val="32"/>
          <w:szCs w:val="32"/>
        </w:rPr>
        <w:t>号）；</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（四）《关于做好房屋被征收家庭住房保障工作的通知》（渝办发〔</w:t>
      </w:r>
      <w:r>
        <w:rPr>
          <w:rFonts w:ascii="Times New Roman" w:hAnsi="Times New Roman" w:eastAsia="方正仿宋_GBK"/>
          <w:color w:val="000000"/>
          <w:sz w:val="32"/>
          <w:szCs w:val="32"/>
        </w:rPr>
        <w:t>2011</w:t>
      </w:r>
      <w:r>
        <w:rPr>
          <w:rFonts w:ascii="Times New Roman" w:hAnsi="方正仿宋_GBK" w:eastAsia="方正仿宋_GBK"/>
          <w:color w:val="000000"/>
          <w:sz w:val="32"/>
          <w:szCs w:val="32"/>
        </w:rPr>
        <w:t>〕</w:t>
      </w:r>
      <w:r>
        <w:rPr>
          <w:rFonts w:ascii="Times New Roman" w:hAnsi="Times New Roman" w:eastAsia="方正仿宋_GBK"/>
          <w:color w:val="000000"/>
          <w:sz w:val="32"/>
          <w:szCs w:val="32"/>
        </w:rPr>
        <w:t>127</w:t>
      </w:r>
      <w:r>
        <w:rPr>
          <w:rFonts w:ascii="Times New Roman" w:hAnsi="方正仿宋_GBK" w:eastAsia="方正仿宋_GBK"/>
          <w:color w:val="000000"/>
          <w:sz w:val="32"/>
          <w:szCs w:val="32"/>
        </w:rPr>
        <w:t>号）；</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（五）《重庆市国土房管局关于进一步加强国有土地上房屋征收工作的通知》（渝国土房管〔</w:t>
      </w:r>
      <w:r>
        <w:rPr>
          <w:rFonts w:ascii="Times New Roman" w:hAnsi="Times New Roman" w:eastAsia="方正仿宋_GBK"/>
          <w:color w:val="000000"/>
          <w:sz w:val="32"/>
          <w:szCs w:val="32"/>
        </w:rPr>
        <w:t>2012</w:t>
      </w:r>
      <w:r>
        <w:rPr>
          <w:rFonts w:ascii="Times New Roman" w:hAnsi="方正仿宋_GBK" w:eastAsia="方正仿宋_GBK"/>
          <w:color w:val="000000"/>
          <w:sz w:val="32"/>
          <w:szCs w:val="32"/>
        </w:rPr>
        <w:t>〕</w:t>
      </w:r>
      <w:r>
        <w:rPr>
          <w:rFonts w:ascii="Times New Roman" w:hAnsi="Times New Roman" w:eastAsia="方正仿宋_GBK"/>
          <w:color w:val="000000"/>
          <w:sz w:val="32"/>
          <w:szCs w:val="32"/>
        </w:rPr>
        <w:t>589</w:t>
      </w:r>
      <w:r>
        <w:rPr>
          <w:rFonts w:ascii="Times New Roman" w:hAnsi="方正仿宋_GBK" w:eastAsia="方正仿宋_GBK"/>
          <w:color w:val="000000"/>
          <w:sz w:val="32"/>
          <w:szCs w:val="32"/>
        </w:rPr>
        <w:t>号）；</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（六）国家和市、区其它相关配套政策规定。</w:t>
      </w:r>
    </w:p>
    <w:p>
      <w:pPr>
        <w:snapToGrid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 xml:space="preserve"> </w:t>
      </w:r>
      <w:r>
        <w:rPr>
          <w:rFonts w:ascii="Times New Roman" w:hAnsi="方正黑体_GBK" w:eastAsia="方正黑体_GBK"/>
          <w:color w:val="000000"/>
          <w:sz w:val="32"/>
          <w:szCs w:val="32"/>
        </w:rPr>
        <w:t>七、征收与补偿办法</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楷体_GBK" w:eastAsia="方正楷体_GBK"/>
          <w:color w:val="000000"/>
          <w:sz w:val="32"/>
          <w:szCs w:val="32"/>
        </w:rPr>
        <w:t>（一）征收补偿方式。</w:t>
      </w:r>
      <w:r>
        <w:rPr>
          <w:rFonts w:ascii="Times New Roman" w:hAnsi="方正仿宋_GBK" w:eastAsia="方正仿宋_GBK"/>
          <w:color w:val="000000"/>
          <w:sz w:val="32"/>
          <w:szCs w:val="32"/>
        </w:rPr>
        <w:t>房屋征收补偿实行货币补偿或房屋产权调换，被征收人可自愿选择其中一种补偿方式。</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1. </w:t>
      </w:r>
      <w:r>
        <w:rPr>
          <w:rFonts w:ascii="Times New Roman" w:hAnsi="方正仿宋_GBK" w:eastAsia="方正仿宋_GBK"/>
          <w:color w:val="000000"/>
          <w:sz w:val="32"/>
          <w:szCs w:val="32"/>
        </w:rPr>
        <w:t>选择货币补偿的被征收人，由征收人按评估单价对被征收房屋的建筑面积计算应补偿价值，按征收补偿协议支付给被征收人，补偿终结。</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被征收的有证房屋补偿价格以征收公告时点出具的整体评估报告和分户评估报告为准（现为预评价格详见附表</w:t>
      </w:r>
      <w:r>
        <w:rPr>
          <w:rFonts w:ascii="Times New Roman" w:hAnsi="Times New Roman" w:eastAsia="方正仿宋_GBK"/>
          <w:color w:val="000000"/>
          <w:sz w:val="32"/>
          <w:szCs w:val="32"/>
        </w:rPr>
        <w:t>1</w:t>
      </w:r>
      <w:r>
        <w:rPr>
          <w:rFonts w:ascii="Times New Roman" w:hAnsi="方正仿宋_GBK" w:eastAsia="方正仿宋_GBK"/>
          <w:color w:val="000000"/>
          <w:sz w:val="32"/>
          <w:szCs w:val="32"/>
        </w:rPr>
        <w:t>：马鞍山道路延伸段项目房屋征收预评估价格明细表）。</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2. </w:t>
      </w:r>
      <w:r>
        <w:rPr>
          <w:rFonts w:ascii="Times New Roman" w:hAnsi="方正仿宋_GBK" w:eastAsia="方正仿宋_GBK"/>
          <w:color w:val="000000"/>
          <w:sz w:val="32"/>
          <w:szCs w:val="32"/>
        </w:rPr>
        <w:t>选择产权调换的被征收人，由征收人提供用于产权调换的房屋，征收双方计算、结清被征收房屋价值与用于产权调换房屋价值的差价。</w:t>
      </w:r>
      <w:r>
        <w:rPr>
          <w:rFonts w:ascii="Times New Roman" w:hAnsi="Times New Roman" w:eastAsia="方正仿宋_GBK"/>
          <w:color w:val="000000"/>
          <w:sz w:val="32"/>
          <w:szCs w:val="32"/>
        </w:rPr>
        <w:t xml:space="preserve">                 </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w:t>
      </w:r>
      <w:r>
        <w:rPr>
          <w:rFonts w:ascii="Times New Roman" w:hAnsi="Times New Roman" w:eastAsia="方正仿宋_GBK"/>
          <w:color w:val="000000"/>
          <w:sz w:val="32"/>
          <w:szCs w:val="32"/>
        </w:rPr>
        <w:t>1</w:t>
      </w:r>
      <w:r>
        <w:rPr>
          <w:rFonts w:ascii="Times New Roman" w:hAnsi="方正仿宋_GBK" w:eastAsia="方正仿宋_GBK"/>
          <w:color w:val="000000"/>
          <w:sz w:val="32"/>
          <w:szCs w:val="32"/>
        </w:rPr>
        <w:t>）用于产权调换的房屋户型、房号、面积、价格公开，由被征收人在规定的选房范围内选择安置房。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w:t>
      </w:r>
      <w:r>
        <w:rPr>
          <w:rFonts w:ascii="Times New Roman" w:hAnsi="Times New Roman" w:eastAsia="方正仿宋_GBK"/>
          <w:color w:val="000000"/>
          <w:sz w:val="32"/>
          <w:szCs w:val="32"/>
        </w:rPr>
        <w:t>2</w:t>
      </w:r>
      <w:r>
        <w:rPr>
          <w:rFonts w:ascii="Times New Roman" w:hAnsi="方正仿宋_GBK" w:eastAsia="方正仿宋_GBK"/>
          <w:color w:val="000000"/>
          <w:sz w:val="32"/>
          <w:szCs w:val="32"/>
        </w:rPr>
        <w:t>）安置地点</w:t>
      </w:r>
    </w:p>
    <w:p>
      <w:pPr>
        <w:snapToGrid w:val="0"/>
        <w:spacing w:line="560" w:lineRule="exact"/>
        <w:ind w:firstLine="640"/>
        <w:rPr>
          <w:rFonts w:ascii="Times New Roman" w:hAnsi="Times New Roman" w:eastAsia="仿宋"/>
          <w:sz w:val="32"/>
          <w:szCs w:val="32"/>
        </w:rPr>
      </w:pPr>
      <w:r>
        <w:rPr>
          <w:rFonts w:ascii="Times New Roman" w:hAnsi="仿宋" w:eastAsia="仿宋"/>
          <w:sz w:val="32"/>
          <w:szCs w:val="32"/>
        </w:rPr>
        <w:t>住宅房源（详见附表二：住宅房屋产权调换房源套数及结算价汇总表）</w:t>
      </w:r>
    </w:p>
    <w:p>
      <w:pPr>
        <w:pStyle w:val="86"/>
        <w:snapToGrid w:val="0"/>
        <w:spacing w:line="560" w:lineRule="exact"/>
        <w:ind w:left="779" w:leftChars="371" w:firstLine="0" w:firstLineChars="0"/>
        <w:rPr>
          <w:rFonts w:ascii="Times New Roman" w:hAnsi="Times New Roman" w:eastAsia="仿宋"/>
          <w:sz w:val="32"/>
          <w:szCs w:val="32"/>
        </w:rPr>
      </w:pPr>
      <w:r>
        <w:rPr>
          <w:rFonts w:ascii="Times New Roman" w:hAnsi="仿宋" w:eastAsia="仿宋"/>
          <w:sz w:val="32"/>
          <w:szCs w:val="32"/>
        </w:rPr>
        <w:t>①融汇泉</w:t>
      </w:r>
      <w:r>
        <w:rPr>
          <w:rFonts w:hint="eastAsia" w:ascii="Times New Roman" w:hAnsi="仿宋" w:eastAsia="仿宋"/>
          <w:sz w:val="32"/>
          <w:szCs w:val="32"/>
        </w:rPr>
        <w:t>景</w:t>
      </w:r>
      <w:r>
        <w:rPr>
          <w:rFonts w:ascii="Times New Roman" w:hAnsi="仿宋" w:eastAsia="仿宋"/>
          <w:sz w:val="32"/>
          <w:szCs w:val="32"/>
        </w:rPr>
        <w:t>圣地亚</w:t>
      </w:r>
      <w:r>
        <w:rPr>
          <w:rFonts w:ascii="Times New Roman" w:hAnsi="Times New Roman" w:eastAsia="仿宋"/>
          <w:sz w:val="32"/>
          <w:szCs w:val="32"/>
        </w:rPr>
        <w:t>3</w:t>
      </w:r>
      <w:r>
        <w:rPr>
          <w:rFonts w:ascii="Times New Roman" w:hAnsi="仿宋" w:eastAsia="仿宋"/>
          <w:sz w:val="32"/>
          <w:szCs w:val="32"/>
        </w:rPr>
        <w:t>号地块</w:t>
      </w:r>
      <w:r>
        <w:rPr>
          <w:rFonts w:ascii="Times New Roman" w:hAnsi="Times New Roman" w:eastAsia="仿宋"/>
          <w:sz w:val="32"/>
          <w:szCs w:val="32"/>
        </w:rPr>
        <w:t>2</w:t>
      </w:r>
      <w:r>
        <w:rPr>
          <w:rFonts w:ascii="Times New Roman" w:hAnsi="仿宋" w:eastAsia="仿宋"/>
          <w:sz w:val="32"/>
          <w:szCs w:val="32"/>
        </w:rPr>
        <w:t>套；</w:t>
      </w:r>
    </w:p>
    <w:p>
      <w:pPr>
        <w:pStyle w:val="86"/>
        <w:snapToGrid w:val="0"/>
        <w:spacing w:line="560" w:lineRule="exact"/>
        <w:ind w:left="780" w:firstLine="0" w:firstLineChars="0"/>
        <w:rPr>
          <w:rFonts w:ascii="Times New Roman" w:hAnsi="Times New Roman" w:eastAsia="仿宋"/>
          <w:sz w:val="32"/>
          <w:szCs w:val="32"/>
        </w:rPr>
      </w:pPr>
      <w:r>
        <w:rPr>
          <w:rFonts w:ascii="Times New Roman" w:hAnsi="仿宋" w:eastAsia="仿宋"/>
          <w:sz w:val="32"/>
          <w:szCs w:val="32"/>
        </w:rPr>
        <w:t>②叠彩西城</w:t>
      </w:r>
      <w:r>
        <w:rPr>
          <w:rFonts w:ascii="Times New Roman" w:hAnsi="Times New Roman" w:eastAsia="仿宋"/>
          <w:sz w:val="32"/>
          <w:szCs w:val="32"/>
        </w:rPr>
        <w:t>9</w:t>
      </w:r>
      <w:r>
        <w:rPr>
          <w:rFonts w:ascii="Times New Roman" w:hAnsi="仿宋" w:eastAsia="仿宋"/>
          <w:sz w:val="32"/>
          <w:szCs w:val="32"/>
        </w:rPr>
        <w:t>号楼</w:t>
      </w:r>
      <w:r>
        <w:rPr>
          <w:rFonts w:ascii="Times New Roman" w:hAnsi="Times New Roman" w:eastAsia="仿宋"/>
          <w:sz w:val="32"/>
          <w:szCs w:val="32"/>
        </w:rPr>
        <w:t>2</w:t>
      </w:r>
      <w:r>
        <w:rPr>
          <w:rFonts w:ascii="Times New Roman" w:hAnsi="仿宋" w:eastAsia="仿宋"/>
          <w:sz w:val="32"/>
          <w:szCs w:val="32"/>
        </w:rPr>
        <w:t>套；</w:t>
      </w:r>
    </w:p>
    <w:p>
      <w:pPr>
        <w:pStyle w:val="86"/>
        <w:snapToGrid w:val="0"/>
        <w:spacing w:line="560" w:lineRule="exact"/>
        <w:ind w:left="780" w:firstLine="0" w:firstLineChars="0"/>
        <w:rPr>
          <w:rFonts w:ascii="Times New Roman" w:hAnsi="Times New Roman" w:eastAsia="仿宋"/>
          <w:sz w:val="32"/>
          <w:szCs w:val="32"/>
        </w:rPr>
      </w:pPr>
      <w:r>
        <w:rPr>
          <w:rFonts w:ascii="Times New Roman" w:hAnsi="仿宋" w:eastAsia="仿宋"/>
          <w:sz w:val="32"/>
          <w:szCs w:val="32"/>
        </w:rPr>
        <w:t>③畔山桃园</w:t>
      </w:r>
      <w:r>
        <w:rPr>
          <w:rFonts w:ascii="Times New Roman" w:hAnsi="Times New Roman" w:eastAsia="仿宋"/>
          <w:sz w:val="32"/>
          <w:szCs w:val="32"/>
        </w:rPr>
        <w:t>4</w:t>
      </w:r>
      <w:r>
        <w:rPr>
          <w:rFonts w:ascii="Times New Roman" w:hAnsi="仿宋" w:eastAsia="仿宋"/>
          <w:sz w:val="32"/>
          <w:szCs w:val="32"/>
        </w:rPr>
        <w:t>号楼</w:t>
      </w:r>
      <w:r>
        <w:rPr>
          <w:rFonts w:ascii="Times New Roman" w:hAnsi="Times New Roman" w:eastAsia="仿宋"/>
          <w:sz w:val="32"/>
          <w:szCs w:val="32"/>
        </w:rPr>
        <w:t>5</w:t>
      </w:r>
      <w:r>
        <w:rPr>
          <w:rFonts w:ascii="Times New Roman" w:hAnsi="仿宋" w:eastAsia="仿宋"/>
          <w:sz w:val="32"/>
          <w:szCs w:val="32"/>
        </w:rPr>
        <w:t>套；</w:t>
      </w:r>
    </w:p>
    <w:p>
      <w:pPr>
        <w:pStyle w:val="86"/>
        <w:snapToGrid w:val="0"/>
        <w:spacing w:line="560" w:lineRule="exact"/>
        <w:ind w:firstLine="736" w:firstLineChars="230"/>
        <w:rPr>
          <w:rFonts w:ascii="Times New Roman" w:hAnsi="Times New Roman" w:eastAsia="仿宋"/>
          <w:sz w:val="32"/>
          <w:szCs w:val="32"/>
        </w:rPr>
      </w:pPr>
      <w:r>
        <w:rPr>
          <w:rFonts w:ascii="Times New Roman" w:hAnsi="仿宋" w:eastAsia="仿宋"/>
          <w:sz w:val="32"/>
          <w:szCs w:val="32"/>
        </w:rPr>
        <w:t>④畔山桃园</w:t>
      </w:r>
      <w:r>
        <w:rPr>
          <w:rFonts w:ascii="Times New Roman" w:hAnsi="Times New Roman" w:eastAsia="仿宋"/>
          <w:sz w:val="32"/>
          <w:szCs w:val="32"/>
        </w:rPr>
        <w:t>1</w:t>
      </w:r>
      <w:r>
        <w:rPr>
          <w:rFonts w:ascii="Times New Roman" w:hAnsi="仿宋" w:eastAsia="仿宋"/>
          <w:sz w:val="32"/>
          <w:szCs w:val="32"/>
        </w:rPr>
        <w:t>号楼</w:t>
      </w:r>
      <w:r>
        <w:rPr>
          <w:rFonts w:ascii="Times New Roman" w:hAnsi="Times New Roman" w:eastAsia="仿宋"/>
          <w:sz w:val="32"/>
          <w:szCs w:val="32"/>
        </w:rPr>
        <w:t>4</w:t>
      </w:r>
      <w:r>
        <w:rPr>
          <w:rFonts w:ascii="Times New Roman" w:hAnsi="仿宋" w:eastAsia="仿宋"/>
          <w:sz w:val="32"/>
          <w:szCs w:val="32"/>
        </w:rPr>
        <w:t>套。</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临时安置费</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r>
        <w:rPr>
          <w:rFonts w:ascii="方正仿宋_GBK" w:hAnsi="方正仿宋_GBK" w:eastAsia="方正仿宋_GBK"/>
          <w:color w:val="000000"/>
          <w:sz w:val="32"/>
          <w:szCs w:val="32"/>
        </w:rPr>
        <w:t>①</w:t>
      </w:r>
      <w:r>
        <w:rPr>
          <w:rFonts w:ascii="Times New Roman" w:hAnsi="方正仿宋_GBK" w:eastAsia="方正仿宋_GBK"/>
          <w:color w:val="000000"/>
          <w:sz w:val="32"/>
          <w:szCs w:val="32"/>
        </w:rPr>
        <w:t>住宅临时安置费标准（以被征收房屋产权户为单位）</w:t>
      </w:r>
    </w:p>
    <w:tbl>
      <w:tblPr>
        <w:tblStyle w:val="7"/>
        <w:tblpPr w:leftFromText="180" w:rightFromText="180" w:vertAnchor="text" w:horzAnchor="page" w:tblpXSpec="center" w:tblpY="37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090"/>
        <w:gridCol w:w="1524"/>
        <w:gridCol w:w="1652"/>
        <w:gridCol w:w="1049"/>
        <w:gridCol w:w="25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236" w:type="dxa"/>
            <w:tcMar>
              <w:left w:w="28" w:type="dxa"/>
              <w:right w:w="28" w:type="dxa"/>
            </w:tcMar>
            <w:vAlign w:val="center"/>
          </w:tcPr>
          <w:p>
            <w:pPr>
              <w:spacing w:line="320" w:lineRule="exact"/>
              <w:jc w:val="center"/>
              <w:rPr>
                <w:rFonts w:ascii="Times New Roman" w:hAnsi="Times New Roman" w:eastAsia="方正仿宋_GBK"/>
                <w:color w:val="000000"/>
                <w:sz w:val="28"/>
                <w:szCs w:val="28"/>
              </w:rPr>
            </w:pPr>
            <w:r>
              <w:rPr>
                <w:rFonts w:ascii="Times New Roman" w:hAnsi="方正仿宋_GBK" w:eastAsia="方正仿宋_GBK"/>
                <w:color w:val="000000"/>
                <w:sz w:val="28"/>
                <w:szCs w:val="28"/>
              </w:rPr>
              <w:t>建筑面积</w:t>
            </w:r>
          </w:p>
          <w:p>
            <w:pPr>
              <w:spacing w:line="320" w:lineRule="exact"/>
              <w:jc w:val="center"/>
              <w:rPr>
                <w:rFonts w:ascii="Times New Roman" w:hAnsi="Times New Roman" w:eastAsia="方正仿宋_GBK"/>
                <w:color w:val="000000"/>
                <w:sz w:val="28"/>
                <w:szCs w:val="28"/>
              </w:rPr>
            </w:pPr>
            <w:r>
              <w:rPr>
                <w:rFonts w:ascii="Times New Roman" w:hAnsi="方正仿宋_GBK" w:eastAsia="方正仿宋_GBK"/>
                <w:color w:val="000000"/>
                <w:sz w:val="28"/>
                <w:szCs w:val="28"/>
              </w:rPr>
              <w:t>（㎡）</w:t>
            </w:r>
          </w:p>
        </w:tc>
        <w:tc>
          <w:tcPr>
            <w:tcW w:w="1090" w:type="dxa"/>
            <w:tcMar>
              <w:left w:w="28" w:type="dxa"/>
              <w:right w:w="28" w:type="dxa"/>
            </w:tcMar>
            <w:vAlign w:val="center"/>
          </w:tcPr>
          <w:p>
            <w:pPr>
              <w:spacing w:line="32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X</w:t>
            </w:r>
            <w:r>
              <w:rPr>
                <w:rFonts w:ascii="Times New Roman" w:hAnsi="方正仿宋_GBK" w:eastAsia="方正仿宋_GBK"/>
                <w:color w:val="000000"/>
                <w:sz w:val="28"/>
                <w:szCs w:val="28"/>
              </w:rPr>
              <w:t>＜</w:t>
            </w:r>
            <w:r>
              <w:rPr>
                <w:rFonts w:ascii="Times New Roman" w:hAnsi="Times New Roman" w:eastAsia="方正仿宋_GBK"/>
                <w:color w:val="000000"/>
                <w:sz w:val="28"/>
                <w:szCs w:val="28"/>
              </w:rPr>
              <w:t>45</w:t>
            </w:r>
          </w:p>
        </w:tc>
        <w:tc>
          <w:tcPr>
            <w:tcW w:w="1524" w:type="dxa"/>
            <w:tcMar>
              <w:left w:w="28" w:type="dxa"/>
              <w:right w:w="28" w:type="dxa"/>
            </w:tcMar>
            <w:vAlign w:val="center"/>
          </w:tcPr>
          <w:p>
            <w:pPr>
              <w:spacing w:line="32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45≤X</w:t>
            </w:r>
            <w:r>
              <w:rPr>
                <w:rFonts w:ascii="Times New Roman" w:hAnsi="方正仿宋_GBK" w:eastAsia="方正仿宋_GBK"/>
                <w:color w:val="000000"/>
                <w:sz w:val="28"/>
                <w:szCs w:val="28"/>
              </w:rPr>
              <w:t>＜</w:t>
            </w:r>
            <w:r>
              <w:rPr>
                <w:rFonts w:ascii="Times New Roman" w:hAnsi="Times New Roman" w:eastAsia="方正仿宋_GBK"/>
                <w:color w:val="000000"/>
                <w:sz w:val="28"/>
                <w:szCs w:val="28"/>
              </w:rPr>
              <w:t>80</w:t>
            </w:r>
          </w:p>
        </w:tc>
        <w:tc>
          <w:tcPr>
            <w:tcW w:w="1652" w:type="dxa"/>
            <w:tcMar>
              <w:left w:w="28" w:type="dxa"/>
              <w:right w:w="28" w:type="dxa"/>
            </w:tcMar>
            <w:vAlign w:val="center"/>
          </w:tcPr>
          <w:p>
            <w:pPr>
              <w:spacing w:line="32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80≤X</w:t>
            </w:r>
            <w:r>
              <w:rPr>
                <w:rFonts w:ascii="Times New Roman" w:hAnsi="方正仿宋_GBK" w:eastAsia="方正仿宋_GBK"/>
                <w:color w:val="000000"/>
                <w:sz w:val="28"/>
                <w:szCs w:val="28"/>
              </w:rPr>
              <w:t>＜</w:t>
            </w:r>
            <w:r>
              <w:rPr>
                <w:rFonts w:ascii="Times New Roman" w:hAnsi="Times New Roman" w:eastAsia="方正仿宋_GBK"/>
                <w:color w:val="000000"/>
                <w:sz w:val="28"/>
                <w:szCs w:val="28"/>
              </w:rPr>
              <w:t>120</w:t>
            </w:r>
          </w:p>
        </w:tc>
        <w:tc>
          <w:tcPr>
            <w:tcW w:w="1049" w:type="dxa"/>
            <w:tcMar>
              <w:left w:w="28" w:type="dxa"/>
              <w:right w:w="28" w:type="dxa"/>
            </w:tcMar>
            <w:vAlign w:val="center"/>
          </w:tcPr>
          <w:p>
            <w:pPr>
              <w:spacing w:line="32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120≤X</w:t>
            </w:r>
          </w:p>
        </w:tc>
        <w:tc>
          <w:tcPr>
            <w:tcW w:w="2521" w:type="dxa"/>
            <w:tcMar>
              <w:left w:w="28" w:type="dxa"/>
              <w:right w:w="28" w:type="dxa"/>
            </w:tcMar>
            <w:vAlign w:val="center"/>
          </w:tcPr>
          <w:p>
            <w:pPr>
              <w:spacing w:line="320" w:lineRule="exact"/>
              <w:jc w:val="center"/>
              <w:rPr>
                <w:rFonts w:ascii="Times New Roman" w:hAnsi="Times New Roman" w:eastAsia="方正仿宋_GBK"/>
                <w:color w:val="000000"/>
                <w:sz w:val="28"/>
                <w:szCs w:val="28"/>
              </w:rPr>
            </w:pPr>
            <w:r>
              <w:rPr>
                <w:rFonts w:ascii="Times New Roman" w:hAnsi="方正仿宋_GBK" w:eastAsia="方正仿宋_GBK"/>
                <w:color w:val="000000"/>
                <w:sz w:val="28"/>
                <w:szCs w:val="28"/>
              </w:rPr>
              <w:t>备</w:t>
            </w:r>
            <w:r>
              <w:rPr>
                <w:rFonts w:ascii="Times New Roman" w:hAnsi="Times New Roman" w:eastAsia="方正仿宋_GBK"/>
                <w:color w:val="000000"/>
                <w:sz w:val="28"/>
                <w:szCs w:val="28"/>
              </w:rPr>
              <w:t xml:space="preserve">  </w:t>
            </w:r>
            <w:r>
              <w:rPr>
                <w:rFonts w:ascii="Times New Roman" w:hAnsi="方正仿宋_GBK" w:eastAsia="方正仿宋_GBK"/>
                <w:color w:val="000000"/>
                <w:sz w:val="28"/>
                <w:szCs w:val="28"/>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236" w:type="dxa"/>
            <w:tcMar>
              <w:left w:w="28" w:type="dxa"/>
              <w:right w:w="28" w:type="dxa"/>
            </w:tcMar>
            <w:vAlign w:val="center"/>
          </w:tcPr>
          <w:p>
            <w:pPr>
              <w:spacing w:line="320" w:lineRule="exact"/>
              <w:jc w:val="center"/>
              <w:rPr>
                <w:rFonts w:ascii="Times New Roman" w:hAnsi="Times New Roman" w:eastAsia="方正仿宋_GBK"/>
                <w:color w:val="000000"/>
                <w:sz w:val="28"/>
                <w:szCs w:val="28"/>
              </w:rPr>
            </w:pPr>
            <w:r>
              <w:rPr>
                <w:rFonts w:ascii="Times New Roman" w:hAnsi="方正仿宋_GBK" w:eastAsia="方正仿宋_GBK"/>
                <w:color w:val="000000"/>
                <w:sz w:val="28"/>
                <w:szCs w:val="28"/>
              </w:rPr>
              <w:t>发放标准</w:t>
            </w:r>
          </w:p>
          <w:p>
            <w:pPr>
              <w:spacing w:line="320" w:lineRule="exact"/>
              <w:jc w:val="center"/>
              <w:rPr>
                <w:rFonts w:ascii="Times New Roman" w:hAnsi="Times New Roman" w:eastAsia="方正仿宋_GBK"/>
                <w:color w:val="000000"/>
                <w:sz w:val="28"/>
                <w:szCs w:val="28"/>
              </w:rPr>
            </w:pPr>
            <w:r>
              <w:rPr>
                <w:rFonts w:ascii="Times New Roman" w:hAnsi="方正仿宋_GBK" w:eastAsia="方正仿宋_GBK"/>
                <w:color w:val="000000"/>
                <w:sz w:val="28"/>
                <w:szCs w:val="28"/>
              </w:rPr>
              <w:t>（元</w:t>
            </w:r>
            <w:r>
              <w:rPr>
                <w:rFonts w:ascii="Times New Roman" w:hAnsi="Times New Roman" w:eastAsia="方正仿宋_GBK"/>
                <w:color w:val="000000"/>
                <w:sz w:val="28"/>
                <w:szCs w:val="28"/>
              </w:rPr>
              <w:t>/</w:t>
            </w:r>
            <w:r>
              <w:rPr>
                <w:rFonts w:ascii="Times New Roman" w:hAnsi="方正仿宋_GBK" w:eastAsia="方正仿宋_GBK"/>
                <w:color w:val="000000"/>
                <w:sz w:val="28"/>
                <w:szCs w:val="28"/>
              </w:rPr>
              <w:t>月）</w:t>
            </w:r>
          </w:p>
        </w:tc>
        <w:tc>
          <w:tcPr>
            <w:tcW w:w="1090" w:type="dxa"/>
            <w:tcMar>
              <w:left w:w="28" w:type="dxa"/>
              <w:right w:w="28" w:type="dxa"/>
            </w:tcMar>
            <w:vAlign w:val="center"/>
          </w:tcPr>
          <w:p>
            <w:pPr>
              <w:spacing w:line="32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800</w:t>
            </w:r>
          </w:p>
        </w:tc>
        <w:tc>
          <w:tcPr>
            <w:tcW w:w="1524" w:type="dxa"/>
            <w:tcMar>
              <w:left w:w="28" w:type="dxa"/>
              <w:right w:w="28" w:type="dxa"/>
            </w:tcMar>
            <w:vAlign w:val="center"/>
          </w:tcPr>
          <w:p>
            <w:pPr>
              <w:spacing w:line="32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1000</w:t>
            </w:r>
          </w:p>
        </w:tc>
        <w:tc>
          <w:tcPr>
            <w:tcW w:w="1652" w:type="dxa"/>
            <w:tcMar>
              <w:left w:w="28" w:type="dxa"/>
              <w:right w:w="28" w:type="dxa"/>
            </w:tcMar>
            <w:vAlign w:val="center"/>
          </w:tcPr>
          <w:p>
            <w:pPr>
              <w:spacing w:line="32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1200</w:t>
            </w:r>
          </w:p>
        </w:tc>
        <w:tc>
          <w:tcPr>
            <w:tcW w:w="1049" w:type="dxa"/>
            <w:tcMar>
              <w:left w:w="28" w:type="dxa"/>
              <w:right w:w="28" w:type="dxa"/>
            </w:tcMar>
            <w:vAlign w:val="center"/>
          </w:tcPr>
          <w:p>
            <w:pPr>
              <w:spacing w:line="320" w:lineRule="exact"/>
              <w:jc w:val="center"/>
              <w:rPr>
                <w:rFonts w:ascii="Times New Roman" w:hAnsi="Times New Roman" w:eastAsia="方正仿宋_GBK"/>
                <w:color w:val="000000"/>
                <w:sz w:val="28"/>
                <w:szCs w:val="28"/>
              </w:rPr>
            </w:pPr>
            <w:r>
              <w:rPr>
                <w:rFonts w:ascii="Times New Roman" w:hAnsi="Times New Roman" w:eastAsia="方正仿宋_GBK"/>
                <w:color w:val="000000"/>
                <w:sz w:val="28"/>
                <w:szCs w:val="28"/>
              </w:rPr>
              <w:t>1500</w:t>
            </w:r>
          </w:p>
        </w:tc>
        <w:tc>
          <w:tcPr>
            <w:tcW w:w="2521" w:type="dxa"/>
            <w:tcMar>
              <w:left w:w="28" w:type="dxa"/>
              <w:right w:w="28" w:type="dxa"/>
            </w:tcMar>
            <w:vAlign w:val="center"/>
          </w:tcPr>
          <w:p>
            <w:pPr>
              <w:spacing w:line="320" w:lineRule="exact"/>
              <w:jc w:val="left"/>
              <w:rPr>
                <w:rFonts w:ascii="Times New Roman" w:hAnsi="Times New Roman" w:eastAsia="方正仿宋_GBK"/>
                <w:color w:val="000000"/>
                <w:sz w:val="28"/>
                <w:szCs w:val="28"/>
              </w:rPr>
            </w:pPr>
            <w:r>
              <w:rPr>
                <w:rFonts w:ascii="Times New Roman" w:hAnsi="Times New Roman" w:eastAsia="方正仿宋_GBK"/>
                <w:color w:val="000000"/>
                <w:sz w:val="28"/>
                <w:szCs w:val="28"/>
              </w:rPr>
              <w:t>“X”</w:t>
            </w:r>
            <w:r>
              <w:rPr>
                <w:rFonts w:ascii="Times New Roman" w:hAnsi="方正仿宋_GBK" w:eastAsia="方正仿宋_GBK"/>
                <w:color w:val="000000"/>
                <w:sz w:val="28"/>
                <w:szCs w:val="28"/>
              </w:rPr>
              <w:t>指被征收房屋合法（含认定为合法）建筑面积，不含保障面积。</w:t>
            </w:r>
          </w:p>
        </w:tc>
      </w:tr>
    </w:tbl>
    <w:p>
      <w:pPr>
        <w:snapToGrid w:val="0"/>
        <w:spacing w:line="560" w:lineRule="exact"/>
        <w:ind w:firstLine="480" w:firstLineChars="150"/>
        <w:rPr>
          <w:rFonts w:ascii="Times New Roman" w:hAnsi="Times New Roman" w:eastAsia="方正仿宋_GBK"/>
          <w:color w:val="000000"/>
          <w:sz w:val="32"/>
          <w:szCs w:val="32"/>
        </w:rPr>
      </w:pPr>
      <w:r>
        <w:rPr>
          <w:rFonts w:ascii="方正仿宋_GBK" w:hAnsi="方正仿宋_GBK" w:eastAsia="方正仿宋_GBK"/>
          <w:color w:val="000000"/>
          <w:sz w:val="32"/>
          <w:szCs w:val="32"/>
        </w:rPr>
        <w:t>②</w:t>
      </w:r>
      <w:r>
        <w:rPr>
          <w:rFonts w:ascii="Times New Roman" w:hAnsi="方正仿宋_GBK" w:eastAsia="方正仿宋_GBK"/>
          <w:color w:val="000000"/>
          <w:sz w:val="32"/>
          <w:szCs w:val="32"/>
        </w:rPr>
        <w:t>签订协议并完成附属设施注销手续和腾空交房的被征收人，安置房接房时，每户按临时安置费原标准增发</w:t>
      </w:r>
      <w:r>
        <w:rPr>
          <w:rFonts w:ascii="Times New Roman" w:hAnsi="Times New Roman" w:eastAsia="方正仿宋_GBK"/>
          <w:color w:val="000000"/>
          <w:sz w:val="32"/>
          <w:szCs w:val="32"/>
        </w:rPr>
        <w:t>3</w:t>
      </w:r>
      <w:r>
        <w:rPr>
          <w:rFonts w:ascii="Times New Roman" w:hAnsi="方正仿宋_GBK" w:eastAsia="方正仿宋_GBK"/>
          <w:color w:val="000000"/>
          <w:sz w:val="32"/>
          <w:szCs w:val="32"/>
        </w:rPr>
        <w:t>个月临时安置费。因被征收人非正当理由拒绝接房的，自征收人通知接房次月起，停止发放临时安置费。</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楷体_GBK" w:eastAsia="方正楷体_GBK"/>
          <w:color w:val="000000"/>
          <w:sz w:val="32"/>
          <w:szCs w:val="32"/>
        </w:rPr>
        <w:t>（二）被征收房屋价值的补偿。</w:t>
      </w:r>
      <w:r>
        <w:rPr>
          <w:rFonts w:ascii="Times New Roman" w:hAnsi="方正仿宋_GBK" w:eastAsia="方正仿宋_GBK"/>
          <w:color w:val="000000"/>
          <w:sz w:val="32"/>
          <w:szCs w:val="32"/>
        </w:rPr>
        <w:t>被征收房屋依据房地产权属证书及权属档案记载的性质、结构、用途和面积，按照评估机构评定的价格给予补偿。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凡是未完善房屋所有权登记的单位承租户（使用权人），以单位公有房屋产权出售（购买）合同载明的性质、结构、用途、面积作为依据给予补偿。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xml:space="preserve">1. </w:t>
      </w:r>
      <w:r>
        <w:rPr>
          <w:rFonts w:ascii="Times New Roman" w:hAnsi="方正仿宋_GBK" w:eastAsia="方正仿宋_GBK"/>
          <w:b/>
          <w:bCs/>
          <w:color w:val="000000"/>
          <w:sz w:val="32"/>
          <w:szCs w:val="32"/>
        </w:rPr>
        <w:t>公摊面积计算。</w:t>
      </w:r>
      <w:r>
        <w:rPr>
          <w:rFonts w:ascii="Times New Roman" w:hAnsi="方正仿宋_GBK" w:eastAsia="方正仿宋_GBK"/>
          <w:color w:val="000000"/>
          <w:sz w:val="32"/>
          <w:szCs w:val="32"/>
        </w:rPr>
        <w:t>被征收住宅公摊系数低于或等于</w:t>
      </w:r>
      <w:r>
        <w:rPr>
          <w:rFonts w:ascii="Times New Roman" w:hAnsi="Times New Roman" w:eastAsia="方正仿宋_GBK"/>
          <w:color w:val="000000"/>
          <w:sz w:val="32"/>
          <w:szCs w:val="32"/>
        </w:rPr>
        <w:t>15%</w:t>
      </w:r>
      <w:r>
        <w:rPr>
          <w:rFonts w:ascii="Times New Roman" w:hAnsi="方正仿宋_GBK" w:eastAsia="方正仿宋_GBK"/>
          <w:color w:val="000000"/>
          <w:sz w:val="32"/>
          <w:szCs w:val="32"/>
        </w:rPr>
        <w:t>的，按</w:t>
      </w:r>
      <w:r>
        <w:rPr>
          <w:rFonts w:ascii="Times New Roman" w:hAnsi="Times New Roman" w:eastAsia="方正仿宋_GBK"/>
          <w:color w:val="000000"/>
          <w:sz w:val="32"/>
          <w:szCs w:val="32"/>
        </w:rPr>
        <w:t>15%</w:t>
      </w:r>
      <w:r>
        <w:rPr>
          <w:rFonts w:ascii="Times New Roman" w:hAnsi="方正仿宋_GBK" w:eastAsia="方正仿宋_GBK"/>
          <w:color w:val="000000"/>
          <w:sz w:val="32"/>
          <w:szCs w:val="32"/>
        </w:rPr>
        <w:t>的公摊系数计算应补偿的住宅建筑面积；被征收住房建筑面积公摊系数高于</w:t>
      </w:r>
      <w:r>
        <w:rPr>
          <w:rFonts w:ascii="Times New Roman" w:hAnsi="Times New Roman" w:eastAsia="方正仿宋_GBK"/>
          <w:color w:val="000000"/>
          <w:sz w:val="32"/>
          <w:szCs w:val="32"/>
        </w:rPr>
        <w:t>15%</w:t>
      </w:r>
      <w:r>
        <w:rPr>
          <w:rFonts w:ascii="Times New Roman" w:hAnsi="方正仿宋_GBK" w:eastAsia="方正仿宋_GBK"/>
          <w:color w:val="000000"/>
          <w:sz w:val="32"/>
          <w:szCs w:val="32"/>
        </w:rPr>
        <w:t>的，按实际面积计算房屋补偿。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实行房屋产权调换的住宅房屋，安置住宅公摊系数超过</w:t>
      </w:r>
      <w:r>
        <w:rPr>
          <w:rFonts w:ascii="Times New Roman" w:hAnsi="Times New Roman" w:eastAsia="方正仿宋_GBK"/>
          <w:color w:val="000000"/>
          <w:sz w:val="32"/>
          <w:szCs w:val="32"/>
        </w:rPr>
        <w:t>15%</w:t>
      </w:r>
      <w:r>
        <w:rPr>
          <w:rFonts w:ascii="Times New Roman" w:hAnsi="方正仿宋_GBK" w:eastAsia="方正仿宋_GBK"/>
          <w:color w:val="000000"/>
          <w:sz w:val="32"/>
          <w:szCs w:val="32"/>
        </w:rPr>
        <w:t>的，其超过部分所对应的公摊面积由征收人承担购房费用；安置住房公摊系数在</w:t>
      </w:r>
      <w:r>
        <w:rPr>
          <w:rFonts w:ascii="Times New Roman" w:hAnsi="Times New Roman" w:eastAsia="方正仿宋_GBK"/>
          <w:color w:val="000000"/>
          <w:sz w:val="32"/>
          <w:szCs w:val="32"/>
        </w:rPr>
        <w:t>15%</w:t>
      </w:r>
      <w:r>
        <w:rPr>
          <w:rFonts w:ascii="Times New Roman" w:hAnsi="方正仿宋_GBK" w:eastAsia="方正仿宋_GBK"/>
          <w:color w:val="000000"/>
          <w:sz w:val="32"/>
          <w:szCs w:val="32"/>
        </w:rPr>
        <w:t>以内，所对应的公摊面积由被征收人承担购房费用。</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2.</w:t>
      </w:r>
      <w:r>
        <w:rPr>
          <w:rFonts w:ascii="Times New Roman" w:hAnsi="方正仿宋_GBK" w:eastAsia="方正仿宋_GBK"/>
          <w:b/>
          <w:bCs/>
          <w:color w:val="000000"/>
          <w:sz w:val="32"/>
          <w:szCs w:val="32"/>
        </w:rPr>
        <w:t>个人住宅的保障性补偿。</w:t>
      </w:r>
      <w:r>
        <w:rPr>
          <w:rFonts w:ascii="Times New Roman" w:hAnsi="方正仿宋_GBK" w:eastAsia="方正仿宋_GBK"/>
          <w:color w:val="000000"/>
          <w:sz w:val="32"/>
          <w:szCs w:val="32"/>
        </w:rPr>
        <w:t>征收范围内的个人住宅，经本人申请并审查公示，以产权户为单位，家庭实际居住且在他处无住宅的（限重庆市范围内），公摊面积补足</w:t>
      </w:r>
      <w:r>
        <w:rPr>
          <w:rFonts w:ascii="Times New Roman" w:hAnsi="Times New Roman" w:eastAsia="方正仿宋_GBK"/>
          <w:color w:val="000000"/>
          <w:sz w:val="32"/>
          <w:szCs w:val="32"/>
        </w:rPr>
        <w:t>15%</w:t>
      </w:r>
      <w:r>
        <w:rPr>
          <w:rFonts w:ascii="Times New Roman" w:hAnsi="方正仿宋_GBK" w:eastAsia="方正仿宋_GBK"/>
          <w:color w:val="000000"/>
          <w:sz w:val="32"/>
          <w:szCs w:val="32"/>
        </w:rPr>
        <w:t>后，家庭人口在</w:t>
      </w:r>
      <w:r>
        <w:rPr>
          <w:rFonts w:ascii="Times New Roman" w:hAnsi="Times New Roman" w:eastAsia="方正仿宋_GBK"/>
          <w:color w:val="000000"/>
          <w:sz w:val="32"/>
          <w:szCs w:val="32"/>
        </w:rPr>
        <w:t>2</w:t>
      </w:r>
      <w:r>
        <w:rPr>
          <w:rFonts w:ascii="Times New Roman" w:hAnsi="方正仿宋_GBK" w:eastAsia="方正仿宋_GBK"/>
          <w:color w:val="000000"/>
          <w:sz w:val="32"/>
          <w:szCs w:val="32"/>
        </w:rPr>
        <w:t>人及以下，被征收住房建筑面积不足</w:t>
      </w:r>
      <w:r>
        <w:rPr>
          <w:rFonts w:ascii="Times New Roman" w:hAnsi="Times New Roman" w:eastAsia="方正仿宋_GBK"/>
          <w:color w:val="000000"/>
          <w:sz w:val="32"/>
          <w:szCs w:val="32"/>
        </w:rPr>
        <w:t>30</w:t>
      </w:r>
      <w:r>
        <w:rPr>
          <w:rFonts w:ascii="Times New Roman" w:hAnsi="方正仿宋_GBK" w:eastAsia="方正仿宋_GBK"/>
          <w:color w:val="000000"/>
          <w:sz w:val="32"/>
          <w:szCs w:val="32"/>
        </w:rPr>
        <w:t>平方米，按建筑面积</w:t>
      </w:r>
      <w:r>
        <w:rPr>
          <w:rFonts w:ascii="Times New Roman" w:hAnsi="Times New Roman" w:eastAsia="方正仿宋_GBK"/>
          <w:color w:val="000000"/>
          <w:sz w:val="32"/>
          <w:szCs w:val="32"/>
        </w:rPr>
        <w:t>30</w:t>
      </w:r>
      <w:r>
        <w:rPr>
          <w:rFonts w:ascii="Times New Roman" w:hAnsi="方正仿宋_GBK" w:eastAsia="方正仿宋_GBK"/>
          <w:color w:val="000000"/>
          <w:sz w:val="32"/>
          <w:szCs w:val="32"/>
        </w:rPr>
        <w:t>平方米给予补偿；家庭人口在</w:t>
      </w:r>
      <w:r>
        <w:rPr>
          <w:rFonts w:ascii="Times New Roman" w:hAnsi="Times New Roman" w:eastAsia="方正仿宋_GBK"/>
          <w:color w:val="000000"/>
          <w:sz w:val="32"/>
          <w:szCs w:val="32"/>
        </w:rPr>
        <w:t>3</w:t>
      </w:r>
      <w:r>
        <w:rPr>
          <w:rFonts w:ascii="Times New Roman" w:hAnsi="方正仿宋_GBK" w:eastAsia="方正仿宋_GBK"/>
          <w:color w:val="000000"/>
          <w:sz w:val="32"/>
          <w:szCs w:val="32"/>
        </w:rPr>
        <w:t>人及以上的，住房建筑面积不足</w:t>
      </w:r>
      <w:r>
        <w:rPr>
          <w:rFonts w:ascii="Times New Roman" w:hAnsi="Times New Roman" w:eastAsia="方正仿宋_GBK"/>
          <w:color w:val="000000"/>
          <w:sz w:val="32"/>
          <w:szCs w:val="32"/>
        </w:rPr>
        <w:t>45</w:t>
      </w:r>
      <w:r>
        <w:rPr>
          <w:rFonts w:ascii="Times New Roman" w:hAnsi="方正仿宋_GBK" w:eastAsia="方正仿宋_GBK"/>
          <w:color w:val="000000"/>
          <w:sz w:val="32"/>
          <w:szCs w:val="32"/>
        </w:rPr>
        <w:t>平方米的，按建筑面积</w:t>
      </w:r>
      <w:r>
        <w:rPr>
          <w:rFonts w:ascii="Times New Roman" w:hAnsi="Times New Roman" w:eastAsia="方正仿宋_GBK"/>
          <w:color w:val="000000"/>
          <w:sz w:val="32"/>
          <w:szCs w:val="32"/>
        </w:rPr>
        <w:t>45</w:t>
      </w:r>
      <w:r>
        <w:rPr>
          <w:rFonts w:ascii="Times New Roman" w:hAnsi="方正仿宋_GBK" w:eastAsia="方正仿宋_GBK"/>
          <w:color w:val="000000"/>
          <w:sz w:val="32"/>
          <w:szCs w:val="32"/>
        </w:rPr>
        <w:t>平方米给予补偿。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征收个人住宅，按上述享受保障后仍符合住房保障条件的，优先给予住房保障，具体办法按重庆市保障性住房申请审核程序和《重庆市人民政府办公厅关于做好房屋被征收家庭住房保障工作的通知》执行。</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保障性补偿的申请方式：</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w:t>
      </w:r>
      <w:r>
        <w:rPr>
          <w:rFonts w:ascii="Times New Roman" w:hAnsi="Times New Roman" w:eastAsia="方正仿宋_GBK"/>
          <w:color w:val="000000"/>
          <w:sz w:val="32"/>
          <w:szCs w:val="32"/>
        </w:rPr>
        <w:t>1</w:t>
      </w:r>
      <w:r>
        <w:rPr>
          <w:rFonts w:ascii="Times New Roman" w:hAnsi="方正仿宋_GBK" w:eastAsia="方正仿宋_GBK"/>
          <w:color w:val="000000"/>
          <w:sz w:val="32"/>
          <w:szCs w:val="32"/>
        </w:rPr>
        <w:t>）以产权户为单位，由被征收人向所属街道办事处社区居委会填报申请，同时应提供产权人及家庭实际居住成员相关证明材料和书面承诺书，由街道办事处和社区居委会工作人员到沙坪坝区或户籍所在地不动产登记部门进行查实（限重庆市范围内），在征收现场公示三日无异议后，街道出具认定意见方可享受保障。</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w:t>
      </w:r>
      <w:r>
        <w:rPr>
          <w:rFonts w:ascii="Times New Roman" w:hAnsi="Times New Roman" w:eastAsia="方正仿宋_GBK"/>
          <w:color w:val="000000"/>
          <w:sz w:val="32"/>
          <w:szCs w:val="32"/>
        </w:rPr>
        <w:t>2</w:t>
      </w:r>
      <w:r>
        <w:rPr>
          <w:rFonts w:ascii="Times New Roman" w:hAnsi="方正仿宋_GBK" w:eastAsia="方正仿宋_GBK"/>
          <w:color w:val="000000"/>
          <w:sz w:val="32"/>
          <w:szCs w:val="32"/>
        </w:rPr>
        <w:t>）申请按建筑面积</w:t>
      </w:r>
      <w:r>
        <w:rPr>
          <w:rFonts w:ascii="Times New Roman" w:hAnsi="Times New Roman" w:eastAsia="方正仿宋_GBK"/>
          <w:color w:val="000000"/>
          <w:sz w:val="32"/>
          <w:szCs w:val="32"/>
        </w:rPr>
        <w:t>30</w:t>
      </w:r>
      <w:r>
        <w:rPr>
          <w:rFonts w:ascii="Times New Roman" w:hAnsi="方正仿宋_GBK" w:eastAsia="方正仿宋_GBK"/>
          <w:color w:val="000000"/>
          <w:sz w:val="32"/>
          <w:szCs w:val="32"/>
        </w:rPr>
        <w:t>㎡给予补偿的，应符合产权人及配偶在沙坪坝区内产权房的无房或唯一住房条件。产权人及配偶不在该房屋户籍登记的，同时应符合户籍所在地产权房无房条件（限重庆市范围内）。</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w:t>
      </w:r>
      <w:r>
        <w:rPr>
          <w:rFonts w:ascii="Times New Roman" w:hAnsi="Times New Roman" w:eastAsia="方正仿宋_GBK"/>
          <w:color w:val="000000"/>
          <w:sz w:val="32"/>
          <w:szCs w:val="32"/>
        </w:rPr>
        <w:t>3</w:t>
      </w:r>
      <w:r>
        <w:rPr>
          <w:rFonts w:ascii="Times New Roman" w:hAnsi="方正仿宋_GBK" w:eastAsia="方正仿宋_GBK"/>
          <w:color w:val="000000"/>
          <w:sz w:val="32"/>
          <w:szCs w:val="32"/>
        </w:rPr>
        <w:t>）申请按建筑面积</w:t>
      </w:r>
      <w:r>
        <w:rPr>
          <w:rFonts w:ascii="Times New Roman" w:hAnsi="Times New Roman" w:eastAsia="方正仿宋_GBK"/>
          <w:color w:val="000000"/>
          <w:sz w:val="32"/>
          <w:szCs w:val="32"/>
        </w:rPr>
        <w:t>45</w:t>
      </w:r>
      <w:r>
        <w:rPr>
          <w:rFonts w:ascii="Times New Roman" w:hAnsi="方正仿宋_GBK" w:eastAsia="方正仿宋_GBK"/>
          <w:color w:val="000000"/>
          <w:sz w:val="32"/>
          <w:szCs w:val="32"/>
        </w:rPr>
        <w:t>㎡给予补偿的，应按前款要求符合产权人及配偶相关条件，其余实际居住人员审查范围为产权人父母、子女（已婚者配偶纳入）。申请时应先符合户籍登记上实际居住人员的沙坪坝区产权房无房条件，实际居住人员未在被征收房屋户籍登记的，需提供被征收房屋实际居住情况说明（由房屋相邻住户</w:t>
      </w:r>
      <w:r>
        <w:rPr>
          <w:rFonts w:ascii="Times New Roman" w:hAnsi="Times New Roman" w:eastAsia="方正仿宋_GBK"/>
          <w:color w:val="000000"/>
          <w:sz w:val="32"/>
          <w:szCs w:val="32"/>
        </w:rPr>
        <w:t>2</w:t>
      </w:r>
      <w:r>
        <w:rPr>
          <w:rFonts w:ascii="Times New Roman" w:hAnsi="方正仿宋_GBK" w:eastAsia="方正仿宋_GBK"/>
          <w:color w:val="000000"/>
          <w:sz w:val="32"/>
          <w:szCs w:val="32"/>
        </w:rPr>
        <w:t>人以上及房屋所在社区证明）及符合实际居住人员的沙坪坝区和户籍所在地产权房无房条件（限重庆市范围内）。</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个人住宅保障性补偿申请人在提供住宅保障申请材料时，应保证申请材料真实、合法及有效。自征收公告发布之日起，个人住宅保障性补偿审查对象，有以获取个人住宅保障性补偿为目的进行改变婚姻关系、过户、析产等行为的，不给予个人住宅的保障性补偿。对不符合条件骗取保障性补偿的，经查实，依法追回保障部分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xml:space="preserve">3. </w:t>
      </w:r>
      <w:r>
        <w:rPr>
          <w:rFonts w:ascii="Times New Roman" w:hAnsi="方正仿宋_GBK" w:eastAsia="方正仿宋_GBK"/>
          <w:b/>
          <w:bCs/>
          <w:color w:val="000000"/>
          <w:sz w:val="32"/>
          <w:szCs w:val="32"/>
        </w:rPr>
        <w:t>物业专项维修资金的缴纳。</w:t>
      </w:r>
      <w:r>
        <w:rPr>
          <w:rFonts w:ascii="Times New Roman" w:hAnsi="方正仿宋_GBK" w:eastAsia="方正仿宋_GBK"/>
          <w:color w:val="000000"/>
          <w:sz w:val="32"/>
          <w:szCs w:val="32"/>
        </w:rPr>
        <w:t>被征收人选择产权调换的，其应补偿面积的第一次物业专项维修资金由征收人缴纳，超过部分由被征收人承担。</w:t>
      </w:r>
    </w:p>
    <w:p>
      <w:pPr>
        <w:snapToGrid w:val="0"/>
        <w:spacing w:line="560" w:lineRule="exact"/>
        <w:ind w:firstLine="640" w:firstLineChars="200"/>
        <w:rPr>
          <w:rFonts w:ascii="Times New Roman" w:hAnsi="Times New Roman" w:eastAsia="方正仿宋_GBK"/>
          <w:b/>
          <w:bCs/>
          <w:color w:val="000000"/>
          <w:sz w:val="32"/>
          <w:szCs w:val="32"/>
        </w:rPr>
      </w:pPr>
      <w:r>
        <w:rPr>
          <w:rFonts w:ascii="Times New Roman" w:hAnsi="Times New Roman" w:eastAsia="方正仿宋_GBK"/>
          <w:b/>
          <w:bCs/>
          <w:color w:val="000000"/>
          <w:sz w:val="32"/>
          <w:szCs w:val="32"/>
        </w:rPr>
        <w:t xml:space="preserve">4. </w:t>
      </w:r>
      <w:r>
        <w:rPr>
          <w:rFonts w:ascii="Times New Roman" w:hAnsi="方正仿宋_GBK" w:eastAsia="方正仿宋_GBK"/>
          <w:b/>
          <w:bCs/>
          <w:color w:val="000000"/>
          <w:sz w:val="32"/>
          <w:szCs w:val="32"/>
        </w:rPr>
        <w:t>装饰装修的补偿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w:t>
      </w:r>
      <w:r>
        <w:rPr>
          <w:rFonts w:ascii="Times New Roman" w:hAnsi="Times New Roman" w:eastAsia="方正仿宋_GBK"/>
          <w:color w:val="000000"/>
          <w:sz w:val="32"/>
          <w:szCs w:val="32"/>
        </w:rPr>
        <w:t>1</w:t>
      </w:r>
      <w:r>
        <w:rPr>
          <w:rFonts w:ascii="Times New Roman" w:hAnsi="方正仿宋_GBK" w:eastAsia="方正仿宋_GBK"/>
          <w:color w:val="000000"/>
          <w:sz w:val="32"/>
          <w:szCs w:val="32"/>
        </w:rPr>
        <w:t>）被拆除房屋的装饰、装修的补偿由房屋征收部门按照被征收房屋建筑面积（产权登记面积和认定为合法建筑面积）不高于</w:t>
      </w:r>
      <w:r>
        <w:rPr>
          <w:rFonts w:ascii="Times New Roman" w:hAnsi="Times New Roman" w:eastAsia="方正仿宋_GBK"/>
          <w:color w:val="000000"/>
          <w:sz w:val="32"/>
          <w:szCs w:val="32"/>
        </w:rPr>
        <w:t>300</w:t>
      </w:r>
      <w:r>
        <w:rPr>
          <w:rFonts w:ascii="Times New Roman" w:hAnsi="方正仿宋_GBK" w:eastAsia="方正仿宋_GBK"/>
          <w:color w:val="000000"/>
          <w:sz w:val="32"/>
          <w:szCs w:val="32"/>
        </w:rPr>
        <w:t>元</w:t>
      </w:r>
      <w:r>
        <w:rPr>
          <w:rFonts w:ascii="Times New Roman" w:hAnsi="Times New Roman" w:eastAsia="方正仿宋_GBK"/>
          <w:color w:val="000000"/>
          <w:sz w:val="32"/>
          <w:szCs w:val="32"/>
        </w:rPr>
        <w:t>/</w:t>
      </w:r>
      <w:r>
        <w:rPr>
          <w:rFonts w:ascii="Times New Roman" w:hAnsi="方正仿宋_GBK" w:eastAsia="方正仿宋_GBK"/>
          <w:color w:val="000000"/>
          <w:sz w:val="32"/>
          <w:szCs w:val="32"/>
        </w:rPr>
        <w:t>㎡给予一次性货币补偿。如对前述补偿标准有异议的，由房屋征收评估机构依据《重庆市房屋征收评估技术规范（试行）》等相关规定评估，并按照评估价给予补偿。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w:t>
      </w:r>
      <w:r>
        <w:rPr>
          <w:rFonts w:ascii="Times New Roman" w:hAnsi="Times New Roman" w:eastAsia="方正仿宋_GBK"/>
          <w:color w:val="000000"/>
          <w:sz w:val="32"/>
          <w:szCs w:val="32"/>
        </w:rPr>
        <w:t>2</w:t>
      </w:r>
      <w:r>
        <w:rPr>
          <w:rFonts w:ascii="Times New Roman" w:hAnsi="方正仿宋_GBK" w:eastAsia="方正仿宋_GBK"/>
          <w:color w:val="000000"/>
          <w:sz w:val="32"/>
          <w:szCs w:val="32"/>
        </w:rPr>
        <w:t>）对于安置房屋为清水房的，按安置房屋的建筑面积给予</w:t>
      </w:r>
      <w:r>
        <w:rPr>
          <w:rFonts w:ascii="Times New Roman" w:hAnsi="Times New Roman" w:eastAsia="方正仿宋_GBK"/>
          <w:color w:val="000000"/>
          <w:sz w:val="32"/>
          <w:szCs w:val="32"/>
        </w:rPr>
        <w:t>300</w:t>
      </w:r>
      <w:r>
        <w:rPr>
          <w:rFonts w:ascii="Times New Roman" w:hAnsi="方正仿宋_GBK" w:eastAsia="方正仿宋_GBK"/>
          <w:color w:val="000000"/>
          <w:sz w:val="32"/>
          <w:szCs w:val="32"/>
        </w:rPr>
        <w:t>元</w:t>
      </w:r>
      <w:r>
        <w:rPr>
          <w:rFonts w:ascii="Times New Roman" w:hAnsi="Times New Roman" w:eastAsia="方正仿宋_GBK"/>
          <w:color w:val="000000"/>
          <w:sz w:val="32"/>
          <w:szCs w:val="32"/>
        </w:rPr>
        <w:t>/</w:t>
      </w:r>
      <w:r>
        <w:rPr>
          <w:rFonts w:ascii="Times New Roman" w:hAnsi="方正仿宋_GBK" w:eastAsia="方正仿宋_GBK"/>
          <w:color w:val="000000"/>
          <w:sz w:val="32"/>
          <w:szCs w:val="32"/>
        </w:rPr>
        <w:t>㎡的适当装修补助，由被征收人自行装修。</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w:t>
      </w:r>
      <w:r>
        <w:rPr>
          <w:rFonts w:ascii="Times New Roman" w:hAnsi="Times New Roman" w:eastAsia="方正仿宋_GBK"/>
          <w:color w:val="000000"/>
          <w:sz w:val="32"/>
          <w:szCs w:val="32"/>
        </w:rPr>
        <w:t>3</w:t>
      </w:r>
      <w:r>
        <w:rPr>
          <w:rFonts w:ascii="Times New Roman" w:hAnsi="方正仿宋_GBK" w:eastAsia="方正仿宋_GBK"/>
          <w:color w:val="000000"/>
          <w:sz w:val="32"/>
          <w:szCs w:val="32"/>
        </w:rPr>
        <w:t>）对构筑物的补偿，应由构筑物所有人提出申请，按构筑物实际情况，由房屋征收评估机构评估后，按评估价给予补偿。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楷体_GBK" w:eastAsia="方正楷体_GBK"/>
          <w:color w:val="000000"/>
          <w:sz w:val="32"/>
          <w:szCs w:val="32"/>
        </w:rPr>
        <w:t>（三）未经登记建筑的调查、认定和处理。</w:t>
      </w:r>
      <w:r>
        <w:rPr>
          <w:rFonts w:ascii="Times New Roman" w:hAnsi="方正仿宋_GBK" w:eastAsia="方正仿宋_GBK"/>
          <w:color w:val="000000"/>
          <w:sz w:val="32"/>
          <w:szCs w:val="32"/>
        </w:rPr>
        <w:t>对于</w:t>
      </w:r>
      <w:r>
        <w:rPr>
          <w:rFonts w:ascii="Times New Roman" w:hAnsi="Times New Roman" w:eastAsia="方正仿宋_GBK"/>
          <w:color w:val="000000"/>
          <w:sz w:val="32"/>
          <w:szCs w:val="32"/>
        </w:rPr>
        <w:t>1989</w:t>
      </w:r>
      <w:r>
        <w:rPr>
          <w:rFonts w:ascii="Times New Roman" w:hAnsi="方正仿宋_GBK" w:eastAsia="方正仿宋_GBK"/>
          <w:color w:val="000000"/>
          <w:sz w:val="32"/>
          <w:szCs w:val="32"/>
        </w:rPr>
        <w:t>年</w:t>
      </w:r>
      <w:r>
        <w:rPr>
          <w:rFonts w:ascii="Times New Roman" w:hAnsi="Times New Roman" w:eastAsia="方正仿宋_GBK"/>
          <w:color w:val="000000"/>
          <w:sz w:val="32"/>
          <w:szCs w:val="32"/>
        </w:rPr>
        <w:t>12</w:t>
      </w:r>
      <w:r>
        <w:rPr>
          <w:rFonts w:ascii="Times New Roman" w:hAnsi="方正仿宋_GBK" w:eastAsia="方正仿宋_GBK"/>
          <w:color w:val="000000"/>
          <w:sz w:val="32"/>
          <w:szCs w:val="32"/>
        </w:rPr>
        <w:t>月</w:t>
      </w:r>
      <w:r>
        <w:rPr>
          <w:rFonts w:ascii="Times New Roman" w:hAnsi="Times New Roman" w:eastAsia="方正仿宋_GBK"/>
          <w:color w:val="000000"/>
          <w:sz w:val="32"/>
          <w:szCs w:val="32"/>
        </w:rPr>
        <w:t>26</w:t>
      </w:r>
      <w:r>
        <w:rPr>
          <w:rFonts w:ascii="Times New Roman" w:hAnsi="方正仿宋_GBK" w:eastAsia="方正仿宋_GBK"/>
          <w:color w:val="000000"/>
          <w:sz w:val="32"/>
          <w:szCs w:val="32"/>
        </w:rPr>
        <w:t>日之前（含</w:t>
      </w:r>
      <w:r>
        <w:rPr>
          <w:rFonts w:ascii="Times New Roman" w:hAnsi="Times New Roman" w:eastAsia="方正仿宋_GBK"/>
          <w:color w:val="000000"/>
          <w:sz w:val="32"/>
          <w:szCs w:val="32"/>
        </w:rPr>
        <w:t>12</w:t>
      </w:r>
      <w:r>
        <w:rPr>
          <w:rFonts w:ascii="Times New Roman" w:hAnsi="方正仿宋_GBK" w:eastAsia="方正仿宋_GBK"/>
          <w:color w:val="000000"/>
          <w:sz w:val="32"/>
          <w:szCs w:val="32"/>
        </w:rPr>
        <w:t>月</w:t>
      </w:r>
      <w:r>
        <w:rPr>
          <w:rFonts w:ascii="Times New Roman" w:hAnsi="Times New Roman" w:eastAsia="方正仿宋_GBK"/>
          <w:color w:val="000000"/>
          <w:sz w:val="32"/>
          <w:szCs w:val="32"/>
        </w:rPr>
        <w:t>26</w:t>
      </w:r>
      <w:r>
        <w:rPr>
          <w:rFonts w:ascii="Times New Roman" w:hAnsi="方正仿宋_GBK" w:eastAsia="方正仿宋_GBK"/>
          <w:color w:val="000000"/>
          <w:sz w:val="32"/>
          <w:szCs w:val="32"/>
        </w:rPr>
        <w:t>日）修建的未经登记建筑，经认定为合法建筑的，按评估机构评定的价格予以补偿；对于未超过相关部门批准期限的临时建筑，按征收评估机构评估的重置价格予以补偿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1. </w:t>
      </w:r>
      <w:r>
        <w:rPr>
          <w:rFonts w:ascii="Times New Roman" w:hAnsi="方正仿宋_GBK" w:eastAsia="方正仿宋_GBK"/>
          <w:color w:val="000000"/>
          <w:sz w:val="32"/>
          <w:szCs w:val="32"/>
        </w:rPr>
        <w:t>未经登记建筑认定标准：权利人在非共有部分上自行修建的，层高</w:t>
      </w:r>
      <w:r>
        <w:rPr>
          <w:rFonts w:ascii="Times New Roman" w:hAnsi="Times New Roman" w:eastAsia="方正仿宋_GBK"/>
          <w:color w:val="000000"/>
          <w:sz w:val="32"/>
          <w:szCs w:val="32"/>
        </w:rPr>
        <w:t>2.2</w:t>
      </w:r>
      <w:r>
        <w:rPr>
          <w:rFonts w:ascii="Times New Roman" w:hAnsi="方正仿宋_GBK" w:eastAsia="方正仿宋_GBK"/>
          <w:color w:val="000000"/>
          <w:sz w:val="32"/>
          <w:szCs w:val="32"/>
        </w:rPr>
        <w:t>米以上（含</w:t>
      </w:r>
      <w:r>
        <w:rPr>
          <w:rFonts w:ascii="Times New Roman" w:hAnsi="Times New Roman" w:eastAsia="方正仿宋_GBK"/>
          <w:color w:val="000000"/>
          <w:sz w:val="32"/>
          <w:szCs w:val="32"/>
        </w:rPr>
        <w:t>2.2</w:t>
      </w:r>
      <w:r>
        <w:rPr>
          <w:rFonts w:ascii="Times New Roman" w:hAnsi="方正仿宋_GBK" w:eastAsia="方正仿宋_GBK"/>
          <w:color w:val="000000"/>
          <w:sz w:val="32"/>
          <w:szCs w:val="32"/>
        </w:rPr>
        <w:t>米），四周具备维护结构，且备有上盖，结构牢固的永久性建筑。</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2. </w:t>
      </w:r>
      <w:r>
        <w:rPr>
          <w:rFonts w:ascii="Times New Roman" w:hAnsi="方正仿宋_GBK" w:eastAsia="方正仿宋_GBK"/>
          <w:color w:val="000000"/>
          <w:sz w:val="32"/>
          <w:szCs w:val="32"/>
        </w:rPr>
        <w:t>经认定为合法的未经登记建筑面积，应当与产权登记的面积合并计算补偿。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3. </w:t>
      </w:r>
      <w:r>
        <w:rPr>
          <w:rFonts w:ascii="Times New Roman" w:hAnsi="方正仿宋_GBK" w:eastAsia="方正仿宋_GBK"/>
          <w:color w:val="000000"/>
          <w:sz w:val="32"/>
          <w:szCs w:val="32"/>
        </w:rPr>
        <w:t>认定为合法的未经登记建筑，应纳入个人住宅保障性补偿建筑面积一并计算，但不享受公摊系数不足</w:t>
      </w:r>
      <w:r>
        <w:rPr>
          <w:rFonts w:ascii="Times New Roman" w:hAnsi="Times New Roman" w:eastAsia="方正仿宋_GBK"/>
          <w:color w:val="000000"/>
          <w:sz w:val="32"/>
          <w:szCs w:val="32"/>
        </w:rPr>
        <w:t>15%</w:t>
      </w:r>
      <w:r>
        <w:rPr>
          <w:rFonts w:ascii="Times New Roman" w:hAnsi="方正仿宋_GBK" w:eastAsia="方正仿宋_GBK"/>
          <w:color w:val="000000"/>
          <w:sz w:val="32"/>
          <w:szCs w:val="32"/>
        </w:rPr>
        <w:t>补足</w:t>
      </w:r>
      <w:r>
        <w:rPr>
          <w:rFonts w:ascii="Times New Roman" w:hAnsi="Times New Roman" w:eastAsia="方正仿宋_GBK"/>
          <w:color w:val="000000"/>
          <w:sz w:val="32"/>
          <w:szCs w:val="32"/>
        </w:rPr>
        <w:t>15%</w:t>
      </w:r>
      <w:r>
        <w:rPr>
          <w:rFonts w:ascii="Times New Roman" w:hAnsi="方正仿宋_GBK" w:eastAsia="方正仿宋_GBK"/>
          <w:color w:val="000000"/>
          <w:sz w:val="32"/>
          <w:szCs w:val="32"/>
        </w:rPr>
        <w:t>公摊系数的保障。</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4. </w:t>
      </w:r>
      <w:r>
        <w:rPr>
          <w:rFonts w:ascii="Times New Roman" w:hAnsi="方正仿宋_GBK" w:eastAsia="方正仿宋_GBK"/>
          <w:color w:val="000000"/>
          <w:sz w:val="32"/>
          <w:szCs w:val="32"/>
        </w:rPr>
        <w:t>未经登记建筑权益人向辖区街道办事处提出申请，辖区街道办事处、社区居委会和征收中心工作人员共同进行现场查勘，对未经登记建筑的结构、年代和面积形成初步调查结果，由辖区街道办事处将初步调查结果在征收范围内公示三日，公示无异议后，报项目工作领导小组召集区信访办、区司法局、区规资局、区住建委、区城管局等相关单位形成认定结果，认定结果在征收范围内公示三日无异议后，由辖区街道办事处出具书面盖章认定结果按项目征收补偿方案予以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ascii="Times New Roman" w:hAnsi="方正仿宋_GBK" w:eastAsia="方正仿宋_GBK"/>
          <w:color w:val="000000"/>
          <w:sz w:val="32"/>
          <w:szCs w:val="32"/>
        </w:rPr>
        <w:t>未经登记建筑的建筑面积在</w:t>
      </w:r>
      <w:r>
        <w:rPr>
          <w:rFonts w:ascii="Times New Roman" w:hAnsi="Times New Roman" w:eastAsia="方正仿宋_GBK"/>
          <w:color w:val="000000"/>
          <w:sz w:val="32"/>
          <w:szCs w:val="32"/>
        </w:rPr>
        <w:t>100</w:t>
      </w:r>
      <w:r>
        <w:rPr>
          <w:rFonts w:ascii="Times New Roman" w:hAnsi="方正仿宋_GBK" w:eastAsia="方正仿宋_GBK"/>
          <w:color w:val="000000"/>
          <w:sz w:val="32"/>
          <w:szCs w:val="32"/>
        </w:rPr>
        <w:t>㎡以内（含</w:t>
      </w:r>
      <w:r>
        <w:rPr>
          <w:rFonts w:ascii="Times New Roman" w:hAnsi="Times New Roman" w:eastAsia="方正仿宋_GBK"/>
          <w:color w:val="000000"/>
          <w:sz w:val="32"/>
          <w:szCs w:val="32"/>
        </w:rPr>
        <w:t>100</w:t>
      </w:r>
      <w:r>
        <w:rPr>
          <w:rFonts w:ascii="Times New Roman" w:hAnsi="方正仿宋_GBK" w:eastAsia="方正仿宋_GBK"/>
          <w:color w:val="000000"/>
          <w:sz w:val="32"/>
          <w:szCs w:val="32"/>
        </w:rPr>
        <w:t>㎡）的，由街道办事处、社区居委会和征收现场工作人员与实际权益人共同测量面积，并查勘结构；建筑面积在</w:t>
      </w:r>
      <w:r>
        <w:rPr>
          <w:rFonts w:ascii="Times New Roman" w:hAnsi="Times New Roman" w:eastAsia="方正仿宋_GBK"/>
          <w:color w:val="000000"/>
          <w:sz w:val="32"/>
          <w:szCs w:val="32"/>
        </w:rPr>
        <w:t>100</w:t>
      </w:r>
      <w:r>
        <w:rPr>
          <w:rFonts w:ascii="Times New Roman" w:hAnsi="方正仿宋_GBK" w:eastAsia="方正仿宋_GBK"/>
          <w:color w:val="000000"/>
          <w:sz w:val="32"/>
          <w:szCs w:val="32"/>
        </w:rPr>
        <w:t>㎡以上的以测绘机构出具的测绘报告为准，未经登记建筑结构由街道办事处、社区居委会和征收现场工作人员与实际权益人共同签字确认。</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ascii="Times New Roman" w:hAnsi="方正仿宋_GBK" w:eastAsia="方正仿宋_GBK"/>
          <w:color w:val="000000"/>
          <w:sz w:val="32"/>
          <w:szCs w:val="32"/>
        </w:rPr>
        <w:t>企事业单位所有的未经登记建筑申请程序按本条第</w:t>
      </w:r>
      <w:r>
        <w:rPr>
          <w:rFonts w:ascii="Times New Roman" w:hAnsi="Times New Roman" w:eastAsia="方正仿宋_GBK"/>
          <w:color w:val="000000"/>
          <w:sz w:val="32"/>
          <w:szCs w:val="32"/>
        </w:rPr>
        <w:t>4</w:t>
      </w:r>
      <w:r>
        <w:rPr>
          <w:rFonts w:ascii="Times New Roman" w:hAnsi="方正仿宋_GBK" w:eastAsia="方正仿宋_GBK"/>
          <w:color w:val="000000"/>
          <w:sz w:val="32"/>
          <w:szCs w:val="32"/>
        </w:rPr>
        <w:t>款执行，在提出申请时还需由实际权益人提供修建情况说明，有行业主管部门或上级主管单位的，其修建情况说明需经行业主管部门或上级主管单位书面核实。</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楷体_GBK" w:eastAsia="方正楷体_GBK"/>
          <w:color w:val="000000"/>
          <w:sz w:val="32"/>
          <w:szCs w:val="32"/>
        </w:rPr>
        <w:t>（四）单独安装的水总表、电总表、天然气表、闭路（数字）等附属设施的补偿</w:t>
      </w:r>
      <w:r>
        <w:rPr>
          <w:rFonts w:ascii="Times New Roman" w:hAnsi="方正仿宋_GBK" w:eastAsia="方正仿宋_GBK"/>
          <w:color w:val="000000"/>
          <w:sz w:val="32"/>
          <w:szCs w:val="32"/>
        </w:rPr>
        <w:t>（详见附表</w:t>
      </w:r>
      <w:r>
        <w:rPr>
          <w:rFonts w:ascii="Times New Roman" w:hAnsi="Times New Roman" w:eastAsia="方正仿宋_GBK"/>
          <w:color w:val="000000"/>
          <w:sz w:val="32"/>
          <w:szCs w:val="32"/>
        </w:rPr>
        <w:t>2</w:t>
      </w:r>
      <w:r>
        <w:rPr>
          <w:rFonts w:ascii="Times New Roman" w:hAnsi="方正仿宋_GBK" w:eastAsia="方正仿宋_GBK"/>
          <w:color w:val="000000"/>
          <w:sz w:val="32"/>
          <w:szCs w:val="32"/>
        </w:rPr>
        <w:t>：马鞍山北侧道路延伸段项目国有土地上房屋征收相关附属设施补偿价格标准）。</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1. </w:t>
      </w:r>
      <w:r>
        <w:rPr>
          <w:rFonts w:ascii="Times New Roman" w:hAnsi="方正仿宋_GBK" w:eastAsia="方正仿宋_GBK"/>
          <w:color w:val="000000"/>
          <w:sz w:val="32"/>
          <w:szCs w:val="32"/>
        </w:rPr>
        <w:t>实行房屋产权调换的，被征收人原有的水总表、电总表、天然气、闭路（数字）等设施，征收时不予补偿，在产权调换房屋中恢复安装，相关延伸费用由被征收人自行承担。</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2. </w:t>
      </w:r>
      <w:r>
        <w:rPr>
          <w:rFonts w:ascii="Times New Roman" w:hAnsi="方正仿宋_GBK" w:eastAsia="方正仿宋_GBK"/>
          <w:color w:val="000000"/>
          <w:sz w:val="32"/>
          <w:szCs w:val="32"/>
        </w:rPr>
        <w:t>实行货币补偿的，其原有的水总表、电总表、天然气、闭路（数字）等设施，征收时按照现行收费标准予以补偿。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3. </w:t>
      </w:r>
      <w:r>
        <w:rPr>
          <w:rFonts w:ascii="Times New Roman" w:hAnsi="方正仿宋_GBK" w:eastAsia="方正仿宋_GBK"/>
          <w:color w:val="000000"/>
          <w:sz w:val="32"/>
          <w:szCs w:val="32"/>
        </w:rPr>
        <w:t>动力电表、调压箱、变压器、开闭所、非住宅天然气等专用设备设施按照评估价格予以补偿。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4. </w:t>
      </w:r>
      <w:r>
        <w:rPr>
          <w:rFonts w:ascii="Times New Roman" w:hAnsi="方正仿宋_GBK" w:eastAsia="方正仿宋_GBK"/>
          <w:color w:val="000000"/>
          <w:sz w:val="32"/>
          <w:szCs w:val="32"/>
        </w:rPr>
        <w:t>被征收房屋无单独安装的水总表、电总表、天然气表、闭路（数字）等附属设施，被征收人选择实行产权调换安置的，安置房屋附属设施费用由征收人承担。</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楷体_GBK" w:eastAsia="方正楷体_GBK"/>
          <w:color w:val="000000"/>
          <w:sz w:val="32"/>
          <w:szCs w:val="32"/>
        </w:rPr>
        <w:t>（五）停产停业损失的补偿。</w:t>
      </w:r>
      <w:r>
        <w:rPr>
          <w:rFonts w:ascii="Times New Roman" w:hAnsi="方正仿宋_GBK" w:eastAsia="方正仿宋_GBK"/>
          <w:color w:val="000000"/>
          <w:sz w:val="32"/>
          <w:szCs w:val="32"/>
        </w:rPr>
        <w:t>按照《重庆市人民政府办公厅关于印发</w:t>
      </w:r>
      <w:r>
        <w:rPr>
          <w:rFonts w:ascii="Times New Roman" w:hAnsi="Times New Roman" w:eastAsia="方正仿宋_GBK"/>
          <w:color w:val="000000"/>
          <w:sz w:val="32"/>
          <w:szCs w:val="32"/>
        </w:rPr>
        <w:t>&lt;</w:t>
      </w:r>
      <w:r>
        <w:rPr>
          <w:rFonts w:ascii="Times New Roman" w:hAnsi="方正仿宋_GBK" w:eastAsia="方正仿宋_GBK"/>
          <w:color w:val="000000"/>
          <w:sz w:val="32"/>
          <w:szCs w:val="32"/>
        </w:rPr>
        <w:t>重庆市国有土地上房屋征收与补偿办法（暂行）</w:t>
      </w:r>
      <w:r>
        <w:rPr>
          <w:rFonts w:ascii="Times New Roman" w:hAnsi="Times New Roman" w:eastAsia="方正仿宋_GBK"/>
          <w:color w:val="000000"/>
          <w:sz w:val="32"/>
          <w:szCs w:val="32"/>
        </w:rPr>
        <w:t>&gt;</w:t>
      </w:r>
      <w:r>
        <w:rPr>
          <w:rFonts w:ascii="Times New Roman" w:hAnsi="方正仿宋_GBK" w:eastAsia="方正仿宋_GBK"/>
          <w:color w:val="000000"/>
          <w:sz w:val="32"/>
          <w:szCs w:val="32"/>
        </w:rPr>
        <w:t>等有关办法的通知》执行。</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楷体_GBK" w:eastAsia="方正楷体_GBK"/>
          <w:color w:val="000000"/>
          <w:sz w:val="32"/>
          <w:szCs w:val="32"/>
        </w:rPr>
        <w:t>（六）设施设备的补偿。</w:t>
      </w:r>
      <w:r>
        <w:rPr>
          <w:rFonts w:ascii="Times New Roman" w:hAnsi="方正仿宋_GBK" w:eastAsia="方正仿宋_GBK"/>
          <w:color w:val="000000"/>
          <w:sz w:val="32"/>
          <w:szCs w:val="32"/>
        </w:rPr>
        <w:t>按《重庆市国土房管局关于进一步加强国有土地上房屋征收工作的通知》（渝国土房管〔</w:t>
      </w:r>
      <w:r>
        <w:rPr>
          <w:rFonts w:ascii="Times New Roman" w:hAnsi="Times New Roman" w:eastAsia="方正仿宋_GBK"/>
          <w:color w:val="000000"/>
          <w:sz w:val="32"/>
          <w:szCs w:val="32"/>
        </w:rPr>
        <w:t>2012</w:t>
      </w:r>
      <w:r>
        <w:rPr>
          <w:rFonts w:ascii="Times New Roman" w:hAnsi="方正仿宋_GBK" w:eastAsia="方正仿宋_GBK"/>
          <w:color w:val="000000"/>
          <w:sz w:val="32"/>
          <w:szCs w:val="32"/>
        </w:rPr>
        <w:t>〕</w:t>
      </w:r>
      <w:r>
        <w:rPr>
          <w:rFonts w:ascii="Times New Roman" w:hAnsi="Times New Roman" w:eastAsia="方正仿宋_GBK"/>
          <w:color w:val="000000"/>
          <w:sz w:val="32"/>
          <w:szCs w:val="32"/>
        </w:rPr>
        <w:t>589</w:t>
      </w:r>
      <w:r>
        <w:rPr>
          <w:rFonts w:ascii="Times New Roman" w:hAnsi="方正仿宋_GBK" w:eastAsia="方正仿宋_GBK"/>
          <w:color w:val="000000"/>
          <w:sz w:val="32"/>
          <w:szCs w:val="32"/>
        </w:rPr>
        <w:t>号）的规定给予补偿。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被征收企业设施设备的补偿。征收补偿涉及企业的设施设备，搬迁后不丧失使用价值的，其搬迁补助费按所搬迁设施设备折旧后净值的</w:t>
      </w:r>
      <w:r>
        <w:rPr>
          <w:rFonts w:ascii="Times New Roman" w:hAnsi="Times New Roman" w:eastAsia="方正仿宋_GBK"/>
          <w:color w:val="000000"/>
          <w:sz w:val="32"/>
          <w:szCs w:val="32"/>
        </w:rPr>
        <w:t>10—20%</w:t>
      </w:r>
      <w:r>
        <w:rPr>
          <w:rFonts w:ascii="Times New Roman" w:hAnsi="方正仿宋_GBK" w:eastAsia="方正仿宋_GBK"/>
          <w:color w:val="000000"/>
          <w:sz w:val="32"/>
          <w:szCs w:val="32"/>
        </w:rPr>
        <w:t>计算；搬迁后丧失使用价值的，按评估净值进行补偿，其设施设备由被征收人自行拆除。</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楷体_GBK" w:eastAsia="方正楷体_GBK"/>
          <w:color w:val="000000"/>
          <w:sz w:val="32"/>
          <w:szCs w:val="32"/>
        </w:rPr>
        <w:t>（七）补助和奖励</w:t>
      </w:r>
      <w:r>
        <w:rPr>
          <w:rFonts w:ascii="Times New Roman" w:hAnsi="方正仿宋_GBK" w:eastAsia="方正仿宋_GBK"/>
          <w:color w:val="000000"/>
          <w:sz w:val="32"/>
          <w:szCs w:val="32"/>
        </w:rPr>
        <w:t>（详见附表</w:t>
      </w:r>
      <w:r>
        <w:rPr>
          <w:rFonts w:ascii="Times New Roman" w:hAnsi="Times New Roman" w:eastAsia="方正仿宋_GBK"/>
          <w:color w:val="000000"/>
          <w:sz w:val="32"/>
          <w:szCs w:val="32"/>
        </w:rPr>
        <w:t>3</w:t>
      </w:r>
      <w:r>
        <w:rPr>
          <w:rFonts w:ascii="Times New Roman" w:hAnsi="方正仿宋_GBK" w:eastAsia="方正仿宋_GBK"/>
          <w:color w:val="000000"/>
          <w:sz w:val="32"/>
          <w:szCs w:val="32"/>
        </w:rPr>
        <w:t>：马鞍山北侧道路延伸段项目国有土地上房屋征收相关补助和签约搬迁奖励机制）。</w:t>
      </w:r>
    </w:p>
    <w:p>
      <w:pPr>
        <w:snapToGrid w:val="0"/>
        <w:spacing w:line="560" w:lineRule="exact"/>
        <w:ind w:firstLine="640" w:firstLineChars="200"/>
        <w:rPr>
          <w:rFonts w:ascii="Times New Roman" w:hAnsi="Times New Roman" w:eastAsia="方正楷体_GBK"/>
          <w:color w:val="000000"/>
          <w:sz w:val="32"/>
          <w:szCs w:val="32"/>
        </w:rPr>
      </w:pPr>
      <w:r>
        <w:rPr>
          <w:rFonts w:ascii="Times New Roman" w:hAnsi="方正楷体_GBK" w:eastAsia="方正楷体_GBK"/>
          <w:color w:val="000000"/>
          <w:sz w:val="32"/>
          <w:szCs w:val="32"/>
        </w:rPr>
        <w:t>（八）其他相关规定。</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xml:space="preserve">1. </w:t>
      </w:r>
      <w:r>
        <w:rPr>
          <w:rFonts w:ascii="Times New Roman" w:hAnsi="方正仿宋_GBK" w:eastAsia="方正仿宋_GBK"/>
          <w:b/>
          <w:bCs/>
          <w:color w:val="000000"/>
          <w:sz w:val="32"/>
          <w:szCs w:val="32"/>
        </w:rPr>
        <w:t>子女入学。</w:t>
      </w:r>
      <w:r>
        <w:rPr>
          <w:rFonts w:ascii="Times New Roman" w:hAnsi="方正仿宋_GBK" w:eastAsia="方正仿宋_GBK"/>
          <w:color w:val="000000"/>
          <w:sz w:val="32"/>
          <w:szCs w:val="32"/>
        </w:rPr>
        <w:t>被征收居民迁出原地后的义务教育入学，征收之时可一次性选择</w:t>
      </w:r>
      <w:r>
        <w:rPr>
          <w:rFonts w:ascii="Times New Roman" w:hAnsi="Times New Roman" w:eastAsia="方正仿宋_GBK"/>
          <w:color w:val="000000"/>
          <w:sz w:val="32"/>
          <w:szCs w:val="32"/>
        </w:rPr>
        <w:t>6</w:t>
      </w:r>
      <w:r>
        <w:rPr>
          <w:rFonts w:ascii="Times New Roman" w:hAnsi="方正仿宋_GBK" w:eastAsia="方正仿宋_GBK"/>
          <w:color w:val="000000"/>
          <w:sz w:val="32"/>
          <w:szCs w:val="32"/>
        </w:rPr>
        <w:t>年内继续在原户籍所在地按原招生办法入学，或在迁入户籍所在地教育行政部门划片招生的就近学校入学。</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xml:space="preserve">2. </w:t>
      </w:r>
      <w:r>
        <w:rPr>
          <w:rFonts w:ascii="Times New Roman" w:hAnsi="方正仿宋_GBK" w:eastAsia="方正仿宋_GBK"/>
          <w:b/>
          <w:bCs/>
          <w:color w:val="000000"/>
          <w:sz w:val="32"/>
          <w:szCs w:val="32"/>
        </w:rPr>
        <w:t>社会保障。</w:t>
      </w:r>
      <w:r>
        <w:rPr>
          <w:rFonts w:ascii="Times New Roman" w:hAnsi="方正仿宋_GBK" w:eastAsia="方正仿宋_GBK"/>
          <w:color w:val="000000"/>
          <w:sz w:val="32"/>
          <w:szCs w:val="32"/>
        </w:rPr>
        <w:t>对符合城市居民最低生活保障范围的困难家庭，因居住地发生变化造成人户分离的，在征收补偿完成</w:t>
      </w:r>
      <w:r>
        <w:rPr>
          <w:rFonts w:ascii="Times New Roman" w:hAnsi="Times New Roman" w:eastAsia="方正仿宋_GBK"/>
          <w:color w:val="000000"/>
          <w:sz w:val="32"/>
          <w:szCs w:val="32"/>
        </w:rPr>
        <w:t>1</w:t>
      </w:r>
      <w:r>
        <w:rPr>
          <w:rFonts w:ascii="Times New Roman" w:hAnsi="方正仿宋_GBK" w:eastAsia="方正仿宋_GBK"/>
          <w:color w:val="000000"/>
          <w:sz w:val="32"/>
          <w:szCs w:val="32"/>
        </w:rPr>
        <w:t>年内，凭迁出地民政部门出具的证明材料，由迁入地民政部门审查核定发放最低生活保障金。</w:t>
      </w:r>
      <w:r>
        <w:rPr>
          <w:rFonts w:ascii="Times New Roman" w:hAnsi="Times New Roman" w:eastAsia="方正仿宋_GBK"/>
          <w:color w:val="000000"/>
          <w:sz w:val="32"/>
          <w:szCs w:val="32"/>
        </w:rPr>
        <w:t>1</w:t>
      </w:r>
      <w:r>
        <w:rPr>
          <w:rFonts w:ascii="Times New Roman" w:hAnsi="方正仿宋_GBK" w:eastAsia="方正仿宋_GBK"/>
          <w:color w:val="000000"/>
          <w:sz w:val="32"/>
          <w:szCs w:val="32"/>
        </w:rPr>
        <w:t>年后，按规定向迁入地民政部门提出申请。</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3. “</w:t>
      </w:r>
      <w:r>
        <w:rPr>
          <w:rFonts w:ascii="Times New Roman" w:hAnsi="方正仿宋_GBK" w:eastAsia="方正仿宋_GBK"/>
          <w:b/>
          <w:bCs/>
          <w:color w:val="000000"/>
          <w:sz w:val="32"/>
          <w:szCs w:val="32"/>
        </w:rPr>
        <w:t>住改非</w:t>
      </w:r>
      <w:r>
        <w:rPr>
          <w:rFonts w:ascii="Times New Roman" w:hAnsi="Times New Roman" w:eastAsia="方正仿宋_GBK"/>
          <w:b/>
          <w:bCs/>
          <w:color w:val="000000"/>
          <w:sz w:val="32"/>
          <w:szCs w:val="32"/>
        </w:rPr>
        <w:t>”</w:t>
      </w:r>
      <w:r>
        <w:rPr>
          <w:rFonts w:ascii="Times New Roman" w:hAnsi="方正仿宋_GBK" w:eastAsia="方正仿宋_GBK"/>
          <w:color w:val="000000"/>
          <w:sz w:val="32"/>
          <w:szCs w:val="32"/>
        </w:rPr>
        <w:t>。征收未经规划、国土资源等部门批准，将住宅房屋改为营业用房或其他非住宅用房的，按住宅房屋进行评估补偿；被征收房屋所有权人、房屋坐落与工商、税务登记的证明一致，房屋征收公告发布前连续合法经营，并能够提供</w:t>
      </w:r>
      <w:r>
        <w:rPr>
          <w:rFonts w:ascii="Times New Roman" w:hAnsi="Times New Roman" w:eastAsia="方正仿宋_GBK"/>
          <w:color w:val="000000"/>
          <w:sz w:val="32"/>
          <w:szCs w:val="32"/>
        </w:rPr>
        <w:t>2</w:t>
      </w:r>
      <w:r>
        <w:rPr>
          <w:rFonts w:ascii="Times New Roman" w:hAnsi="方正仿宋_GBK" w:eastAsia="方正仿宋_GBK"/>
          <w:color w:val="000000"/>
          <w:sz w:val="32"/>
          <w:szCs w:val="32"/>
        </w:rPr>
        <w:t>年以上纳税记录的，按照房屋评估值的</w:t>
      </w:r>
      <w:r>
        <w:rPr>
          <w:rFonts w:ascii="Times New Roman" w:hAnsi="Times New Roman" w:eastAsia="方正仿宋_GBK"/>
          <w:color w:val="000000"/>
          <w:sz w:val="32"/>
          <w:szCs w:val="32"/>
        </w:rPr>
        <w:t>6%</w:t>
      </w:r>
      <w:r>
        <w:rPr>
          <w:rFonts w:ascii="Times New Roman" w:hAnsi="方正仿宋_GBK" w:eastAsia="方正仿宋_GBK"/>
          <w:color w:val="000000"/>
          <w:sz w:val="32"/>
          <w:szCs w:val="32"/>
        </w:rPr>
        <w:t>一次性给予停产停业损失补偿费。</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停产停业损失补偿面积为产权证上载明的合法面积和经认定为合法的面积。</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xml:space="preserve">4. </w:t>
      </w:r>
      <w:r>
        <w:rPr>
          <w:rFonts w:ascii="Times New Roman" w:hAnsi="方正仿宋_GBK" w:eastAsia="方正仿宋_GBK"/>
          <w:b/>
          <w:bCs/>
          <w:color w:val="000000"/>
          <w:sz w:val="32"/>
          <w:szCs w:val="32"/>
        </w:rPr>
        <w:t>房屋抵押。</w:t>
      </w:r>
      <w:r>
        <w:rPr>
          <w:rFonts w:ascii="Times New Roman" w:hAnsi="方正仿宋_GBK" w:eastAsia="方正仿宋_GBK"/>
          <w:color w:val="000000"/>
          <w:sz w:val="32"/>
          <w:szCs w:val="32"/>
        </w:rPr>
        <w:t>对征收设定抵押的房屋，由抵押人和抵押权人协商，重新设定抵押物或由抵押人清偿债务后，方可给予补偿。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 xml:space="preserve">5. </w:t>
      </w:r>
      <w:r>
        <w:rPr>
          <w:rFonts w:ascii="Times New Roman" w:hAnsi="方正仿宋_GBK" w:eastAsia="方正仿宋_GBK"/>
          <w:b/>
          <w:bCs/>
          <w:color w:val="000000"/>
          <w:sz w:val="32"/>
          <w:szCs w:val="32"/>
        </w:rPr>
        <w:t>空地补偿。</w:t>
      </w:r>
      <w:r>
        <w:rPr>
          <w:rFonts w:ascii="Times New Roman" w:hAnsi="方正仿宋_GBK" w:eastAsia="方正仿宋_GBK"/>
          <w:color w:val="000000"/>
          <w:sz w:val="32"/>
          <w:szCs w:val="32"/>
        </w:rPr>
        <w:t>征收范围内，企、事业单位无建筑物、构筑物，建筑容积率小于</w:t>
      </w:r>
      <w:r>
        <w:rPr>
          <w:rFonts w:ascii="Times New Roman" w:hAnsi="Times New Roman" w:eastAsia="方正仿宋_GBK"/>
          <w:color w:val="000000"/>
          <w:sz w:val="32"/>
          <w:szCs w:val="32"/>
        </w:rPr>
        <w:t>1</w:t>
      </w:r>
      <w:r>
        <w:rPr>
          <w:rFonts w:ascii="Times New Roman" w:hAnsi="方正仿宋_GBK" w:eastAsia="方正仿宋_GBK"/>
          <w:color w:val="000000"/>
          <w:sz w:val="32"/>
          <w:szCs w:val="32"/>
        </w:rPr>
        <w:t>的有证空地，按照《中华人民共和国土地管理法》第五十八条的规定，根据土地供应方式、土地性质、土地用途、地理位置等因素，评估机构按房地产市场价对土地进行评估，评估出的价格作为补偿依据。建筑容积率大于</w:t>
      </w:r>
      <w:r>
        <w:rPr>
          <w:rFonts w:ascii="Times New Roman" w:hAnsi="Times New Roman" w:eastAsia="方正仿宋_GBK"/>
          <w:color w:val="000000"/>
          <w:sz w:val="32"/>
          <w:szCs w:val="32"/>
        </w:rPr>
        <w:t>1</w:t>
      </w:r>
      <w:r>
        <w:rPr>
          <w:rFonts w:ascii="Times New Roman" w:hAnsi="方正仿宋_GBK" w:eastAsia="方正仿宋_GBK"/>
          <w:color w:val="000000"/>
          <w:sz w:val="32"/>
          <w:szCs w:val="32"/>
        </w:rPr>
        <w:t>的，土地不单独另行补偿。</w:t>
      </w:r>
    </w:p>
    <w:p>
      <w:pPr>
        <w:snapToGrid w:val="0"/>
        <w:spacing w:line="560" w:lineRule="exact"/>
        <w:ind w:firstLine="640" w:firstLineChars="200"/>
        <w:rPr>
          <w:rFonts w:ascii="Times New Roman" w:hAnsi="Times New Roman" w:eastAsia="方正黑体_GBK"/>
          <w:color w:val="000000"/>
          <w:sz w:val="32"/>
          <w:szCs w:val="32"/>
        </w:rPr>
      </w:pPr>
      <w:r>
        <w:rPr>
          <w:rFonts w:ascii="Times New Roman" w:hAnsi="方正黑体_GBK" w:eastAsia="方正黑体_GBK"/>
          <w:color w:val="000000"/>
          <w:sz w:val="32"/>
          <w:szCs w:val="32"/>
        </w:rPr>
        <w:t>八、争议解决</w:t>
      </w:r>
    </w:p>
    <w:p>
      <w:pPr>
        <w:snapToGrid w:val="0"/>
        <w:spacing w:line="560" w:lineRule="exact"/>
        <w:ind w:firstLine="640" w:firstLineChars="200"/>
        <w:rPr>
          <w:rFonts w:ascii="Times New Roman" w:hAnsi="Times New Roman" w:eastAsia="方正楷体_GBK"/>
          <w:color w:val="000000"/>
          <w:sz w:val="32"/>
          <w:szCs w:val="32"/>
        </w:rPr>
      </w:pPr>
      <w:r>
        <w:rPr>
          <w:rFonts w:ascii="Times New Roman" w:hAnsi="方正楷体_GBK" w:eastAsia="方正楷体_GBK"/>
          <w:color w:val="000000"/>
          <w:sz w:val="32"/>
          <w:szCs w:val="32"/>
        </w:rPr>
        <w:t>（一）评估价值异议</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被征收人对评估结果有异议的，应当自收到评估报告之日起</w:t>
      </w:r>
      <w:r>
        <w:rPr>
          <w:rFonts w:ascii="Times New Roman" w:hAnsi="Times New Roman" w:eastAsia="方正仿宋_GBK"/>
          <w:color w:val="000000"/>
          <w:sz w:val="32"/>
          <w:szCs w:val="32"/>
        </w:rPr>
        <w:t>10</w:t>
      </w:r>
      <w:r>
        <w:rPr>
          <w:rFonts w:ascii="Times New Roman" w:hAnsi="方正仿宋_GBK" w:eastAsia="方正仿宋_GBK"/>
          <w:color w:val="000000"/>
          <w:sz w:val="32"/>
          <w:szCs w:val="32"/>
        </w:rPr>
        <w:t>日内，书面向评估机构申请复核评估。对复核结果有异议的，自收到复核结果之日起</w:t>
      </w:r>
      <w:r>
        <w:rPr>
          <w:rFonts w:ascii="Times New Roman" w:hAnsi="Times New Roman" w:eastAsia="方正仿宋_GBK"/>
          <w:color w:val="000000"/>
          <w:sz w:val="32"/>
          <w:szCs w:val="32"/>
        </w:rPr>
        <w:t>10</w:t>
      </w:r>
      <w:r>
        <w:rPr>
          <w:rFonts w:ascii="Times New Roman" w:hAnsi="方正仿宋_GBK" w:eastAsia="方正仿宋_GBK"/>
          <w:color w:val="000000"/>
          <w:sz w:val="32"/>
          <w:szCs w:val="32"/>
        </w:rPr>
        <w:t>日内，被征收人可以向重庆市房地产价格评估专家委员会申请对复核结果进行鉴定。</w:t>
      </w:r>
    </w:p>
    <w:p>
      <w:pPr>
        <w:snapToGrid w:val="0"/>
        <w:spacing w:line="560" w:lineRule="exact"/>
        <w:ind w:firstLine="640" w:firstLineChars="200"/>
        <w:rPr>
          <w:rFonts w:ascii="Times New Roman" w:hAnsi="Times New Roman" w:eastAsia="方正楷体_GBK"/>
          <w:color w:val="000000"/>
          <w:sz w:val="32"/>
          <w:szCs w:val="32"/>
        </w:rPr>
      </w:pPr>
      <w:r>
        <w:rPr>
          <w:rFonts w:ascii="Times New Roman" w:hAnsi="方正楷体_GBK" w:eastAsia="方正楷体_GBK"/>
          <w:color w:val="000000"/>
          <w:sz w:val="32"/>
          <w:szCs w:val="32"/>
        </w:rPr>
        <w:t>（二）征收补偿协议争议</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1. </w:t>
      </w:r>
      <w:r>
        <w:rPr>
          <w:rFonts w:ascii="Times New Roman" w:hAnsi="方正仿宋_GBK" w:eastAsia="方正仿宋_GBK"/>
          <w:color w:val="000000"/>
          <w:sz w:val="32"/>
          <w:szCs w:val="32"/>
        </w:rPr>
        <w:t>房屋征收部门与被征收人在征收补偿方案确定的签约期限内达不成补偿协议，或者被征收房屋所有权人不明确的，由房屋征收部门报请作出房屋征收决定的沙坪坝区人民政府依照《国有土地上房屋征收与补偿条例》的规定，按照征收补偿方案作出补偿决定，并在房屋征收范围内予以公告。</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2. </w:t>
      </w:r>
      <w:r>
        <w:rPr>
          <w:rFonts w:ascii="Times New Roman" w:hAnsi="方正仿宋_GBK" w:eastAsia="方正仿宋_GBK"/>
          <w:color w:val="000000"/>
          <w:sz w:val="32"/>
          <w:szCs w:val="32"/>
        </w:rPr>
        <w:t>补偿决定应当公平，应包括《国有土地上房屋征收与补偿条例》第二十五条第一款规定的有关补偿协议的事项。</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3. </w:t>
      </w:r>
      <w:r>
        <w:rPr>
          <w:rFonts w:ascii="Times New Roman" w:hAnsi="方正仿宋_GBK" w:eastAsia="方正仿宋_GBK"/>
          <w:color w:val="000000"/>
          <w:sz w:val="32"/>
          <w:szCs w:val="32"/>
        </w:rPr>
        <w:t>被征收人对征收决定和征收补偿决定不服的，可以自征收决定公布和收到征收补偿决定书之日起</w:t>
      </w:r>
      <w:r>
        <w:rPr>
          <w:rFonts w:ascii="Times New Roman" w:hAnsi="Times New Roman" w:eastAsia="方正仿宋_GBK"/>
          <w:color w:val="000000"/>
          <w:sz w:val="32"/>
          <w:szCs w:val="32"/>
        </w:rPr>
        <w:t>60</w:t>
      </w:r>
      <w:r>
        <w:rPr>
          <w:rFonts w:ascii="Times New Roman" w:hAnsi="方正仿宋_GBK" w:eastAsia="方正仿宋_GBK"/>
          <w:color w:val="000000"/>
          <w:sz w:val="32"/>
          <w:szCs w:val="32"/>
        </w:rPr>
        <w:t>日内向重庆市人民政府申请行政复议，也可以自征收决定公布和收到征收补偿决定书之日起六个月内向重庆市第一中级人民法院依法提起行政诉讼。</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4. </w:t>
      </w:r>
      <w:r>
        <w:rPr>
          <w:rFonts w:ascii="Times New Roman" w:hAnsi="方正仿宋_GBK" w:eastAsia="方正仿宋_GBK"/>
          <w:color w:val="000000"/>
          <w:sz w:val="32"/>
          <w:szCs w:val="32"/>
        </w:rPr>
        <w:t>被征收人在法定期限内不申请行政复议或者不提起行政诉讼，在补偿决定规定的期限内又不搬迁的，由作出房屋征收决定的沙坪坝区人民政府依法申请人民法院强制执行。</w:t>
      </w:r>
    </w:p>
    <w:p>
      <w:pPr>
        <w:snapToGrid w:val="0"/>
        <w:spacing w:line="560" w:lineRule="exact"/>
        <w:ind w:firstLine="640" w:firstLineChars="200"/>
        <w:rPr>
          <w:rFonts w:ascii="Times New Roman" w:hAnsi="Times New Roman" w:eastAsia="方正黑体_GBK"/>
          <w:color w:val="000000"/>
          <w:sz w:val="32"/>
          <w:szCs w:val="32"/>
        </w:rPr>
      </w:pPr>
      <w:r>
        <w:rPr>
          <w:rFonts w:ascii="Times New Roman" w:hAnsi="方正黑体_GBK" w:eastAsia="方正黑体_GBK"/>
          <w:color w:val="000000"/>
          <w:sz w:val="32"/>
          <w:szCs w:val="32"/>
        </w:rPr>
        <w:t>九、现场办公地点、工作时间、联系电话</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楷体_GBK" w:eastAsia="方正楷体_GBK"/>
          <w:color w:val="000000"/>
          <w:sz w:val="32"/>
          <w:szCs w:val="32"/>
        </w:rPr>
        <w:t>（一）现场办公地点：</w:t>
      </w:r>
      <w:r>
        <w:rPr>
          <w:rFonts w:ascii="Times New Roman" w:hAnsi="方正仿宋_GBK" w:eastAsia="方正仿宋_GBK"/>
          <w:color w:val="000000"/>
          <w:sz w:val="32"/>
          <w:szCs w:val="32"/>
        </w:rPr>
        <w:t>磁器口金碧社区居委会二楼</w:t>
      </w:r>
    </w:p>
    <w:p>
      <w:pPr>
        <w:snapToGrid w:val="0"/>
        <w:spacing w:line="560" w:lineRule="exact"/>
        <w:ind w:firstLine="1600" w:firstLineChars="500"/>
        <w:rPr>
          <w:rFonts w:ascii="Times New Roman" w:hAnsi="Times New Roman" w:eastAsia="方正仿宋_GBK"/>
          <w:color w:val="000000"/>
          <w:sz w:val="32"/>
          <w:szCs w:val="32"/>
        </w:rPr>
      </w:pPr>
      <w:r>
        <w:rPr>
          <w:rFonts w:ascii="Times New Roman" w:hAnsi="方正楷体_GBK" w:eastAsia="方正楷体_GBK"/>
          <w:color w:val="000000"/>
          <w:sz w:val="32"/>
          <w:szCs w:val="32"/>
        </w:rPr>
        <w:t>现场联系电话：</w:t>
      </w:r>
      <w:r>
        <w:rPr>
          <w:rFonts w:ascii="Times New Roman" w:hAnsi="Times New Roman" w:eastAsia="方正楷体_GBK"/>
          <w:color w:val="000000"/>
          <w:sz w:val="32"/>
          <w:szCs w:val="32"/>
        </w:rPr>
        <w:t>023-</w:t>
      </w:r>
      <w:r>
        <w:rPr>
          <w:rFonts w:ascii="Times New Roman" w:hAnsi="Times New Roman" w:eastAsia="仿宋"/>
          <w:bCs/>
          <w:sz w:val="32"/>
          <w:szCs w:val="32"/>
        </w:rPr>
        <w:t>65535706</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楷体_GBK" w:eastAsia="方正楷体_GBK"/>
          <w:color w:val="000000"/>
          <w:sz w:val="32"/>
          <w:szCs w:val="32"/>
        </w:rPr>
        <w:t>（二）现场办公时间：</w:t>
      </w:r>
      <w:r>
        <w:rPr>
          <w:rFonts w:ascii="Times New Roman" w:hAnsi="Times New Roman" w:eastAsia="方正仿宋_GBK"/>
          <w:color w:val="000000"/>
          <w:sz w:val="32"/>
          <w:szCs w:val="32"/>
        </w:rPr>
        <w:t>9:00—18:00</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(注：在公告规定的签约期限内，周末及节假日不休息)</w:t>
      </w:r>
    </w:p>
    <w:p>
      <w:pPr>
        <w:snapToGrid w:val="0"/>
        <w:spacing w:line="560" w:lineRule="exact"/>
        <w:ind w:firstLine="640" w:firstLineChars="200"/>
        <w:rPr>
          <w:rFonts w:ascii="Times New Roman" w:hAnsi="Times New Roman" w:eastAsia="方正黑体_GBK"/>
          <w:color w:val="000000"/>
          <w:sz w:val="32"/>
          <w:szCs w:val="32"/>
        </w:rPr>
      </w:pPr>
      <w:r>
        <w:rPr>
          <w:rFonts w:ascii="Times New Roman" w:hAnsi="方正黑体_GBK" w:eastAsia="方正黑体_GBK"/>
          <w:color w:val="000000"/>
          <w:sz w:val="32"/>
          <w:szCs w:val="32"/>
        </w:rPr>
        <w:t>十、其他</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（一）本方案仅适用于本项目以政府参照规划范围线确定的征收范围内的房屋征收。</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（二）本方案中未予明确规定的事项，按照国家、重庆市现行相关政策法规执行，国家、重庆市现行相关政策法规未予明确的，由项目指挥部研究处理。</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（三）本方案的解释权归重庆市沙坪坝区住房和城乡建设委员会。</w:t>
      </w:r>
    </w:p>
    <w:p>
      <w:pPr>
        <w:snapToGrid w:val="0"/>
        <w:spacing w:line="560" w:lineRule="exact"/>
        <w:ind w:firstLine="640" w:firstLineChars="200"/>
        <w:rPr>
          <w:rFonts w:ascii="Times New Roman" w:hAnsi="Times New Roman" w:eastAsia="方正仿宋_GBK"/>
          <w:color w:val="000000"/>
          <w:sz w:val="32"/>
          <w:szCs w:val="32"/>
        </w:rPr>
      </w:pP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rPr>
        <w:t>附表：</w:t>
      </w:r>
      <w:r>
        <w:rPr>
          <w:rFonts w:ascii="Times New Roman" w:hAnsi="Times New Roman" w:eastAsia="方正仿宋_GBK"/>
          <w:color w:val="000000"/>
          <w:sz w:val="32"/>
          <w:szCs w:val="32"/>
        </w:rPr>
        <w:t>1.</w:t>
      </w:r>
      <w:r>
        <w:rPr>
          <w:rFonts w:ascii="Times New Roman" w:hAnsi="方正仿宋_GBK" w:eastAsia="方正仿宋_GBK"/>
          <w:color w:val="000000"/>
          <w:sz w:val="32"/>
          <w:szCs w:val="32"/>
        </w:rPr>
        <w:t>马鞍山北侧道路延伸段项目房屋征收预评估价格明细表</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2. </w:t>
      </w:r>
      <w:r>
        <w:rPr>
          <w:rFonts w:ascii="Times New Roman" w:hAnsi="方正仿宋_GBK" w:eastAsia="方正仿宋_GBK"/>
          <w:color w:val="000000"/>
          <w:sz w:val="32"/>
          <w:szCs w:val="32"/>
        </w:rPr>
        <w:t>马鞍山北侧道路延伸段项目国有土地上房屋征收相关附属设施补偿价格标准</w:t>
      </w:r>
    </w:p>
    <w:p>
      <w:pPr>
        <w:snapToGrid w:val="0"/>
        <w:spacing w:line="560"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 xml:space="preserve">3. </w:t>
      </w:r>
      <w:r>
        <w:rPr>
          <w:rFonts w:ascii="Times New Roman" w:hAnsi="方正仿宋_GBK" w:eastAsia="方正仿宋_GBK"/>
          <w:color w:val="000000"/>
          <w:sz w:val="32"/>
          <w:szCs w:val="32"/>
        </w:rPr>
        <w:t>马鞍山北侧道路延伸段项目国有土地上房屋征收相关补助和签约搬迁奖励机制</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ascii="Times New Roman" w:hAnsi="方正仿宋_GBK" w:eastAsia="方正仿宋_GBK"/>
          <w:color w:val="000000"/>
          <w:sz w:val="32"/>
          <w:szCs w:val="32"/>
        </w:rPr>
        <w:t>住宅房屋产权调换房源套数及结算价汇总表</w:t>
      </w:r>
    </w:p>
    <w:p>
      <w:pPr>
        <w:snapToGrid w:val="0"/>
        <w:spacing w:line="560" w:lineRule="exact"/>
        <w:rPr>
          <w:rFonts w:hint="eastAsia" w:ascii="方正黑体_GBK" w:hAnsi="方正黑体_GBK" w:eastAsia="方正黑体_GBK" w:cs="方正黑体_GBK"/>
          <w:color w:val="000000"/>
          <w:sz w:val="32"/>
          <w:szCs w:val="32"/>
        </w:rPr>
      </w:pPr>
      <w:r>
        <w:rPr>
          <w:rFonts w:ascii="Times New Roman" w:hAnsi="Times New Roman"/>
          <w:color w:val="000000"/>
          <w:szCs w:val="32"/>
        </w:rPr>
        <w:br w:type="page"/>
      </w:r>
      <w:r>
        <w:rPr>
          <w:rFonts w:hint="eastAsia" w:ascii="方正黑体_GBK" w:hAnsi="方正黑体_GBK" w:eastAsia="方正黑体_GBK" w:cs="方正黑体_GBK"/>
          <w:color w:val="000000"/>
          <w:sz w:val="32"/>
          <w:szCs w:val="32"/>
        </w:rPr>
        <w:t>附表1</w:t>
      </w:r>
    </w:p>
    <w:p>
      <w:pPr>
        <w:snapToGrid w:val="0"/>
        <w:rPr>
          <w:rFonts w:ascii="Times New Roman" w:hAnsi="Times New Roman" w:eastAsia="方正仿宋简体"/>
          <w:color w:val="000000"/>
          <w:sz w:val="30"/>
          <w:szCs w:val="30"/>
        </w:rPr>
      </w:pPr>
    </w:p>
    <w:p>
      <w:pPr>
        <w:snapToGrid w:val="0"/>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马鞍山北侧道路延伸段</w:t>
      </w:r>
      <w:r>
        <w:rPr>
          <w:rFonts w:hint="eastAsia" w:ascii="方正小标宋_GBK" w:hAnsi="方正小标宋_GBK" w:eastAsia="方正小标宋_GBK" w:cs="方正小标宋_GBK"/>
          <w:color w:val="000000"/>
          <w:sz w:val="44"/>
          <w:szCs w:val="44"/>
        </w:rPr>
        <w:t>国有土地上房屋</w:t>
      </w:r>
    </w:p>
    <w:p>
      <w:pPr>
        <w:snapToGrid w:val="0"/>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征收</w:t>
      </w:r>
      <w:r>
        <w:rPr>
          <w:rFonts w:hint="eastAsia" w:ascii="方正小标宋_GBK" w:hAnsi="方正小标宋_GBK" w:eastAsia="方正小标宋_GBK" w:cs="方正小标宋_GBK"/>
          <w:color w:val="000000"/>
          <w:kern w:val="0"/>
          <w:sz w:val="44"/>
          <w:szCs w:val="44"/>
        </w:rPr>
        <w:t>预评估价格</w:t>
      </w:r>
    </w:p>
    <w:tbl>
      <w:tblPr>
        <w:tblStyle w:val="7"/>
        <w:tblW w:w="9229" w:type="dxa"/>
        <w:tblInd w:w="93" w:type="dxa"/>
        <w:tblLayout w:type="fixed"/>
        <w:tblCellMar>
          <w:top w:w="0" w:type="dxa"/>
          <w:left w:w="108" w:type="dxa"/>
          <w:bottom w:w="0" w:type="dxa"/>
          <w:right w:w="108" w:type="dxa"/>
        </w:tblCellMar>
      </w:tblPr>
      <w:tblGrid>
        <w:gridCol w:w="9229"/>
      </w:tblGrid>
      <w:tr>
        <w:tblPrEx>
          <w:tblCellMar>
            <w:top w:w="0" w:type="dxa"/>
            <w:left w:w="108" w:type="dxa"/>
            <w:bottom w:w="0" w:type="dxa"/>
            <w:right w:w="108" w:type="dxa"/>
          </w:tblCellMar>
        </w:tblPrEx>
        <w:trPr>
          <w:trHeight w:val="345" w:hRule="atLeast"/>
        </w:trPr>
        <w:tc>
          <w:tcPr>
            <w:tcW w:w="9229" w:type="dxa"/>
            <w:tcBorders>
              <w:top w:val="nil"/>
              <w:left w:val="nil"/>
              <w:bottom w:val="nil"/>
              <w:right w:val="nil"/>
            </w:tcBorders>
            <w:noWrap/>
            <w:vAlign w:val="bottom"/>
          </w:tcPr>
          <w:p>
            <w:pPr>
              <w:widowControl/>
              <w:jc w:val="center"/>
              <w:rPr>
                <w:rFonts w:hint="eastAsia" w:ascii="方正黑体_GBK" w:hAnsi="楷体" w:eastAsia="方正黑体_GBK" w:cs="宋体"/>
                <w:bCs/>
                <w:kern w:val="0"/>
                <w:sz w:val="30"/>
                <w:szCs w:val="30"/>
              </w:rPr>
            </w:pPr>
            <w:r>
              <w:rPr>
                <w:rFonts w:hint="eastAsia" w:ascii="方正黑体_GBK" w:hAnsi="楷体" w:eastAsia="方正黑体_GBK" w:cs="宋体"/>
                <w:bCs/>
                <w:kern w:val="0"/>
                <w:sz w:val="30"/>
                <w:szCs w:val="30"/>
              </w:rPr>
              <w:t>（一）住宅用房预评估单价明细表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086"/>
              <w:gridCol w:w="1156"/>
              <w:gridCol w:w="851"/>
              <w:gridCol w:w="2268"/>
              <w:gridCol w:w="992"/>
              <w:gridCol w:w="1276"/>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7"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序号</w:t>
                  </w:r>
                </w:p>
              </w:tc>
              <w:tc>
                <w:tcPr>
                  <w:tcW w:w="1086"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房屋用途</w:t>
                  </w:r>
                </w:p>
              </w:tc>
              <w:tc>
                <w:tcPr>
                  <w:tcW w:w="1156"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建筑年代</w:t>
                  </w:r>
                </w:p>
              </w:tc>
              <w:tc>
                <w:tcPr>
                  <w:tcW w:w="851"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是否成套</w:t>
                  </w:r>
                </w:p>
              </w:tc>
              <w:tc>
                <w:tcPr>
                  <w:tcW w:w="2268"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房屋结构</w:t>
                  </w:r>
                </w:p>
              </w:tc>
              <w:tc>
                <w:tcPr>
                  <w:tcW w:w="992"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土地使用权类型</w:t>
                  </w:r>
                </w:p>
              </w:tc>
              <w:tc>
                <w:tcPr>
                  <w:tcW w:w="1276" w:type="dxa"/>
                  <w:vAlign w:val="center"/>
                </w:tcPr>
                <w:p>
                  <w:pPr>
                    <w:jc w:val="center"/>
                    <w:rPr>
                      <w:rFonts w:hint="eastAsia" w:ascii="方正黑体_GBK" w:hAnsi="楷体" w:eastAsia="方正黑体_GBK" w:cs="宋体"/>
                      <w:szCs w:val="21"/>
                    </w:rPr>
                  </w:pPr>
                  <w:r>
                    <w:rPr>
                      <w:rFonts w:hint="eastAsia" w:ascii="方正黑体_GBK" w:hAnsi="楷体" w:eastAsia="方正黑体_GBK"/>
                      <w:szCs w:val="21"/>
                    </w:rPr>
                    <w:t>预评估单价</w:t>
                  </w:r>
                  <w:r>
                    <w:rPr>
                      <w:rFonts w:hint="eastAsia" w:ascii="方正黑体_GBK" w:hAnsi="楷体" w:eastAsia="方正黑体_GBK"/>
                      <w:szCs w:val="21"/>
                    </w:rPr>
                    <w:br w:type="textWrapping"/>
                  </w:r>
                  <w:r>
                    <w:rPr>
                      <w:rFonts w:hint="eastAsia" w:ascii="方正黑体_GBK" w:hAnsi="楷体" w:eastAsia="方正黑体_GBK"/>
                      <w:szCs w:val="21"/>
                    </w:rPr>
                    <w:t>（元/㎡）</w:t>
                  </w:r>
                </w:p>
              </w:tc>
              <w:tc>
                <w:tcPr>
                  <w:tcW w:w="737"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37" w:type="dxa"/>
                  <w:vAlign w:val="center"/>
                </w:tcPr>
                <w:p>
                  <w:pPr>
                    <w:jc w:val="center"/>
                    <w:rPr>
                      <w:rFonts w:ascii="Times New Roman" w:hAnsi="Times New Roman" w:eastAsia="方正仿宋_GBK"/>
                      <w:szCs w:val="21"/>
                    </w:rPr>
                  </w:pPr>
                  <w:r>
                    <w:rPr>
                      <w:rFonts w:ascii="Times New Roman" w:hAnsi="Times New Roman" w:eastAsia="方正仿宋_GBK"/>
                      <w:szCs w:val="21"/>
                    </w:rPr>
                    <w:t>1</w:t>
                  </w:r>
                </w:p>
              </w:tc>
              <w:tc>
                <w:tcPr>
                  <w:tcW w:w="1086" w:type="dxa"/>
                  <w:vAlign w:val="center"/>
                </w:tcPr>
                <w:p>
                  <w:pPr>
                    <w:jc w:val="center"/>
                    <w:rPr>
                      <w:rFonts w:ascii="Times New Roman" w:hAnsi="Times New Roman" w:eastAsia="方正仿宋_GBK"/>
                      <w:szCs w:val="21"/>
                    </w:rPr>
                  </w:pPr>
                  <w:r>
                    <w:rPr>
                      <w:rFonts w:ascii="Times New Roman" w:hAnsi="Times New Roman" w:eastAsia="方正仿宋_GBK"/>
                      <w:szCs w:val="21"/>
                    </w:rPr>
                    <w:t>住宅</w:t>
                  </w:r>
                </w:p>
              </w:tc>
              <w:tc>
                <w:tcPr>
                  <w:tcW w:w="1156" w:type="dxa"/>
                  <w:vMerge w:val="restart"/>
                  <w:vAlign w:val="center"/>
                </w:tcPr>
                <w:p>
                  <w:pPr>
                    <w:jc w:val="center"/>
                    <w:rPr>
                      <w:rFonts w:ascii="Times New Roman" w:hAnsi="Times New Roman" w:eastAsia="方正仿宋_GBK"/>
                      <w:szCs w:val="21"/>
                    </w:rPr>
                  </w:pPr>
                  <w:r>
                    <w:rPr>
                      <w:rFonts w:ascii="Times New Roman" w:hAnsi="Times New Roman" w:eastAsia="方正仿宋_GBK"/>
                      <w:szCs w:val="21"/>
                    </w:rPr>
                    <w:t>2015年及以后</w:t>
                  </w:r>
                </w:p>
              </w:tc>
              <w:tc>
                <w:tcPr>
                  <w:tcW w:w="851" w:type="dxa"/>
                  <w:vAlign w:val="center"/>
                </w:tcPr>
                <w:p>
                  <w:pPr>
                    <w:jc w:val="center"/>
                    <w:rPr>
                      <w:rFonts w:ascii="Times New Roman" w:hAnsi="Times New Roman" w:eastAsia="方正仿宋_GBK"/>
                      <w:szCs w:val="21"/>
                    </w:rPr>
                  </w:pPr>
                  <w:r>
                    <w:rPr>
                      <w:rFonts w:ascii="Times New Roman" w:hAnsi="Times New Roman" w:eastAsia="方正仿宋_GBK"/>
                      <w:szCs w:val="21"/>
                    </w:rPr>
                    <w:t>成套</w:t>
                  </w:r>
                </w:p>
              </w:tc>
              <w:tc>
                <w:tcPr>
                  <w:tcW w:w="2268" w:type="dxa"/>
                  <w:vAlign w:val="center"/>
                </w:tcPr>
                <w:p>
                  <w:pPr>
                    <w:jc w:val="center"/>
                    <w:rPr>
                      <w:rFonts w:ascii="Times New Roman" w:hAnsi="Times New Roman" w:eastAsia="方正仿宋_GBK"/>
                      <w:szCs w:val="21"/>
                    </w:rPr>
                  </w:pPr>
                  <w:r>
                    <w:rPr>
                      <w:rFonts w:ascii="Times New Roman" w:hAnsi="Times New Roman" w:eastAsia="方正仿宋_GBK"/>
                      <w:szCs w:val="21"/>
                    </w:rPr>
                    <w:t>混合（砖混、钢混）</w:t>
                  </w:r>
                </w:p>
              </w:tc>
              <w:tc>
                <w:tcPr>
                  <w:tcW w:w="992" w:type="dxa"/>
                  <w:vAlign w:val="center"/>
                </w:tcPr>
                <w:p>
                  <w:pPr>
                    <w:jc w:val="center"/>
                    <w:rPr>
                      <w:rFonts w:ascii="Times New Roman" w:hAnsi="Times New Roman" w:eastAsia="方正仿宋_GBK"/>
                      <w:szCs w:val="21"/>
                    </w:rPr>
                  </w:pPr>
                  <w:r>
                    <w:rPr>
                      <w:rFonts w:ascii="Times New Roman" w:hAnsi="Times New Roman" w:eastAsia="方正仿宋_GBK"/>
                      <w:szCs w:val="21"/>
                    </w:rPr>
                    <w:t>划拨</w:t>
                  </w:r>
                </w:p>
              </w:tc>
              <w:tc>
                <w:tcPr>
                  <w:tcW w:w="1276" w:type="dxa"/>
                  <w:vAlign w:val="center"/>
                </w:tcPr>
                <w:p>
                  <w:pPr>
                    <w:jc w:val="center"/>
                    <w:rPr>
                      <w:rFonts w:ascii="Times New Roman" w:hAnsi="Times New Roman" w:eastAsia="方正仿宋_GBK"/>
                      <w:szCs w:val="21"/>
                    </w:rPr>
                  </w:pPr>
                  <w:r>
                    <w:rPr>
                      <w:rFonts w:ascii="Times New Roman" w:hAnsi="Times New Roman" w:eastAsia="方正仿宋_GBK"/>
                      <w:szCs w:val="21"/>
                    </w:rPr>
                    <w:t>12470</w:t>
                  </w:r>
                </w:p>
              </w:tc>
              <w:tc>
                <w:tcPr>
                  <w:tcW w:w="737" w:type="dxa"/>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37" w:type="dxa"/>
                  <w:vAlign w:val="center"/>
                </w:tcPr>
                <w:p>
                  <w:pPr>
                    <w:jc w:val="center"/>
                    <w:rPr>
                      <w:rFonts w:ascii="Times New Roman" w:hAnsi="Times New Roman" w:eastAsia="方正仿宋_GBK"/>
                      <w:szCs w:val="21"/>
                    </w:rPr>
                  </w:pPr>
                  <w:r>
                    <w:rPr>
                      <w:rFonts w:ascii="Times New Roman" w:hAnsi="Times New Roman" w:eastAsia="方正仿宋_GBK"/>
                      <w:szCs w:val="21"/>
                    </w:rPr>
                    <w:t>2</w:t>
                  </w:r>
                </w:p>
              </w:tc>
              <w:tc>
                <w:tcPr>
                  <w:tcW w:w="1086" w:type="dxa"/>
                  <w:vAlign w:val="center"/>
                </w:tcPr>
                <w:p>
                  <w:pPr>
                    <w:jc w:val="center"/>
                    <w:rPr>
                      <w:rFonts w:ascii="Times New Roman" w:hAnsi="Times New Roman" w:eastAsia="方正仿宋_GBK"/>
                      <w:szCs w:val="21"/>
                    </w:rPr>
                  </w:pPr>
                  <w:r>
                    <w:rPr>
                      <w:rFonts w:ascii="Times New Roman" w:hAnsi="Times New Roman" w:eastAsia="方正仿宋_GBK"/>
                      <w:szCs w:val="21"/>
                    </w:rPr>
                    <w:t>住宅</w:t>
                  </w:r>
                </w:p>
              </w:tc>
              <w:tc>
                <w:tcPr>
                  <w:tcW w:w="1156" w:type="dxa"/>
                  <w:vMerge w:val="continue"/>
                  <w:vAlign w:val="center"/>
                </w:tcPr>
                <w:p>
                  <w:pPr>
                    <w:jc w:val="center"/>
                    <w:rPr>
                      <w:rFonts w:ascii="Times New Roman" w:hAnsi="Times New Roman" w:eastAsia="方正仿宋_GBK"/>
                      <w:szCs w:val="21"/>
                    </w:rPr>
                  </w:pPr>
                </w:p>
              </w:tc>
              <w:tc>
                <w:tcPr>
                  <w:tcW w:w="851" w:type="dxa"/>
                  <w:vAlign w:val="center"/>
                </w:tcPr>
                <w:p>
                  <w:pPr>
                    <w:jc w:val="center"/>
                    <w:rPr>
                      <w:rFonts w:ascii="Times New Roman" w:hAnsi="Times New Roman" w:eastAsia="方正仿宋_GBK"/>
                      <w:szCs w:val="21"/>
                    </w:rPr>
                  </w:pPr>
                  <w:r>
                    <w:rPr>
                      <w:rFonts w:ascii="Times New Roman" w:hAnsi="Times New Roman" w:eastAsia="方正仿宋_GBK"/>
                      <w:szCs w:val="21"/>
                    </w:rPr>
                    <w:t>非成套</w:t>
                  </w:r>
                </w:p>
              </w:tc>
              <w:tc>
                <w:tcPr>
                  <w:tcW w:w="2268" w:type="dxa"/>
                  <w:vAlign w:val="center"/>
                </w:tcPr>
                <w:p>
                  <w:pPr>
                    <w:jc w:val="center"/>
                    <w:rPr>
                      <w:rFonts w:ascii="Times New Roman" w:hAnsi="Times New Roman" w:eastAsia="方正仿宋_GBK"/>
                      <w:szCs w:val="21"/>
                    </w:rPr>
                  </w:pPr>
                  <w:r>
                    <w:rPr>
                      <w:rFonts w:ascii="Times New Roman" w:hAnsi="Times New Roman" w:eastAsia="方正仿宋_GBK"/>
                      <w:szCs w:val="21"/>
                    </w:rPr>
                    <w:t>混合（砖混、钢混）</w:t>
                  </w:r>
                </w:p>
              </w:tc>
              <w:tc>
                <w:tcPr>
                  <w:tcW w:w="992" w:type="dxa"/>
                  <w:vAlign w:val="center"/>
                </w:tcPr>
                <w:p>
                  <w:pPr>
                    <w:jc w:val="center"/>
                    <w:rPr>
                      <w:rFonts w:ascii="Times New Roman" w:hAnsi="Times New Roman" w:eastAsia="方正仿宋_GBK"/>
                      <w:szCs w:val="21"/>
                    </w:rPr>
                  </w:pPr>
                  <w:r>
                    <w:rPr>
                      <w:rFonts w:ascii="Times New Roman" w:hAnsi="Times New Roman" w:eastAsia="方正仿宋_GBK"/>
                      <w:szCs w:val="21"/>
                    </w:rPr>
                    <w:t>划拨</w:t>
                  </w:r>
                </w:p>
              </w:tc>
              <w:tc>
                <w:tcPr>
                  <w:tcW w:w="1276" w:type="dxa"/>
                  <w:vAlign w:val="center"/>
                </w:tcPr>
                <w:p>
                  <w:pPr>
                    <w:jc w:val="center"/>
                    <w:rPr>
                      <w:rFonts w:ascii="Times New Roman" w:hAnsi="Times New Roman" w:eastAsia="方正仿宋_GBK"/>
                      <w:szCs w:val="21"/>
                    </w:rPr>
                  </w:pPr>
                  <w:r>
                    <w:rPr>
                      <w:rFonts w:ascii="Times New Roman" w:hAnsi="Times New Roman" w:eastAsia="方正仿宋_GBK"/>
                      <w:szCs w:val="21"/>
                    </w:rPr>
                    <w:t>12360</w:t>
                  </w:r>
                </w:p>
              </w:tc>
              <w:tc>
                <w:tcPr>
                  <w:tcW w:w="737" w:type="dxa"/>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7" w:type="dxa"/>
                  <w:vAlign w:val="center"/>
                </w:tcPr>
                <w:p>
                  <w:pPr>
                    <w:jc w:val="center"/>
                    <w:rPr>
                      <w:rFonts w:ascii="Times New Roman" w:hAnsi="Times New Roman" w:eastAsia="方正仿宋_GBK"/>
                      <w:szCs w:val="21"/>
                    </w:rPr>
                  </w:pPr>
                  <w:r>
                    <w:rPr>
                      <w:rFonts w:ascii="Times New Roman" w:hAnsi="Times New Roman" w:eastAsia="方正仿宋_GBK"/>
                      <w:szCs w:val="21"/>
                    </w:rPr>
                    <w:t>3</w:t>
                  </w:r>
                </w:p>
              </w:tc>
              <w:tc>
                <w:tcPr>
                  <w:tcW w:w="1086" w:type="dxa"/>
                  <w:vAlign w:val="center"/>
                </w:tcPr>
                <w:p>
                  <w:pPr>
                    <w:jc w:val="center"/>
                    <w:rPr>
                      <w:rFonts w:ascii="Times New Roman" w:hAnsi="Times New Roman" w:eastAsia="方正仿宋_GBK"/>
                      <w:szCs w:val="21"/>
                    </w:rPr>
                  </w:pPr>
                  <w:r>
                    <w:rPr>
                      <w:rFonts w:ascii="Times New Roman" w:hAnsi="Times New Roman" w:eastAsia="方正仿宋_GBK"/>
                      <w:szCs w:val="21"/>
                    </w:rPr>
                    <w:t>住宅</w:t>
                  </w:r>
                </w:p>
              </w:tc>
              <w:tc>
                <w:tcPr>
                  <w:tcW w:w="1156" w:type="dxa"/>
                  <w:vMerge w:val="continue"/>
                  <w:vAlign w:val="center"/>
                </w:tcPr>
                <w:p>
                  <w:pPr>
                    <w:jc w:val="center"/>
                    <w:rPr>
                      <w:rFonts w:ascii="Times New Roman" w:hAnsi="Times New Roman" w:eastAsia="方正仿宋_GBK"/>
                      <w:szCs w:val="21"/>
                    </w:rPr>
                  </w:pPr>
                </w:p>
              </w:tc>
              <w:tc>
                <w:tcPr>
                  <w:tcW w:w="851" w:type="dxa"/>
                  <w:vAlign w:val="center"/>
                </w:tcPr>
                <w:p>
                  <w:pPr>
                    <w:jc w:val="center"/>
                    <w:rPr>
                      <w:rFonts w:ascii="Times New Roman" w:hAnsi="Times New Roman" w:eastAsia="方正仿宋_GBK"/>
                      <w:szCs w:val="21"/>
                    </w:rPr>
                  </w:pPr>
                  <w:r>
                    <w:rPr>
                      <w:rFonts w:ascii="Times New Roman" w:hAnsi="Times New Roman" w:eastAsia="方正仿宋_GBK"/>
                      <w:szCs w:val="21"/>
                    </w:rPr>
                    <w:t>-</w:t>
                  </w:r>
                </w:p>
              </w:tc>
              <w:tc>
                <w:tcPr>
                  <w:tcW w:w="2268" w:type="dxa"/>
                  <w:vAlign w:val="center"/>
                </w:tcPr>
                <w:p>
                  <w:pPr>
                    <w:jc w:val="center"/>
                    <w:rPr>
                      <w:rFonts w:ascii="Times New Roman" w:hAnsi="Times New Roman" w:eastAsia="方正仿宋_GBK"/>
                      <w:szCs w:val="21"/>
                    </w:rPr>
                  </w:pPr>
                  <w:r>
                    <w:rPr>
                      <w:rFonts w:ascii="Times New Roman" w:hAnsi="Times New Roman" w:eastAsia="方正仿宋_GBK"/>
                      <w:szCs w:val="21"/>
                    </w:rPr>
                    <w:t>砖木（砖柱砖墙、砖砖、砖墙、砖夹等）</w:t>
                  </w:r>
                </w:p>
              </w:tc>
              <w:tc>
                <w:tcPr>
                  <w:tcW w:w="992" w:type="dxa"/>
                  <w:vAlign w:val="center"/>
                </w:tcPr>
                <w:p>
                  <w:pPr>
                    <w:jc w:val="center"/>
                    <w:rPr>
                      <w:rFonts w:ascii="Times New Roman" w:hAnsi="Times New Roman" w:eastAsia="方正仿宋_GBK"/>
                      <w:szCs w:val="21"/>
                    </w:rPr>
                  </w:pPr>
                  <w:r>
                    <w:rPr>
                      <w:rFonts w:ascii="Times New Roman" w:hAnsi="Times New Roman" w:eastAsia="方正仿宋_GBK"/>
                      <w:szCs w:val="21"/>
                    </w:rPr>
                    <w:t>划拨</w:t>
                  </w:r>
                </w:p>
              </w:tc>
              <w:tc>
                <w:tcPr>
                  <w:tcW w:w="1276" w:type="dxa"/>
                  <w:vAlign w:val="center"/>
                </w:tcPr>
                <w:p>
                  <w:pPr>
                    <w:jc w:val="center"/>
                    <w:rPr>
                      <w:rFonts w:ascii="Times New Roman" w:hAnsi="Times New Roman" w:eastAsia="方正仿宋_GBK"/>
                      <w:szCs w:val="21"/>
                    </w:rPr>
                  </w:pPr>
                  <w:r>
                    <w:rPr>
                      <w:rFonts w:ascii="Times New Roman" w:hAnsi="Times New Roman" w:eastAsia="方正仿宋_GBK"/>
                      <w:szCs w:val="21"/>
                    </w:rPr>
                    <w:t>12310</w:t>
                  </w:r>
                </w:p>
              </w:tc>
              <w:tc>
                <w:tcPr>
                  <w:tcW w:w="737" w:type="dxa"/>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37" w:type="dxa"/>
                  <w:vAlign w:val="center"/>
                </w:tcPr>
                <w:p>
                  <w:pPr>
                    <w:jc w:val="center"/>
                    <w:rPr>
                      <w:rFonts w:ascii="Times New Roman" w:hAnsi="Times New Roman" w:eastAsia="方正仿宋_GBK"/>
                      <w:szCs w:val="21"/>
                    </w:rPr>
                  </w:pPr>
                  <w:r>
                    <w:rPr>
                      <w:rFonts w:ascii="Times New Roman" w:hAnsi="Times New Roman" w:eastAsia="方正仿宋_GBK"/>
                      <w:szCs w:val="21"/>
                    </w:rPr>
                    <w:t>4</w:t>
                  </w:r>
                </w:p>
              </w:tc>
              <w:tc>
                <w:tcPr>
                  <w:tcW w:w="1086" w:type="dxa"/>
                  <w:vAlign w:val="center"/>
                </w:tcPr>
                <w:p>
                  <w:pPr>
                    <w:jc w:val="center"/>
                    <w:rPr>
                      <w:rFonts w:ascii="Times New Roman" w:hAnsi="Times New Roman" w:eastAsia="方正仿宋_GBK"/>
                      <w:szCs w:val="21"/>
                    </w:rPr>
                  </w:pPr>
                  <w:r>
                    <w:rPr>
                      <w:rFonts w:ascii="Times New Roman" w:hAnsi="Times New Roman" w:eastAsia="方正仿宋_GBK"/>
                      <w:szCs w:val="21"/>
                    </w:rPr>
                    <w:t>住宅</w:t>
                  </w:r>
                </w:p>
              </w:tc>
              <w:tc>
                <w:tcPr>
                  <w:tcW w:w="1156" w:type="dxa"/>
                  <w:vMerge w:val="restart"/>
                  <w:vAlign w:val="center"/>
                </w:tcPr>
                <w:p>
                  <w:pPr>
                    <w:jc w:val="center"/>
                    <w:rPr>
                      <w:rFonts w:ascii="Times New Roman" w:hAnsi="Times New Roman" w:eastAsia="方正仿宋_GBK"/>
                      <w:szCs w:val="21"/>
                    </w:rPr>
                  </w:pPr>
                  <w:r>
                    <w:rPr>
                      <w:rFonts w:ascii="Times New Roman" w:hAnsi="Times New Roman" w:eastAsia="方正仿宋_GBK"/>
                      <w:szCs w:val="21"/>
                    </w:rPr>
                    <w:t>2010-2014年</w:t>
                  </w:r>
                </w:p>
              </w:tc>
              <w:tc>
                <w:tcPr>
                  <w:tcW w:w="851" w:type="dxa"/>
                  <w:vAlign w:val="center"/>
                </w:tcPr>
                <w:p>
                  <w:pPr>
                    <w:jc w:val="center"/>
                    <w:rPr>
                      <w:rFonts w:ascii="Times New Roman" w:hAnsi="Times New Roman" w:eastAsia="方正仿宋_GBK"/>
                      <w:szCs w:val="21"/>
                    </w:rPr>
                  </w:pPr>
                  <w:r>
                    <w:rPr>
                      <w:rFonts w:ascii="Times New Roman" w:hAnsi="Times New Roman" w:eastAsia="方正仿宋_GBK"/>
                      <w:szCs w:val="21"/>
                    </w:rPr>
                    <w:t>成套</w:t>
                  </w:r>
                </w:p>
              </w:tc>
              <w:tc>
                <w:tcPr>
                  <w:tcW w:w="2268" w:type="dxa"/>
                  <w:vAlign w:val="center"/>
                </w:tcPr>
                <w:p>
                  <w:pPr>
                    <w:jc w:val="center"/>
                    <w:rPr>
                      <w:rFonts w:ascii="Times New Roman" w:hAnsi="Times New Roman" w:eastAsia="方正仿宋_GBK"/>
                      <w:szCs w:val="21"/>
                    </w:rPr>
                  </w:pPr>
                  <w:r>
                    <w:rPr>
                      <w:rFonts w:ascii="Times New Roman" w:hAnsi="Times New Roman" w:eastAsia="方正仿宋_GBK"/>
                      <w:szCs w:val="21"/>
                    </w:rPr>
                    <w:t>混合（砖混、钢混）</w:t>
                  </w:r>
                </w:p>
              </w:tc>
              <w:tc>
                <w:tcPr>
                  <w:tcW w:w="992" w:type="dxa"/>
                  <w:vAlign w:val="center"/>
                </w:tcPr>
                <w:p>
                  <w:pPr>
                    <w:jc w:val="center"/>
                    <w:rPr>
                      <w:rFonts w:ascii="Times New Roman" w:hAnsi="Times New Roman" w:eastAsia="方正仿宋_GBK"/>
                      <w:szCs w:val="21"/>
                    </w:rPr>
                  </w:pPr>
                  <w:r>
                    <w:rPr>
                      <w:rFonts w:ascii="Times New Roman" w:hAnsi="Times New Roman" w:eastAsia="方正仿宋_GBK"/>
                      <w:szCs w:val="21"/>
                    </w:rPr>
                    <w:t>划拨</w:t>
                  </w:r>
                </w:p>
              </w:tc>
              <w:tc>
                <w:tcPr>
                  <w:tcW w:w="1276" w:type="dxa"/>
                  <w:vAlign w:val="center"/>
                </w:tcPr>
                <w:p>
                  <w:pPr>
                    <w:jc w:val="center"/>
                    <w:rPr>
                      <w:rFonts w:ascii="Times New Roman" w:hAnsi="Times New Roman" w:eastAsia="方正仿宋_GBK"/>
                      <w:szCs w:val="21"/>
                    </w:rPr>
                  </w:pPr>
                  <w:r>
                    <w:rPr>
                      <w:rFonts w:ascii="Times New Roman" w:hAnsi="Times New Roman" w:eastAsia="方正仿宋_GBK"/>
                      <w:szCs w:val="21"/>
                    </w:rPr>
                    <w:t>12360</w:t>
                  </w:r>
                </w:p>
              </w:tc>
              <w:tc>
                <w:tcPr>
                  <w:tcW w:w="737" w:type="dxa"/>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7" w:type="dxa"/>
                  <w:vAlign w:val="center"/>
                </w:tcPr>
                <w:p>
                  <w:pPr>
                    <w:jc w:val="center"/>
                    <w:rPr>
                      <w:rFonts w:ascii="Times New Roman" w:hAnsi="Times New Roman" w:eastAsia="方正仿宋_GBK"/>
                      <w:szCs w:val="21"/>
                    </w:rPr>
                  </w:pPr>
                  <w:r>
                    <w:rPr>
                      <w:rFonts w:ascii="Times New Roman" w:hAnsi="Times New Roman" w:eastAsia="方正仿宋_GBK"/>
                      <w:szCs w:val="21"/>
                    </w:rPr>
                    <w:t>5</w:t>
                  </w:r>
                </w:p>
              </w:tc>
              <w:tc>
                <w:tcPr>
                  <w:tcW w:w="1086" w:type="dxa"/>
                  <w:vAlign w:val="center"/>
                </w:tcPr>
                <w:p>
                  <w:pPr>
                    <w:jc w:val="center"/>
                    <w:rPr>
                      <w:rFonts w:ascii="Times New Roman" w:hAnsi="Times New Roman" w:eastAsia="方正仿宋_GBK"/>
                      <w:szCs w:val="21"/>
                    </w:rPr>
                  </w:pPr>
                  <w:r>
                    <w:rPr>
                      <w:rFonts w:ascii="Times New Roman" w:hAnsi="Times New Roman" w:eastAsia="方正仿宋_GBK"/>
                      <w:szCs w:val="21"/>
                    </w:rPr>
                    <w:t>住宅</w:t>
                  </w:r>
                </w:p>
              </w:tc>
              <w:tc>
                <w:tcPr>
                  <w:tcW w:w="1156" w:type="dxa"/>
                  <w:vMerge w:val="continue"/>
                  <w:vAlign w:val="center"/>
                </w:tcPr>
                <w:p>
                  <w:pPr>
                    <w:jc w:val="center"/>
                    <w:rPr>
                      <w:rFonts w:ascii="Times New Roman" w:hAnsi="Times New Roman" w:eastAsia="方正仿宋_GBK"/>
                      <w:szCs w:val="21"/>
                    </w:rPr>
                  </w:pPr>
                </w:p>
              </w:tc>
              <w:tc>
                <w:tcPr>
                  <w:tcW w:w="851" w:type="dxa"/>
                  <w:vAlign w:val="center"/>
                </w:tcPr>
                <w:p>
                  <w:pPr>
                    <w:jc w:val="center"/>
                    <w:rPr>
                      <w:rFonts w:ascii="Times New Roman" w:hAnsi="Times New Roman" w:eastAsia="方正仿宋_GBK"/>
                      <w:szCs w:val="21"/>
                    </w:rPr>
                  </w:pPr>
                  <w:r>
                    <w:rPr>
                      <w:rFonts w:ascii="Times New Roman" w:hAnsi="Times New Roman" w:eastAsia="方正仿宋_GBK"/>
                      <w:szCs w:val="21"/>
                    </w:rPr>
                    <w:t>-</w:t>
                  </w:r>
                </w:p>
              </w:tc>
              <w:tc>
                <w:tcPr>
                  <w:tcW w:w="2268" w:type="dxa"/>
                  <w:vAlign w:val="center"/>
                </w:tcPr>
                <w:p>
                  <w:pPr>
                    <w:jc w:val="center"/>
                    <w:rPr>
                      <w:rFonts w:ascii="Times New Roman" w:hAnsi="Times New Roman" w:eastAsia="方正仿宋_GBK"/>
                      <w:szCs w:val="21"/>
                    </w:rPr>
                  </w:pPr>
                  <w:r>
                    <w:rPr>
                      <w:rFonts w:ascii="Times New Roman" w:hAnsi="Times New Roman" w:eastAsia="方正仿宋_GBK"/>
                      <w:szCs w:val="21"/>
                    </w:rPr>
                    <w:t>砖木（砖柱砖墙、砖砖、砖墙、砖夹等）</w:t>
                  </w:r>
                </w:p>
              </w:tc>
              <w:tc>
                <w:tcPr>
                  <w:tcW w:w="992" w:type="dxa"/>
                  <w:vAlign w:val="center"/>
                </w:tcPr>
                <w:p>
                  <w:pPr>
                    <w:jc w:val="center"/>
                    <w:rPr>
                      <w:rFonts w:ascii="Times New Roman" w:hAnsi="Times New Roman" w:eastAsia="方正仿宋_GBK"/>
                      <w:szCs w:val="21"/>
                    </w:rPr>
                  </w:pPr>
                  <w:r>
                    <w:rPr>
                      <w:rFonts w:ascii="Times New Roman" w:hAnsi="Times New Roman" w:eastAsia="方正仿宋_GBK"/>
                      <w:szCs w:val="21"/>
                    </w:rPr>
                    <w:t>划拨</w:t>
                  </w:r>
                </w:p>
              </w:tc>
              <w:tc>
                <w:tcPr>
                  <w:tcW w:w="1276" w:type="dxa"/>
                  <w:vAlign w:val="center"/>
                </w:tcPr>
                <w:p>
                  <w:pPr>
                    <w:jc w:val="center"/>
                    <w:rPr>
                      <w:rFonts w:ascii="Times New Roman" w:hAnsi="Times New Roman" w:eastAsia="方正仿宋_GBK"/>
                      <w:szCs w:val="21"/>
                    </w:rPr>
                  </w:pPr>
                  <w:r>
                    <w:rPr>
                      <w:rFonts w:ascii="Times New Roman" w:hAnsi="Times New Roman" w:eastAsia="方正仿宋_GBK"/>
                      <w:szCs w:val="21"/>
                    </w:rPr>
                    <w:t>12200</w:t>
                  </w:r>
                </w:p>
              </w:tc>
              <w:tc>
                <w:tcPr>
                  <w:tcW w:w="737" w:type="dxa"/>
                  <w:vAlign w:val="center"/>
                </w:tcPr>
                <w:p>
                  <w:pPr>
                    <w:jc w:val="center"/>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6</w:t>
                  </w:r>
                </w:p>
              </w:tc>
              <w:tc>
                <w:tcPr>
                  <w:tcW w:w="108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住宅</w:t>
                  </w:r>
                </w:p>
              </w:tc>
              <w:tc>
                <w:tcPr>
                  <w:tcW w:w="1156" w:type="dxa"/>
                  <w:vMerge w:val="restart"/>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2000-2009年</w:t>
                  </w:r>
                </w:p>
              </w:tc>
              <w:tc>
                <w:tcPr>
                  <w:tcW w:w="851"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成套</w:t>
                  </w:r>
                </w:p>
              </w:tc>
              <w:tc>
                <w:tcPr>
                  <w:tcW w:w="2268"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混合（砖混、钢混）</w:t>
                  </w:r>
                </w:p>
              </w:tc>
              <w:tc>
                <w:tcPr>
                  <w:tcW w:w="992"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划拨</w:t>
                  </w:r>
                </w:p>
              </w:tc>
              <w:tc>
                <w:tcPr>
                  <w:tcW w:w="1276" w:type="dxa"/>
                  <w:vAlign w:val="center"/>
                </w:tcPr>
                <w:p>
                  <w:pPr>
                    <w:jc w:val="center"/>
                    <w:rPr>
                      <w:rFonts w:ascii="Times New Roman" w:hAnsi="Times New Roman" w:eastAsia="方正仿宋_GBK"/>
                      <w:szCs w:val="21"/>
                    </w:rPr>
                  </w:pPr>
                  <w:r>
                    <w:rPr>
                      <w:rFonts w:ascii="Times New Roman" w:hAnsi="Times New Roman" w:eastAsia="方正仿宋_GBK"/>
                      <w:szCs w:val="21"/>
                    </w:rPr>
                    <w:t>12140</w:t>
                  </w:r>
                </w:p>
              </w:tc>
              <w:tc>
                <w:tcPr>
                  <w:tcW w:w="737" w:type="dxa"/>
                  <w:vAlign w:val="center"/>
                </w:tcPr>
                <w:p>
                  <w:pPr>
                    <w:jc w:val="center"/>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7</w:t>
                  </w:r>
                </w:p>
              </w:tc>
              <w:tc>
                <w:tcPr>
                  <w:tcW w:w="108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住宅</w:t>
                  </w:r>
                </w:p>
              </w:tc>
              <w:tc>
                <w:tcPr>
                  <w:tcW w:w="1156" w:type="dxa"/>
                  <w:vMerge w:val="continue"/>
                  <w:vAlign w:val="center"/>
                </w:tcPr>
                <w:p>
                  <w:pPr>
                    <w:jc w:val="center"/>
                    <w:rPr>
                      <w:rFonts w:ascii="Times New Roman" w:hAnsi="Times New Roman" w:eastAsia="方正仿宋_GBK"/>
                      <w:color w:val="000000"/>
                      <w:szCs w:val="21"/>
                    </w:rPr>
                  </w:pPr>
                </w:p>
              </w:tc>
              <w:tc>
                <w:tcPr>
                  <w:tcW w:w="851"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非成套</w:t>
                  </w:r>
                </w:p>
              </w:tc>
              <w:tc>
                <w:tcPr>
                  <w:tcW w:w="2268"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混合（砖混、钢混）</w:t>
                  </w:r>
                </w:p>
              </w:tc>
              <w:tc>
                <w:tcPr>
                  <w:tcW w:w="992" w:type="dxa"/>
                  <w:vAlign w:val="center"/>
                </w:tcPr>
                <w:p>
                  <w:pPr>
                    <w:jc w:val="center"/>
                    <w:rPr>
                      <w:rFonts w:ascii="Times New Roman" w:hAnsi="Times New Roman" w:eastAsia="方正仿宋_GBK"/>
                      <w:szCs w:val="21"/>
                    </w:rPr>
                  </w:pPr>
                  <w:r>
                    <w:rPr>
                      <w:rFonts w:ascii="Times New Roman" w:hAnsi="Times New Roman" w:eastAsia="方正仿宋_GBK"/>
                      <w:color w:val="000000"/>
                      <w:szCs w:val="21"/>
                    </w:rPr>
                    <w:t>划拨</w:t>
                  </w:r>
                </w:p>
              </w:tc>
              <w:tc>
                <w:tcPr>
                  <w:tcW w:w="1276" w:type="dxa"/>
                  <w:vAlign w:val="center"/>
                </w:tcPr>
                <w:p>
                  <w:pPr>
                    <w:jc w:val="center"/>
                    <w:rPr>
                      <w:rFonts w:ascii="Times New Roman" w:hAnsi="Times New Roman" w:eastAsia="方正仿宋_GBK"/>
                      <w:szCs w:val="21"/>
                    </w:rPr>
                  </w:pPr>
                  <w:r>
                    <w:rPr>
                      <w:rFonts w:ascii="Times New Roman" w:hAnsi="Times New Roman" w:eastAsia="方正仿宋_GBK"/>
                      <w:szCs w:val="21"/>
                    </w:rPr>
                    <w:t>12040</w:t>
                  </w:r>
                </w:p>
              </w:tc>
              <w:tc>
                <w:tcPr>
                  <w:tcW w:w="737" w:type="dxa"/>
                  <w:vAlign w:val="center"/>
                </w:tcPr>
                <w:p>
                  <w:pPr>
                    <w:jc w:val="center"/>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8</w:t>
                  </w:r>
                </w:p>
              </w:tc>
              <w:tc>
                <w:tcPr>
                  <w:tcW w:w="108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住宅</w:t>
                  </w:r>
                </w:p>
              </w:tc>
              <w:tc>
                <w:tcPr>
                  <w:tcW w:w="1156" w:type="dxa"/>
                  <w:vMerge w:val="continue"/>
                  <w:vAlign w:val="center"/>
                </w:tcPr>
                <w:p>
                  <w:pPr>
                    <w:jc w:val="center"/>
                    <w:rPr>
                      <w:rFonts w:ascii="Times New Roman" w:hAnsi="Times New Roman" w:eastAsia="方正仿宋_GBK"/>
                      <w:color w:val="000000"/>
                      <w:szCs w:val="21"/>
                    </w:rPr>
                  </w:pPr>
                </w:p>
              </w:tc>
              <w:tc>
                <w:tcPr>
                  <w:tcW w:w="851"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非成套</w:t>
                  </w:r>
                </w:p>
              </w:tc>
              <w:tc>
                <w:tcPr>
                  <w:tcW w:w="2268" w:type="dxa"/>
                  <w:vAlign w:val="center"/>
                </w:tcPr>
                <w:p>
                  <w:pPr>
                    <w:jc w:val="center"/>
                    <w:rPr>
                      <w:rFonts w:ascii="Times New Roman" w:hAnsi="Times New Roman" w:eastAsia="方正仿宋_GBK"/>
                      <w:color w:val="000000"/>
                      <w:szCs w:val="21"/>
                    </w:rPr>
                  </w:pPr>
                  <w:r>
                    <w:rPr>
                      <w:rFonts w:ascii="Times New Roman" w:hAnsi="Times New Roman" w:eastAsia="方正仿宋_GBK"/>
                      <w:szCs w:val="21"/>
                    </w:rPr>
                    <w:t>砖木（砖柱砖墙、砖砖、砖墙、砖夹等）</w:t>
                  </w:r>
                </w:p>
              </w:tc>
              <w:tc>
                <w:tcPr>
                  <w:tcW w:w="992" w:type="dxa"/>
                  <w:vAlign w:val="center"/>
                </w:tcPr>
                <w:p>
                  <w:pPr>
                    <w:jc w:val="center"/>
                    <w:rPr>
                      <w:rFonts w:ascii="Times New Roman" w:hAnsi="Times New Roman" w:eastAsia="方正仿宋_GBK"/>
                      <w:szCs w:val="21"/>
                    </w:rPr>
                  </w:pPr>
                  <w:r>
                    <w:rPr>
                      <w:rFonts w:ascii="Times New Roman" w:hAnsi="Times New Roman" w:eastAsia="方正仿宋_GBK"/>
                      <w:color w:val="000000"/>
                      <w:szCs w:val="21"/>
                    </w:rPr>
                    <w:t>划拨</w:t>
                  </w:r>
                </w:p>
              </w:tc>
              <w:tc>
                <w:tcPr>
                  <w:tcW w:w="1276" w:type="dxa"/>
                  <w:vAlign w:val="center"/>
                </w:tcPr>
                <w:p>
                  <w:pPr>
                    <w:jc w:val="center"/>
                    <w:rPr>
                      <w:rFonts w:ascii="Times New Roman" w:hAnsi="Times New Roman" w:eastAsia="方正仿宋_GBK"/>
                      <w:szCs w:val="21"/>
                    </w:rPr>
                  </w:pPr>
                  <w:r>
                    <w:rPr>
                      <w:rFonts w:ascii="Times New Roman" w:hAnsi="Times New Roman" w:eastAsia="方正仿宋_GBK"/>
                      <w:szCs w:val="21"/>
                    </w:rPr>
                    <w:t>11880</w:t>
                  </w:r>
                </w:p>
              </w:tc>
              <w:tc>
                <w:tcPr>
                  <w:tcW w:w="737" w:type="dxa"/>
                  <w:vAlign w:val="center"/>
                </w:tcPr>
                <w:p>
                  <w:pPr>
                    <w:jc w:val="center"/>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9</w:t>
                  </w:r>
                </w:p>
              </w:tc>
              <w:tc>
                <w:tcPr>
                  <w:tcW w:w="108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住宅</w:t>
                  </w:r>
                </w:p>
              </w:tc>
              <w:tc>
                <w:tcPr>
                  <w:tcW w:w="1156" w:type="dxa"/>
                  <w:vMerge w:val="continue"/>
                  <w:vAlign w:val="center"/>
                </w:tcPr>
                <w:p>
                  <w:pPr>
                    <w:jc w:val="center"/>
                    <w:rPr>
                      <w:rFonts w:ascii="Times New Roman" w:hAnsi="Times New Roman" w:eastAsia="方正仿宋_GBK"/>
                      <w:color w:val="000000"/>
                      <w:szCs w:val="21"/>
                    </w:rPr>
                  </w:pPr>
                </w:p>
              </w:tc>
              <w:tc>
                <w:tcPr>
                  <w:tcW w:w="851"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非成套</w:t>
                  </w:r>
                </w:p>
              </w:tc>
              <w:tc>
                <w:tcPr>
                  <w:tcW w:w="2268"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简易（穿逗、土墙、木捆绑等）</w:t>
                  </w:r>
                </w:p>
              </w:tc>
              <w:tc>
                <w:tcPr>
                  <w:tcW w:w="992" w:type="dxa"/>
                  <w:vAlign w:val="center"/>
                </w:tcPr>
                <w:p>
                  <w:pPr>
                    <w:jc w:val="center"/>
                    <w:rPr>
                      <w:rFonts w:ascii="Times New Roman" w:hAnsi="Times New Roman" w:eastAsia="方正仿宋_GBK"/>
                      <w:szCs w:val="21"/>
                    </w:rPr>
                  </w:pPr>
                  <w:r>
                    <w:rPr>
                      <w:rFonts w:ascii="Times New Roman" w:hAnsi="Times New Roman" w:eastAsia="方正仿宋_GBK"/>
                      <w:color w:val="000000"/>
                      <w:szCs w:val="21"/>
                    </w:rPr>
                    <w:t>划拨</w:t>
                  </w:r>
                </w:p>
              </w:tc>
              <w:tc>
                <w:tcPr>
                  <w:tcW w:w="1276" w:type="dxa"/>
                  <w:vAlign w:val="center"/>
                </w:tcPr>
                <w:p>
                  <w:pPr>
                    <w:jc w:val="center"/>
                    <w:rPr>
                      <w:rFonts w:ascii="Times New Roman" w:hAnsi="Times New Roman" w:eastAsia="方正仿宋_GBK"/>
                      <w:szCs w:val="21"/>
                    </w:rPr>
                  </w:pPr>
                  <w:r>
                    <w:rPr>
                      <w:rFonts w:ascii="Times New Roman" w:hAnsi="Times New Roman" w:eastAsia="方正仿宋_GBK"/>
                      <w:szCs w:val="21"/>
                    </w:rPr>
                    <w:t>11730</w:t>
                  </w:r>
                </w:p>
              </w:tc>
              <w:tc>
                <w:tcPr>
                  <w:tcW w:w="737" w:type="dxa"/>
                  <w:vAlign w:val="center"/>
                </w:tcPr>
                <w:p>
                  <w:pPr>
                    <w:jc w:val="center"/>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10</w:t>
                  </w:r>
                </w:p>
              </w:tc>
              <w:tc>
                <w:tcPr>
                  <w:tcW w:w="108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住宅</w:t>
                  </w:r>
                </w:p>
              </w:tc>
              <w:tc>
                <w:tcPr>
                  <w:tcW w:w="1156" w:type="dxa"/>
                  <w:vMerge w:val="restart"/>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上世纪90年代及以前</w:t>
                  </w:r>
                </w:p>
              </w:tc>
              <w:tc>
                <w:tcPr>
                  <w:tcW w:w="851"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成套</w:t>
                  </w:r>
                </w:p>
              </w:tc>
              <w:tc>
                <w:tcPr>
                  <w:tcW w:w="2268" w:type="dxa"/>
                  <w:vMerge w:val="restart"/>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混合（砖混、钢混）</w:t>
                  </w:r>
                </w:p>
              </w:tc>
              <w:tc>
                <w:tcPr>
                  <w:tcW w:w="992"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划拨</w:t>
                  </w:r>
                </w:p>
              </w:tc>
              <w:tc>
                <w:tcPr>
                  <w:tcW w:w="127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11880</w:t>
                  </w:r>
                </w:p>
              </w:tc>
              <w:tc>
                <w:tcPr>
                  <w:tcW w:w="737" w:type="dxa"/>
                  <w:vAlign w:val="center"/>
                </w:tcPr>
                <w:p>
                  <w:pPr>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11</w:t>
                  </w:r>
                </w:p>
              </w:tc>
              <w:tc>
                <w:tcPr>
                  <w:tcW w:w="108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住宅</w:t>
                  </w:r>
                </w:p>
              </w:tc>
              <w:tc>
                <w:tcPr>
                  <w:tcW w:w="1156" w:type="dxa"/>
                  <w:vMerge w:val="continue"/>
                  <w:vAlign w:val="center"/>
                </w:tcPr>
                <w:p>
                  <w:pPr>
                    <w:jc w:val="center"/>
                    <w:rPr>
                      <w:rFonts w:ascii="Times New Roman" w:hAnsi="Times New Roman" w:eastAsia="方正仿宋_GBK"/>
                      <w:color w:val="000000"/>
                      <w:szCs w:val="21"/>
                    </w:rPr>
                  </w:pPr>
                </w:p>
              </w:tc>
              <w:tc>
                <w:tcPr>
                  <w:tcW w:w="851"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非成套</w:t>
                  </w:r>
                </w:p>
              </w:tc>
              <w:tc>
                <w:tcPr>
                  <w:tcW w:w="2268" w:type="dxa"/>
                  <w:vMerge w:val="continue"/>
                  <w:vAlign w:val="center"/>
                </w:tcPr>
                <w:p>
                  <w:pPr>
                    <w:jc w:val="center"/>
                    <w:rPr>
                      <w:rFonts w:ascii="Times New Roman" w:hAnsi="Times New Roman" w:eastAsia="方正仿宋_GBK"/>
                      <w:color w:val="000000"/>
                      <w:szCs w:val="21"/>
                    </w:rPr>
                  </w:pPr>
                </w:p>
              </w:tc>
              <w:tc>
                <w:tcPr>
                  <w:tcW w:w="992"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划拨</w:t>
                  </w:r>
                </w:p>
              </w:tc>
              <w:tc>
                <w:tcPr>
                  <w:tcW w:w="127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11780</w:t>
                  </w:r>
                </w:p>
              </w:tc>
              <w:tc>
                <w:tcPr>
                  <w:tcW w:w="737" w:type="dxa"/>
                  <w:vAlign w:val="center"/>
                </w:tcPr>
                <w:p>
                  <w:pPr>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12</w:t>
                  </w:r>
                </w:p>
              </w:tc>
              <w:tc>
                <w:tcPr>
                  <w:tcW w:w="108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住宅</w:t>
                  </w:r>
                </w:p>
              </w:tc>
              <w:tc>
                <w:tcPr>
                  <w:tcW w:w="1156" w:type="dxa"/>
                  <w:vMerge w:val="continue"/>
                  <w:vAlign w:val="center"/>
                </w:tcPr>
                <w:p>
                  <w:pPr>
                    <w:jc w:val="center"/>
                    <w:rPr>
                      <w:rFonts w:ascii="Times New Roman" w:hAnsi="Times New Roman" w:eastAsia="方正仿宋_GBK"/>
                      <w:color w:val="000000"/>
                      <w:szCs w:val="21"/>
                    </w:rPr>
                  </w:pPr>
                </w:p>
              </w:tc>
              <w:tc>
                <w:tcPr>
                  <w:tcW w:w="851"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成套</w:t>
                  </w:r>
                </w:p>
              </w:tc>
              <w:tc>
                <w:tcPr>
                  <w:tcW w:w="2268" w:type="dxa"/>
                  <w:vMerge w:val="restart"/>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砖木（砖柱砖墙、砖砖、砖墙、砖夹等）</w:t>
                  </w:r>
                </w:p>
              </w:tc>
              <w:tc>
                <w:tcPr>
                  <w:tcW w:w="992"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划拨</w:t>
                  </w:r>
                </w:p>
              </w:tc>
              <w:tc>
                <w:tcPr>
                  <w:tcW w:w="127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11830</w:t>
                  </w:r>
                </w:p>
              </w:tc>
              <w:tc>
                <w:tcPr>
                  <w:tcW w:w="737" w:type="dxa"/>
                  <w:vAlign w:val="center"/>
                </w:tcPr>
                <w:p>
                  <w:pPr>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13</w:t>
                  </w:r>
                </w:p>
              </w:tc>
              <w:tc>
                <w:tcPr>
                  <w:tcW w:w="108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住宅</w:t>
                  </w:r>
                </w:p>
              </w:tc>
              <w:tc>
                <w:tcPr>
                  <w:tcW w:w="1156" w:type="dxa"/>
                  <w:vMerge w:val="continue"/>
                  <w:vAlign w:val="center"/>
                </w:tcPr>
                <w:p>
                  <w:pPr>
                    <w:jc w:val="center"/>
                    <w:rPr>
                      <w:rFonts w:ascii="Times New Roman" w:hAnsi="Times New Roman" w:eastAsia="方正仿宋_GBK"/>
                      <w:color w:val="000000"/>
                      <w:szCs w:val="21"/>
                    </w:rPr>
                  </w:pPr>
                </w:p>
              </w:tc>
              <w:tc>
                <w:tcPr>
                  <w:tcW w:w="851"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非成套</w:t>
                  </w:r>
                </w:p>
              </w:tc>
              <w:tc>
                <w:tcPr>
                  <w:tcW w:w="2268" w:type="dxa"/>
                  <w:vMerge w:val="continue"/>
                  <w:vAlign w:val="center"/>
                </w:tcPr>
                <w:p>
                  <w:pPr>
                    <w:jc w:val="center"/>
                    <w:rPr>
                      <w:rFonts w:ascii="Times New Roman" w:hAnsi="Times New Roman" w:eastAsia="方正仿宋_GBK"/>
                      <w:color w:val="000000"/>
                      <w:szCs w:val="21"/>
                    </w:rPr>
                  </w:pPr>
                </w:p>
              </w:tc>
              <w:tc>
                <w:tcPr>
                  <w:tcW w:w="992"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划拨</w:t>
                  </w:r>
                </w:p>
              </w:tc>
              <w:tc>
                <w:tcPr>
                  <w:tcW w:w="127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11730</w:t>
                  </w:r>
                </w:p>
              </w:tc>
              <w:tc>
                <w:tcPr>
                  <w:tcW w:w="737" w:type="dxa"/>
                  <w:vAlign w:val="center"/>
                </w:tcPr>
                <w:p>
                  <w:pPr>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14</w:t>
                  </w:r>
                </w:p>
              </w:tc>
              <w:tc>
                <w:tcPr>
                  <w:tcW w:w="108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住宅</w:t>
                  </w:r>
                </w:p>
              </w:tc>
              <w:tc>
                <w:tcPr>
                  <w:tcW w:w="1156" w:type="dxa"/>
                  <w:vMerge w:val="continue"/>
                  <w:vAlign w:val="center"/>
                </w:tcPr>
                <w:p>
                  <w:pPr>
                    <w:jc w:val="center"/>
                    <w:rPr>
                      <w:rFonts w:ascii="Times New Roman" w:hAnsi="Times New Roman" w:eastAsia="方正仿宋_GBK"/>
                      <w:color w:val="000000"/>
                      <w:szCs w:val="21"/>
                    </w:rPr>
                  </w:pPr>
                </w:p>
              </w:tc>
              <w:tc>
                <w:tcPr>
                  <w:tcW w:w="851"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非成套</w:t>
                  </w:r>
                </w:p>
              </w:tc>
              <w:tc>
                <w:tcPr>
                  <w:tcW w:w="2268"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简易（穿逗、土墙、木捆绑等）</w:t>
                  </w:r>
                </w:p>
              </w:tc>
              <w:tc>
                <w:tcPr>
                  <w:tcW w:w="992"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划拨</w:t>
                  </w:r>
                </w:p>
              </w:tc>
              <w:tc>
                <w:tcPr>
                  <w:tcW w:w="1276"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11580</w:t>
                  </w:r>
                </w:p>
              </w:tc>
              <w:tc>
                <w:tcPr>
                  <w:tcW w:w="737" w:type="dxa"/>
                  <w:vAlign w:val="center"/>
                </w:tcPr>
                <w:p>
                  <w:pPr>
                    <w:rPr>
                      <w:rFonts w:ascii="Times New Roman" w:hAnsi="Times New Roman" w:eastAsia="方正仿宋_GBK"/>
                      <w:color w:val="000000"/>
                      <w:szCs w:val="21"/>
                    </w:rPr>
                  </w:pPr>
                </w:p>
              </w:tc>
            </w:tr>
          </w:tbl>
          <w:p>
            <w:pPr>
              <w:widowControl/>
              <w:jc w:val="center"/>
              <w:rPr>
                <w:rFonts w:ascii="楷体" w:hAnsi="楷体" w:eastAsia="楷体" w:cs="宋体"/>
                <w:b/>
                <w:bCs/>
                <w:kern w:val="0"/>
                <w:sz w:val="28"/>
                <w:szCs w:val="28"/>
              </w:rPr>
            </w:pPr>
          </w:p>
        </w:tc>
      </w:tr>
    </w:tbl>
    <w:p>
      <w:pPr>
        <w:snapToGrid w:val="0"/>
        <w:contextualSpacing/>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 xml:space="preserve"> </w:t>
      </w:r>
    </w:p>
    <w:p>
      <w:pPr>
        <w:snapToGrid w:val="0"/>
        <w:contextualSpacing/>
        <w:rPr>
          <w:rFonts w:ascii="方正楷体_GBK" w:hAnsi="方正楷体_GBK" w:eastAsia="方正楷体_GBK" w:cs="方正楷体_GBK"/>
          <w:color w:val="000000"/>
          <w:szCs w:val="21"/>
        </w:rPr>
      </w:pPr>
    </w:p>
    <w:tbl>
      <w:tblPr>
        <w:tblStyle w:val="7"/>
        <w:tblW w:w="9333" w:type="dxa"/>
        <w:tblInd w:w="93" w:type="dxa"/>
        <w:tblLayout w:type="fixed"/>
        <w:tblCellMar>
          <w:top w:w="0" w:type="dxa"/>
          <w:left w:w="108" w:type="dxa"/>
          <w:bottom w:w="0" w:type="dxa"/>
          <w:right w:w="108" w:type="dxa"/>
        </w:tblCellMar>
      </w:tblPr>
      <w:tblGrid>
        <w:gridCol w:w="232"/>
        <w:gridCol w:w="8997"/>
        <w:gridCol w:w="104"/>
      </w:tblGrid>
      <w:tr>
        <w:tblPrEx>
          <w:tblCellMar>
            <w:top w:w="0" w:type="dxa"/>
            <w:left w:w="108" w:type="dxa"/>
            <w:bottom w:w="0" w:type="dxa"/>
            <w:right w:w="108" w:type="dxa"/>
          </w:tblCellMar>
        </w:tblPrEx>
        <w:trPr>
          <w:gridAfter w:val="1"/>
          <w:wAfter w:w="104" w:type="dxa"/>
          <w:trHeight w:val="345" w:hRule="atLeast"/>
        </w:trPr>
        <w:tc>
          <w:tcPr>
            <w:tcW w:w="9229" w:type="dxa"/>
            <w:gridSpan w:val="2"/>
            <w:tcBorders>
              <w:top w:val="nil"/>
              <w:left w:val="nil"/>
              <w:bottom w:val="nil"/>
              <w:right w:val="nil"/>
            </w:tcBorders>
            <w:noWrap/>
            <w:vAlign w:val="bottom"/>
          </w:tcPr>
          <w:p>
            <w:pPr>
              <w:widowControl/>
              <w:jc w:val="center"/>
              <w:rPr>
                <w:rFonts w:hint="eastAsia" w:ascii="方正黑体_GBK" w:hAnsi="楷体" w:eastAsia="方正黑体_GBK" w:cs="宋体"/>
                <w:bCs/>
                <w:kern w:val="0"/>
                <w:sz w:val="28"/>
                <w:szCs w:val="28"/>
              </w:rPr>
            </w:pPr>
            <w:r>
              <w:rPr>
                <w:rFonts w:hint="eastAsia" w:ascii="方正黑体_GBK" w:hAnsi="楷体" w:eastAsia="方正黑体_GBK" w:cs="宋体"/>
                <w:bCs/>
                <w:kern w:val="0"/>
                <w:sz w:val="28"/>
                <w:szCs w:val="28"/>
              </w:rPr>
              <w:t>（二）工业及工业配套用房预评估单价明细表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090"/>
              <w:gridCol w:w="1012"/>
              <w:gridCol w:w="1277"/>
              <w:gridCol w:w="1558"/>
              <w:gridCol w:w="1133"/>
              <w:gridCol w:w="1417"/>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7"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序号</w:t>
                  </w:r>
                </w:p>
              </w:tc>
              <w:tc>
                <w:tcPr>
                  <w:tcW w:w="1090"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房屋用途</w:t>
                  </w:r>
                </w:p>
              </w:tc>
              <w:tc>
                <w:tcPr>
                  <w:tcW w:w="1012"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建筑年代</w:t>
                  </w:r>
                </w:p>
              </w:tc>
              <w:tc>
                <w:tcPr>
                  <w:tcW w:w="1277"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层高</w:t>
                  </w:r>
                </w:p>
              </w:tc>
              <w:tc>
                <w:tcPr>
                  <w:tcW w:w="1558"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房屋结构</w:t>
                  </w:r>
                </w:p>
              </w:tc>
              <w:tc>
                <w:tcPr>
                  <w:tcW w:w="1133"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土地使用权类型</w:t>
                  </w:r>
                </w:p>
              </w:tc>
              <w:tc>
                <w:tcPr>
                  <w:tcW w:w="1417" w:type="dxa"/>
                  <w:vAlign w:val="center"/>
                </w:tcPr>
                <w:p>
                  <w:pPr>
                    <w:jc w:val="center"/>
                    <w:rPr>
                      <w:rFonts w:hint="eastAsia" w:ascii="方正黑体_GBK" w:hAnsi="楷体" w:eastAsia="方正黑体_GBK" w:cs="宋体"/>
                      <w:szCs w:val="21"/>
                    </w:rPr>
                  </w:pPr>
                  <w:r>
                    <w:rPr>
                      <w:rFonts w:hint="eastAsia" w:ascii="方正黑体_GBK" w:hAnsi="楷体" w:eastAsia="方正黑体_GBK"/>
                      <w:szCs w:val="21"/>
                    </w:rPr>
                    <w:t>预评估单价</w:t>
                  </w:r>
                  <w:r>
                    <w:rPr>
                      <w:rFonts w:hint="eastAsia" w:ascii="方正黑体_GBK" w:hAnsi="楷体" w:eastAsia="方正黑体_GBK"/>
                      <w:szCs w:val="21"/>
                    </w:rPr>
                    <w:br w:type="textWrapping"/>
                  </w:r>
                  <w:r>
                    <w:rPr>
                      <w:rFonts w:hint="eastAsia" w:ascii="方正黑体_GBK" w:hAnsi="楷体" w:eastAsia="方正黑体_GBK"/>
                      <w:szCs w:val="21"/>
                    </w:rPr>
                    <w:t>（元/㎡）</w:t>
                  </w:r>
                </w:p>
              </w:tc>
              <w:tc>
                <w:tcPr>
                  <w:tcW w:w="879" w:type="dxa"/>
                  <w:vAlign w:val="center"/>
                </w:tcPr>
                <w:p>
                  <w:pPr>
                    <w:jc w:val="center"/>
                    <w:rPr>
                      <w:rFonts w:hint="eastAsia" w:ascii="方正黑体_GBK" w:hAnsi="楷体" w:eastAsia="方正黑体_GBK" w:cs="宋体"/>
                      <w:color w:val="000000"/>
                      <w:szCs w:val="21"/>
                    </w:rPr>
                  </w:pPr>
                  <w:r>
                    <w:rPr>
                      <w:rFonts w:hint="eastAsia" w:ascii="方正黑体_GBK" w:hAnsi="楷体" w:eastAsia="方正黑体_GBK"/>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1</w:t>
                  </w:r>
                </w:p>
              </w:tc>
              <w:tc>
                <w:tcPr>
                  <w:tcW w:w="1090" w:type="dxa"/>
                  <w:vMerge w:val="restart"/>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其他非住宅（工业及工业配套用房）等</w:t>
                  </w:r>
                </w:p>
              </w:tc>
              <w:tc>
                <w:tcPr>
                  <w:tcW w:w="1012" w:type="dxa"/>
                  <w:vMerge w:val="restart"/>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上世纪90年代及以前</w:t>
                  </w:r>
                </w:p>
              </w:tc>
              <w:tc>
                <w:tcPr>
                  <w:tcW w:w="127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层高5米以下</w:t>
                  </w:r>
                </w:p>
              </w:tc>
              <w:tc>
                <w:tcPr>
                  <w:tcW w:w="1558"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混合（砖混、钢混）</w:t>
                  </w:r>
                </w:p>
              </w:tc>
              <w:tc>
                <w:tcPr>
                  <w:tcW w:w="1133"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划拨</w:t>
                  </w:r>
                </w:p>
              </w:tc>
              <w:tc>
                <w:tcPr>
                  <w:tcW w:w="1417" w:type="dxa"/>
                  <w:vAlign w:val="center"/>
                </w:tcPr>
                <w:p>
                  <w:pPr>
                    <w:jc w:val="center"/>
                    <w:rPr>
                      <w:rFonts w:ascii="Times New Roman" w:hAnsi="Times New Roman" w:eastAsia="方正仿宋_GBK"/>
                      <w:sz w:val="20"/>
                      <w:szCs w:val="20"/>
                    </w:rPr>
                  </w:pPr>
                  <w:r>
                    <w:rPr>
                      <w:rFonts w:ascii="Times New Roman" w:hAnsi="Times New Roman" w:eastAsia="方正仿宋_GBK"/>
                      <w:sz w:val="20"/>
                      <w:szCs w:val="20"/>
                    </w:rPr>
                    <w:t>6770</w:t>
                  </w:r>
                </w:p>
              </w:tc>
              <w:tc>
                <w:tcPr>
                  <w:tcW w:w="879" w:type="dxa"/>
                  <w:vAlign w:val="center"/>
                </w:tcPr>
                <w:p>
                  <w:pPr>
                    <w:jc w:val="center"/>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2</w:t>
                  </w:r>
                </w:p>
              </w:tc>
              <w:tc>
                <w:tcPr>
                  <w:tcW w:w="1090" w:type="dxa"/>
                  <w:vMerge w:val="continue"/>
                  <w:vAlign w:val="center"/>
                </w:tcPr>
                <w:p>
                  <w:pPr>
                    <w:jc w:val="center"/>
                    <w:rPr>
                      <w:rFonts w:ascii="Times New Roman" w:hAnsi="Times New Roman" w:eastAsia="方正仿宋_GBK"/>
                      <w:color w:val="000000"/>
                      <w:szCs w:val="21"/>
                    </w:rPr>
                  </w:pPr>
                </w:p>
              </w:tc>
              <w:tc>
                <w:tcPr>
                  <w:tcW w:w="1012" w:type="dxa"/>
                  <w:vMerge w:val="continue"/>
                  <w:vAlign w:val="center"/>
                </w:tcPr>
                <w:p>
                  <w:pPr>
                    <w:jc w:val="center"/>
                    <w:rPr>
                      <w:rFonts w:ascii="Times New Roman" w:hAnsi="Times New Roman" w:eastAsia="方正仿宋_GBK"/>
                      <w:color w:val="000000"/>
                      <w:szCs w:val="21"/>
                    </w:rPr>
                  </w:pPr>
                </w:p>
              </w:tc>
              <w:tc>
                <w:tcPr>
                  <w:tcW w:w="127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层高5米以下</w:t>
                  </w:r>
                </w:p>
              </w:tc>
              <w:tc>
                <w:tcPr>
                  <w:tcW w:w="1558" w:type="dxa"/>
                  <w:vMerge w:val="restart"/>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砖木（砖柱砖墙、砖砖、砖墙、砖夹等）</w:t>
                  </w:r>
                </w:p>
              </w:tc>
              <w:tc>
                <w:tcPr>
                  <w:tcW w:w="1133"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划拨</w:t>
                  </w:r>
                </w:p>
              </w:tc>
              <w:tc>
                <w:tcPr>
                  <w:tcW w:w="1417" w:type="dxa"/>
                  <w:vAlign w:val="center"/>
                </w:tcPr>
                <w:p>
                  <w:pPr>
                    <w:jc w:val="center"/>
                    <w:rPr>
                      <w:rFonts w:ascii="Times New Roman" w:hAnsi="Times New Roman" w:eastAsia="方正仿宋_GBK"/>
                      <w:sz w:val="20"/>
                      <w:szCs w:val="20"/>
                    </w:rPr>
                  </w:pPr>
                  <w:r>
                    <w:rPr>
                      <w:rFonts w:ascii="Times New Roman" w:hAnsi="Times New Roman" w:eastAsia="方正仿宋_GBK"/>
                      <w:sz w:val="20"/>
                      <w:szCs w:val="20"/>
                    </w:rPr>
                    <w:t>6660</w:t>
                  </w:r>
                </w:p>
              </w:tc>
              <w:tc>
                <w:tcPr>
                  <w:tcW w:w="879" w:type="dxa"/>
                  <w:vAlign w:val="center"/>
                </w:tcPr>
                <w:p>
                  <w:pPr>
                    <w:jc w:val="center"/>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3</w:t>
                  </w:r>
                </w:p>
              </w:tc>
              <w:tc>
                <w:tcPr>
                  <w:tcW w:w="1090" w:type="dxa"/>
                  <w:vMerge w:val="continue"/>
                  <w:vAlign w:val="center"/>
                </w:tcPr>
                <w:p>
                  <w:pPr>
                    <w:jc w:val="center"/>
                    <w:rPr>
                      <w:rFonts w:ascii="Times New Roman" w:hAnsi="Times New Roman" w:eastAsia="方正仿宋_GBK"/>
                      <w:color w:val="000000"/>
                      <w:szCs w:val="21"/>
                    </w:rPr>
                  </w:pPr>
                </w:p>
              </w:tc>
              <w:tc>
                <w:tcPr>
                  <w:tcW w:w="1012" w:type="dxa"/>
                  <w:vMerge w:val="continue"/>
                  <w:vAlign w:val="center"/>
                </w:tcPr>
                <w:p>
                  <w:pPr>
                    <w:jc w:val="center"/>
                    <w:rPr>
                      <w:rFonts w:ascii="Times New Roman" w:hAnsi="Times New Roman" w:eastAsia="方正仿宋_GBK"/>
                      <w:color w:val="000000"/>
                      <w:szCs w:val="21"/>
                    </w:rPr>
                  </w:pPr>
                </w:p>
              </w:tc>
              <w:tc>
                <w:tcPr>
                  <w:tcW w:w="127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层高5（含）-12米</w:t>
                  </w:r>
                </w:p>
              </w:tc>
              <w:tc>
                <w:tcPr>
                  <w:tcW w:w="1558" w:type="dxa"/>
                  <w:vMerge w:val="continue"/>
                  <w:vAlign w:val="center"/>
                </w:tcPr>
                <w:p>
                  <w:pPr>
                    <w:jc w:val="center"/>
                    <w:rPr>
                      <w:rFonts w:ascii="Times New Roman" w:hAnsi="Times New Roman" w:eastAsia="方正仿宋_GBK"/>
                      <w:color w:val="000000"/>
                      <w:szCs w:val="21"/>
                    </w:rPr>
                  </w:pPr>
                </w:p>
              </w:tc>
              <w:tc>
                <w:tcPr>
                  <w:tcW w:w="1133"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划拨</w:t>
                  </w:r>
                </w:p>
              </w:tc>
              <w:tc>
                <w:tcPr>
                  <w:tcW w:w="1417" w:type="dxa"/>
                  <w:vAlign w:val="center"/>
                </w:tcPr>
                <w:p>
                  <w:pPr>
                    <w:jc w:val="center"/>
                    <w:rPr>
                      <w:rFonts w:ascii="Times New Roman" w:hAnsi="Times New Roman" w:eastAsia="方正仿宋_GBK"/>
                      <w:sz w:val="20"/>
                      <w:szCs w:val="20"/>
                    </w:rPr>
                  </w:pPr>
                  <w:r>
                    <w:rPr>
                      <w:rFonts w:ascii="Times New Roman" w:hAnsi="Times New Roman" w:eastAsia="方正仿宋_GBK"/>
                      <w:sz w:val="20"/>
                      <w:szCs w:val="20"/>
                    </w:rPr>
                    <w:t>6730</w:t>
                  </w:r>
                </w:p>
              </w:tc>
              <w:tc>
                <w:tcPr>
                  <w:tcW w:w="879" w:type="dxa"/>
                  <w:vAlign w:val="center"/>
                </w:tcPr>
                <w:p>
                  <w:pPr>
                    <w:jc w:val="center"/>
                    <w:rPr>
                      <w:rFonts w:ascii="Times New Roman" w:hAnsi="Times New Roman"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4</w:t>
                  </w:r>
                </w:p>
              </w:tc>
              <w:tc>
                <w:tcPr>
                  <w:tcW w:w="1090" w:type="dxa"/>
                  <w:vMerge w:val="continue"/>
                  <w:vAlign w:val="center"/>
                </w:tcPr>
                <w:p>
                  <w:pPr>
                    <w:jc w:val="center"/>
                    <w:rPr>
                      <w:rFonts w:ascii="Times New Roman" w:hAnsi="Times New Roman" w:eastAsia="方正仿宋_GBK"/>
                      <w:color w:val="000000"/>
                      <w:szCs w:val="21"/>
                    </w:rPr>
                  </w:pPr>
                </w:p>
              </w:tc>
              <w:tc>
                <w:tcPr>
                  <w:tcW w:w="1012" w:type="dxa"/>
                  <w:vMerge w:val="continue"/>
                  <w:vAlign w:val="center"/>
                </w:tcPr>
                <w:p>
                  <w:pPr>
                    <w:jc w:val="center"/>
                    <w:rPr>
                      <w:rFonts w:ascii="Times New Roman" w:hAnsi="Times New Roman" w:eastAsia="方正仿宋_GBK"/>
                      <w:color w:val="000000"/>
                      <w:szCs w:val="21"/>
                    </w:rPr>
                  </w:pPr>
                </w:p>
              </w:tc>
              <w:tc>
                <w:tcPr>
                  <w:tcW w:w="1277"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层高5米以下</w:t>
                  </w:r>
                </w:p>
              </w:tc>
              <w:tc>
                <w:tcPr>
                  <w:tcW w:w="1558"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简易（穿逗、土墙、木捆绑等）</w:t>
                  </w:r>
                </w:p>
              </w:tc>
              <w:tc>
                <w:tcPr>
                  <w:tcW w:w="1133" w:type="dxa"/>
                  <w:vAlign w:val="center"/>
                </w:tcPr>
                <w:p>
                  <w:pPr>
                    <w:jc w:val="center"/>
                    <w:rPr>
                      <w:rFonts w:ascii="Times New Roman" w:hAnsi="Times New Roman" w:eastAsia="方正仿宋_GBK"/>
                      <w:color w:val="000000"/>
                      <w:szCs w:val="21"/>
                    </w:rPr>
                  </w:pPr>
                  <w:r>
                    <w:rPr>
                      <w:rFonts w:ascii="Times New Roman" w:hAnsi="Times New Roman" w:eastAsia="方正仿宋_GBK"/>
                      <w:color w:val="000000"/>
                      <w:szCs w:val="21"/>
                    </w:rPr>
                    <w:t>划拨</w:t>
                  </w:r>
                </w:p>
              </w:tc>
              <w:tc>
                <w:tcPr>
                  <w:tcW w:w="1417" w:type="dxa"/>
                  <w:vAlign w:val="center"/>
                </w:tcPr>
                <w:p>
                  <w:pPr>
                    <w:jc w:val="center"/>
                    <w:rPr>
                      <w:rFonts w:ascii="Times New Roman" w:hAnsi="Times New Roman" w:eastAsia="方正仿宋_GBK"/>
                      <w:sz w:val="20"/>
                      <w:szCs w:val="20"/>
                    </w:rPr>
                  </w:pPr>
                  <w:r>
                    <w:rPr>
                      <w:rFonts w:ascii="Times New Roman" w:hAnsi="Times New Roman" w:eastAsia="方正仿宋_GBK"/>
                      <w:sz w:val="20"/>
                      <w:szCs w:val="20"/>
                    </w:rPr>
                    <w:t>6550</w:t>
                  </w:r>
                </w:p>
              </w:tc>
              <w:tc>
                <w:tcPr>
                  <w:tcW w:w="879" w:type="dxa"/>
                  <w:vAlign w:val="center"/>
                </w:tcPr>
                <w:p>
                  <w:pPr>
                    <w:jc w:val="center"/>
                    <w:rPr>
                      <w:rFonts w:ascii="Times New Roman" w:hAnsi="Times New Roman" w:eastAsia="方正仿宋_GBK"/>
                      <w:color w:val="000000"/>
                      <w:szCs w:val="21"/>
                    </w:rPr>
                  </w:pPr>
                </w:p>
              </w:tc>
            </w:tr>
          </w:tbl>
          <w:p>
            <w:pPr>
              <w:widowControl/>
              <w:jc w:val="center"/>
              <w:rPr>
                <w:rFonts w:ascii="楷体" w:hAnsi="楷体" w:eastAsia="楷体" w:cs="宋体"/>
                <w:b/>
                <w:bCs/>
                <w:kern w:val="0"/>
                <w:sz w:val="28"/>
                <w:szCs w:val="28"/>
              </w:rPr>
            </w:pPr>
          </w:p>
        </w:tc>
      </w:tr>
      <w:tr>
        <w:tblPrEx>
          <w:tblCellMar>
            <w:top w:w="0" w:type="dxa"/>
            <w:left w:w="108" w:type="dxa"/>
            <w:bottom w:w="0" w:type="dxa"/>
            <w:right w:w="108" w:type="dxa"/>
          </w:tblCellMar>
        </w:tblPrEx>
        <w:trPr>
          <w:gridBefore w:val="1"/>
          <w:wBefore w:w="232" w:type="dxa"/>
          <w:trHeight w:val="375" w:hRule="atLeast"/>
        </w:trPr>
        <w:tc>
          <w:tcPr>
            <w:tcW w:w="9101" w:type="dxa"/>
            <w:gridSpan w:val="2"/>
            <w:tcBorders>
              <w:top w:val="nil"/>
              <w:left w:val="nil"/>
              <w:bottom w:val="nil"/>
              <w:right w:val="nil"/>
            </w:tcBorders>
            <w:noWrap/>
            <w:vAlign w:val="bottom"/>
          </w:tcPr>
          <w:p>
            <w:pPr>
              <w:widowControl/>
              <w:jc w:val="left"/>
              <w:rPr>
                <w:rFonts w:ascii="楷体" w:hAnsi="楷体" w:eastAsia="楷体" w:cs="宋体"/>
                <w:b/>
                <w:bCs/>
                <w:kern w:val="0"/>
                <w:sz w:val="28"/>
                <w:szCs w:val="28"/>
              </w:rPr>
            </w:pPr>
          </w:p>
        </w:tc>
      </w:tr>
      <w:tr>
        <w:tblPrEx>
          <w:tblCellMar>
            <w:top w:w="0" w:type="dxa"/>
            <w:left w:w="108" w:type="dxa"/>
            <w:bottom w:w="0" w:type="dxa"/>
            <w:right w:w="108" w:type="dxa"/>
          </w:tblCellMar>
        </w:tblPrEx>
        <w:trPr>
          <w:gridAfter w:val="1"/>
          <w:wAfter w:w="104" w:type="dxa"/>
          <w:trHeight w:val="345" w:hRule="atLeast"/>
        </w:trPr>
        <w:tc>
          <w:tcPr>
            <w:tcW w:w="9229" w:type="dxa"/>
            <w:gridSpan w:val="2"/>
            <w:tcBorders>
              <w:top w:val="nil"/>
              <w:left w:val="nil"/>
              <w:bottom w:val="nil"/>
              <w:right w:val="nil"/>
            </w:tcBorders>
            <w:noWrap/>
            <w:vAlign w:val="bottom"/>
          </w:tcPr>
          <w:p>
            <w:pPr>
              <w:widowControl/>
              <w:jc w:val="center"/>
              <w:rPr>
                <w:rFonts w:hint="eastAsia" w:ascii="方正黑体_GBK" w:hAnsi="楷体" w:eastAsia="方正黑体_GBK" w:cs="宋体"/>
                <w:bCs/>
                <w:kern w:val="0"/>
                <w:sz w:val="28"/>
                <w:szCs w:val="28"/>
              </w:rPr>
            </w:pPr>
            <w:r>
              <w:rPr>
                <w:rFonts w:hint="eastAsia" w:ascii="方正黑体_GBK" w:hAnsi="楷体" w:eastAsia="方正黑体_GBK" w:cs="宋体"/>
                <w:bCs/>
                <w:kern w:val="0"/>
                <w:sz w:val="28"/>
                <w:szCs w:val="28"/>
              </w:rPr>
              <w:t>（三）商业用房预评估单价明细表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090"/>
              <w:gridCol w:w="1153"/>
              <w:gridCol w:w="1136"/>
              <w:gridCol w:w="1558"/>
              <w:gridCol w:w="1133"/>
              <w:gridCol w:w="1417"/>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7" w:type="dxa"/>
                  <w:vAlign w:val="center"/>
                </w:tcPr>
                <w:p>
                  <w:pPr>
                    <w:jc w:val="center"/>
                    <w:rPr>
                      <w:rFonts w:ascii="楷体" w:hAnsi="楷体" w:eastAsia="楷体" w:cs="宋体"/>
                      <w:color w:val="000000"/>
                      <w:szCs w:val="21"/>
                    </w:rPr>
                  </w:pPr>
                  <w:r>
                    <w:rPr>
                      <w:rFonts w:hint="eastAsia" w:ascii="楷体" w:hAnsi="楷体" w:eastAsia="楷体"/>
                      <w:color w:val="000000"/>
                      <w:szCs w:val="21"/>
                    </w:rPr>
                    <w:t>序号</w:t>
                  </w:r>
                </w:p>
              </w:tc>
              <w:tc>
                <w:tcPr>
                  <w:tcW w:w="1090" w:type="dxa"/>
                  <w:vAlign w:val="center"/>
                </w:tcPr>
                <w:p>
                  <w:pPr>
                    <w:jc w:val="center"/>
                    <w:rPr>
                      <w:rFonts w:ascii="楷体" w:hAnsi="楷体" w:eastAsia="楷体" w:cs="宋体"/>
                      <w:color w:val="000000"/>
                      <w:szCs w:val="21"/>
                    </w:rPr>
                  </w:pPr>
                  <w:r>
                    <w:rPr>
                      <w:rFonts w:hint="eastAsia" w:ascii="楷体" w:hAnsi="楷体" w:eastAsia="楷体"/>
                      <w:color w:val="000000"/>
                      <w:szCs w:val="21"/>
                    </w:rPr>
                    <w:t>房屋用途</w:t>
                  </w:r>
                </w:p>
              </w:tc>
              <w:tc>
                <w:tcPr>
                  <w:tcW w:w="1153" w:type="dxa"/>
                  <w:vAlign w:val="center"/>
                </w:tcPr>
                <w:p>
                  <w:pPr>
                    <w:jc w:val="center"/>
                    <w:rPr>
                      <w:rFonts w:ascii="楷体" w:hAnsi="楷体" w:eastAsia="楷体" w:cs="宋体"/>
                      <w:color w:val="000000"/>
                      <w:szCs w:val="21"/>
                    </w:rPr>
                  </w:pPr>
                  <w:r>
                    <w:rPr>
                      <w:rFonts w:hint="eastAsia" w:ascii="楷体" w:hAnsi="楷体" w:eastAsia="楷体"/>
                      <w:color w:val="000000"/>
                      <w:szCs w:val="21"/>
                    </w:rPr>
                    <w:t>临街状况</w:t>
                  </w:r>
                </w:p>
              </w:tc>
              <w:tc>
                <w:tcPr>
                  <w:tcW w:w="1136" w:type="dxa"/>
                  <w:vAlign w:val="center"/>
                </w:tcPr>
                <w:p>
                  <w:pPr>
                    <w:jc w:val="center"/>
                    <w:rPr>
                      <w:rFonts w:ascii="楷体" w:hAnsi="楷体" w:eastAsia="楷体" w:cs="宋体"/>
                      <w:color w:val="000000"/>
                      <w:szCs w:val="21"/>
                    </w:rPr>
                  </w:pPr>
                  <w:r>
                    <w:rPr>
                      <w:rFonts w:hint="eastAsia" w:ascii="楷体" w:hAnsi="楷体" w:eastAsia="楷体" w:cs="宋体"/>
                      <w:color w:val="000000"/>
                      <w:szCs w:val="21"/>
                    </w:rPr>
                    <w:t>所在楼层</w:t>
                  </w:r>
                </w:p>
              </w:tc>
              <w:tc>
                <w:tcPr>
                  <w:tcW w:w="1558" w:type="dxa"/>
                  <w:vAlign w:val="center"/>
                </w:tcPr>
                <w:p>
                  <w:pPr>
                    <w:jc w:val="center"/>
                    <w:rPr>
                      <w:rFonts w:ascii="楷体" w:hAnsi="楷体" w:eastAsia="楷体" w:cs="宋体"/>
                      <w:color w:val="000000"/>
                      <w:szCs w:val="21"/>
                    </w:rPr>
                  </w:pPr>
                  <w:r>
                    <w:rPr>
                      <w:rFonts w:hint="eastAsia" w:ascii="楷体" w:hAnsi="楷体" w:eastAsia="楷体"/>
                      <w:color w:val="000000"/>
                      <w:szCs w:val="21"/>
                    </w:rPr>
                    <w:t>房屋结构</w:t>
                  </w:r>
                </w:p>
              </w:tc>
              <w:tc>
                <w:tcPr>
                  <w:tcW w:w="1133" w:type="dxa"/>
                  <w:vAlign w:val="center"/>
                </w:tcPr>
                <w:p>
                  <w:pPr>
                    <w:jc w:val="center"/>
                    <w:rPr>
                      <w:rFonts w:ascii="楷体" w:hAnsi="楷体" w:eastAsia="楷体" w:cs="宋体"/>
                      <w:color w:val="000000"/>
                      <w:szCs w:val="21"/>
                    </w:rPr>
                  </w:pPr>
                  <w:r>
                    <w:rPr>
                      <w:rFonts w:hint="eastAsia" w:ascii="楷体" w:hAnsi="楷体" w:eastAsia="楷体"/>
                      <w:color w:val="000000"/>
                      <w:szCs w:val="21"/>
                    </w:rPr>
                    <w:t>土地使用权类型</w:t>
                  </w:r>
                </w:p>
              </w:tc>
              <w:tc>
                <w:tcPr>
                  <w:tcW w:w="1417" w:type="dxa"/>
                  <w:vAlign w:val="center"/>
                </w:tcPr>
                <w:p>
                  <w:pPr>
                    <w:jc w:val="center"/>
                    <w:rPr>
                      <w:rFonts w:ascii="楷体" w:hAnsi="楷体" w:eastAsia="楷体" w:cs="宋体"/>
                      <w:szCs w:val="21"/>
                    </w:rPr>
                  </w:pPr>
                  <w:r>
                    <w:rPr>
                      <w:rFonts w:hint="eastAsia" w:ascii="楷体" w:hAnsi="楷体" w:eastAsia="楷体"/>
                      <w:szCs w:val="21"/>
                    </w:rPr>
                    <w:t>预评估单价</w:t>
                  </w:r>
                  <w:r>
                    <w:rPr>
                      <w:rFonts w:hint="eastAsia" w:ascii="楷体" w:hAnsi="楷体" w:eastAsia="楷体"/>
                      <w:szCs w:val="21"/>
                    </w:rPr>
                    <w:br w:type="textWrapping"/>
                  </w:r>
                  <w:r>
                    <w:rPr>
                      <w:rFonts w:hint="eastAsia" w:ascii="楷体" w:hAnsi="楷体" w:eastAsia="楷体"/>
                      <w:szCs w:val="21"/>
                    </w:rPr>
                    <w:t>（元/㎡）</w:t>
                  </w:r>
                </w:p>
              </w:tc>
              <w:tc>
                <w:tcPr>
                  <w:tcW w:w="879" w:type="dxa"/>
                  <w:vAlign w:val="center"/>
                </w:tcPr>
                <w:p>
                  <w:pPr>
                    <w:jc w:val="center"/>
                    <w:rPr>
                      <w:rFonts w:ascii="楷体" w:hAnsi="楷体" w:eastAsia="楷体" w:cs="宋体"/>
                      <w:color w:val="000000"/>
                      <w:szCs w:val="21"/>
                    </w:rPr>
                  </w:pPr>
                  <w:r>
                    <w:rPr>
                      <w:rFonts w:hint="eastAsia" w:ascii="楷体" w:hAnsi="楷体" w:eastAsia="楷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37" w:type="dxa"/>
                  <w:vAlign w:val="center"/>
                </w:tcPr>
                <w:p>
                  <w:pPr>
                    <w:jc w:val="center"/>
                    <w:rPr>
                      <w:rFonts w:ascii="楷体" w:hAnsi="楷体" w:eastAsia="楷体"/>
                      <w:color w:val="000000"/>
                      <w:szCs w:val="21"/>
                    </w:rPr>
                  </w:pPr>
                  <w:r>
                    <w:rPr>
                      <w:rFonts w:hint="eastAsia" w:ascii="楷体" w:hAnsi="楷体" w:eastAsia="楷体"/>
                      <w:color w:val="000000"/>
                      <w:szCs w:val="21"/>
                    </w:rPr>
                    <w:t>1</w:t>
                  </w:r>
                </w:p>
              </w:tc>
              <w:tc>
                <w:tcPr>
                  <w:tcW w:w="1090" w:type="dxa"/>
                  <w:vAlign w:val="center"/>
                </w:tcPr>
                <w:p>
                  <w:pPr>
                    <w:jc w:val="center"/>
                    <w:rPr>
                      <w:rFonts w:ascii="楷体" w:hAnsi="楷体" w:eastAsia="楷体" w:cs="宋体"/>
                      <w:color w:val="000000"/>
                      <w:szCs w:val="21"/>
                    </w:rPr>
                  </w:pPr>
                  <w:r>
                    <w:rPr>
                      <w:rFonts w:hint="eastAsia" w:ascii="楷体" w:hAnsi="楷体" w:eastAsia="楷体" w:cs="宋体"/>
                      <w:color w:val="000000"/>
                      <w:szCs w:val="21"/>
                    </w:rPr>
                    <w:t>商业门面</w:t>
                  </w:r>
                </w:p>
              </w:tc>
              <w:tc>
                <w:tcPr>
                  <w:tcW w:w="1153" w:type="dxa"/>
                  <w:vAlign w:val="center"/>
                </w:tcPr>
                <w:p>
                  <w:pPr>
                    <w:jc w:val="center"/>
                    <w:rPr>
                      <w:rFonts w:ascii="楷体" w:hAnsi="楷体" w:eastAsia="楷体"/>
                      <w:color w:val="000000"/>
                      <w:szCs w:val="21"/>
                    </w:rPr>
                  </w:pPr>
                  <w:r>
                    <w:rPr>
                      <w:rFonts w:hint="eastAsia" w:ascii="楷体" w:hAnsi="楷体" w:eastAsia="楷体"/>
                      <w:color w:val="000000"/>
                      <w:szCs w:val="21"/>
                    </w:rPr>
                    <w:t>临磁器口后街步道</w:t>
                  </w:r>
                </w:p>
              </w:tc>
              <w:tc>
                <w:tcPr>
                  <w:tcW w:w="1136" w:type="dxa"/>
                  <w:vAlign w:val="center"/>
                </w:tcPr>
                <w:p>
                  <w:pPr>
                    <w:jc w:val="center"/>
                    <w:rPr>
                      <w:rFonts w:ascii="楷体" w:hAnsi="楷体" w:eastAsia="楷体"/>
                      <w:color w:val="000000"/>
                      <w:szCs w:val="21"/>
                    </w:rPr>
                  </w:pPr>
                  <w:r>
                    <w:rPr>
                      <w:rFonts w:hint="eastAsia" w:ascii="楷体" w:hAnsi="楷体" w:eastAsia="楷体"/>
                      <w:color w:val="000000"/>
                      <w:szCs w:val="21"/>
                    </w:rPr>
                    <w:t>1</w:t>
                  </w:r>
                </w:p>
              </w:tc>
              <w:tc>
                <w:tcPr>
                  <w:tcW w:w="1558" w:type="dxa"/>
                  <w:vAlign w:val="center"/>
                </w:tcPr>
                <w:p>
                  <w:pPr>
                    <w:jc w:val="center"/>
                    <w:rPr>
                      <w:rFonts w:ascii="楷体" w:hAnsi="楷体" w:eastAsia="楷体"/>
                      <w:color w:val="000000"/>
                      <w:szCs w:val="21"/>
                    </w:rPr>
                  </w:pPr>
                  <w:r>
                    <w:rPr>
                      <w:rFonts w:hint="eastAsia" w:ascii="楷体" w:hAnsi="楷体" w:eastAsia="楷体"/>
                      <w:color w:val="000000"/>
                      <w:szCs w:val="21"/>
                    </w:rPr>
                    <w:t>混合（砖混、钢混）</w:t>
                  </w:r>
                </w:p>
              </w:tc>
              <w:tc>
                <w:tcPr>
                  <w:tcW w:w="1133" w:type="dxa"/>
                  <w:vAlign w:val="center"/>
                </w:tcPr>
                <w:p>
                  <w:pPr>
                    <w:jc w:val="center"/>
                    <w:rPr>
                      <w:rFonts w:ascii="楷体" w:hAnsi="楷体" w:eastAsia="楷体"/>
                      <w:color w:val="000000"/>
                      <w:szCs w:val="21"/>
                    </w:rPr>
                  </w:pPr>
                  <w:r>
                    <w:rPr>
                      <w:rFonts w:hint="eastAsia" w:ascii="楷体" w:hAnsi="楷体" w:eastAsia="楷体" w:cs="宋体"/>
                      <w:color w:val="000000"/>
                      <w:szCs w:val="21"/>
                    </w:rPr>
                    <w:t>划拨</w:t>
                  </w:r>
                </w:p>
              </w:tc>
              <w:tc>
                <w:tcPr>
                  <w:tcW w:w="1417" w:type="dxa"/>
                  <w:vAlign w:val="center"/>
                </w:tcPr>
                <w:p>
                  <w:pPr>
                    <w:jc w:val="center"/>
                    <w:rPr>
                      <w:rFonts w:ascii="宋体" w:hAnsi="宋体" w:cs="宋体"/>
                      <w:sz w:val="20"/>
                      <w:szCs w:val="20"/>
                    </w:rPr>
                  </w:pPr>
                  <w:r>
                    <w:rPr>
                      <w:rFonts w:hint="eastAsia"/>
                      <w:sz w:val="20"/>
                      <w:szCs w:val="20"/>
                    </w:rPr>
                    <w:t>48390</w:t>
                  </w:r>
                </w:p>
              </w:tc>
              <w:tc>
                <w:tcPr>
                  <w:tcW w:w="879" w:type="dxa"/>
                  <w:vAlign w:val="center"/>
                </w:tcPr>
                <w:p>
                  <w:pPr>
                    <w:jc w:val="cente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37" w:type="dxa"/>
                  <w:vAlign w:val="center"/>
                </w:tcPr>
                <w:p>
                  <w:pPr>
                    <w:jc w:val="center"/>
                    <w:rPr>
                      <w:rFonts w:ascii="楷体" w:hAnsi="楷体" w:eastAsia="楷体"/>
                      <w:color w:val="000000"/>
                      <w:szCs w:val="21"/>
                    </w:rPr>
                  </w:pPr>
                  <w:r>
                    <w:rPr>
                      <w:rFonts w:hint="eastAsia" w:ascii="楷体" w:hAnsi="楷体" w:eastAsia="楷体"/>
                      <w:color w:val="000000"/>
                      <w:szCs w:val="21"/>
                    </w:rPr>
                    <w:t>2</w:t>
                  </w:r>
                </w:p>
              </w:tc>
              <w:tc>
                <w:tcPr>
                  <w:tcW w:w="1090" w:type="dxa"/>
                  <w:vAlign w:val="center"/>
                </w:tcPr>
                <w:p>
                  <w:pPr>
                    <w:jc w:val="center"/>
                    <w:rPr>
                      <w:rFonts w:ascii="楷体" w:hAnsi="楷体" w:eastAsia="楷体" w:cs="宋体"/>
                      <w:color w:val="000000"/>
                      <w:szCs w:val="21"/>
                    </w:rPr>
                  </w:pPr>
                  <w:r>
                    <w:rPr>
                      <w:rFonts w:hint="eastAsia" w:ascii="楷体" w:hAnsi="楷体" w:eastAsia="楷体" w:cs="宋体"/>
                      <w:color w:val="000000"/>
                      <w:szCs w:val="21"/>
                    </w:rPr>
                    <w:t>商业门面</w:t>
                  </w:r>
                </w:p>
              </w:tc>
              <w:tc>
                <w:tcPr>
                  <w:tcW w:w="1153" w:type="dxa"/>
                  <w:vAlign w:val="center"/>
                </w:tcPr>
                <w:p>
                  <w:pPr>
                    <w:jc w:val="center"/>
                    <w:rPr>
                      <w:rFonts w:ascii="楷体" w:hAnsi="楷体" w:eastAsia="楷体"/>
                      <w:color w:val="000000"/>
                      <w:szCs w:val="21"/>
                    </w:rPr>
                  </w:pPr>
                  <w:r>
                    <w:rPr>
                      <w:rFonts w:hint="eastAsia" w:ascii="楷体" w:hAnsi="楷体" w:eastAsia="楷体"/>
                      <w:color w:val="000000"/>
                      <w:szCs w:val="21"/>
                    </w:rPr>
                    <w:t>临磁器口后街步道</w:t>
                  </w:r>
                </w:p>
              </w:tc>
              <w:tc>
                <w:tcPr>
                  <w:tcW w:w="1136" w:type="dxa"/>
                  <w:vAlign w:val="center"/>
                </w:tcPr>
                <w:p>
                  <w:pPr>
                    <w:jc w:val="center"/>
                    <w:rPr>
                      <w:rFonts w:ascii="楷体" w:hAnsi="楷体" w:eastAsia="楷体"/>
                      <w:color w:val="000000"/>
                      <w:szCs w:val="21"/>
                    </w:rPr>
                  </w:pPr>
                  <w:r>
                    <w:rPr>
                      <w:rFonts w:hint="eastAsia" w:ascii="楷体" w:hAnsi="楷体" w:eastAsia="楷体"/>
                      <w:color w:val="000000"/>
                      <w:szCs w:val="21"/>
                    </w:rPr>
                    <w:t>1</w:t>
                  </w:r>
                </w:p>
              </w:tc>
              <w:tc>
                <w:tcPr>
                  <w:tcW w:w="1558" w:type="dxa"/>
                  <w:vAlign w:val="center"/>
                </w:tcPr>
                <w:p>
                  <w:pPr>
                    <w:jc w:val="center"/>
                    <w:rPr>
                      <w:rFonts w:ascii="楷体" w:hAnsi="楷体" w:eastAsia="楷体"/>
                      <w:color w:val="000000"/>
                      <w:szCs w:val="21"/>
                    </w:rPr>
                  </w:pPr>
                  <w:r>
                    <w:rPr>
                      <w:rFonts w:hint="eastAsia" w:ascii="楷体" w:hAnsi="楷体" w:eastAsia="楷体"/>
                      <w:color w:val="000000"/>
                      <w:szCs w:val="21"/>
                    </w:rPr>
                    <w:t>砖木（砖柱砖墙、砖砖、砖墙、砖夹等）</w:t>
                  </w:r>
                </w:p>
              </w:tc>
              <w:tc>
                <w:tcPr>
                  <w:tcW w:w="1133" w:type="dxa"/>
                  <w:vAlign w:val="center"/>
                </w:tcPr>
                <w:p>
                  <w:pPr>
                    <w:jc w:val="center"/>
                    <w:rPr>
                      <w:rFonts w:ascii="楷体" w:hAnsi="楷体" w:eastAsia="楷体" w:cs="宋体"/>
                      <w:color w:val="000000"/>
                      <w:szCs w:val="21"/>
                    </w:rPr>
                  </w:pPr>
                  <w:r>
                    <w:rPr>
                      <w:rFonts w:hint="eastAsia" w:ascii="楷体" w:hAnsi="楷体" w:eastAsia="楷体" w:cs="宋体"/>
                      <w:color w:val="000000"/>
                      <w:szCs w:val="21"/>
                    </w:rPr>
                    <w:t>划拨</w:t>
                  </w:r>
                </w:p>
              </w:tc>
              <w:tc>
                <w:tcPr>
                  <w:tcW w:w="1417" w:type="dxa"/>
                  <w:vAlign w:val="center"/>
                </w:tcPr>
                <w:p>
                  <w:pPr>
                    <w:widowControl/>
                    <w:jc w:val="center"/>
                    <w:textAlignment w:val="bottom"/>
                    <w:rPr>
                      <w:sz w:val="20"/>
                      <w:szCs w:val="20"/>
                    </w:rPr>
                  </w:pPr>
                  <w:r>
                    <w:rPr>
                      <w:rFonts w:hint="eastAsia" w:ascii="宋体" w:hAnsi="宋体" w:cs="宋体"/>
                      <w:color w:val="000000"/>
                      <w:kern w:val="0"/>
                      <w:sz w:val="20"/>
                      <w:szCs w:val="20"/>
                    </w:rPr>
                    <w:t>47590</w:t>
                  </w:r>
                </w:p>
              </w:tc>
              <w:tc>
                <w:tcPr>
                  <w:tcW w:w="879" w:type="dxa"/>
                  <w:vAlign w:val="center"/>
                </w:tcPr>
                <w:p>
                  <w:pPr>
                    <w:jc w:val="center"/>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37" w:type="dxa"/>
                  <w:vAlign w:val="center"/>
                </w:tcPr>
                <w:p>
                  <w:pPr>
                    <w:jc w:val="center"/>
                    <w:rPr>
                      <w:rFonts w:ascii="楷体" w:hAnsi="楷体" w:eastAsia="楷体"/>
                      <w:color w:val="000000"/>
                      <w:szCs w:val="21"/>
                    </w:rPr>
                  </w:pPr>
                  <w:r>
                    <w:rPr>
                      <w:rFonts w:hint="eastAsia" w:ascii="楷体" w:hAnsi="楷体" w:eastAsia="楷体"/>
                      <w:color w:val="000000"/>
                      <w:szCs w:val="21"/>
                    </w:rPr>
                    <w:t>3</w:t>
                  </w:r>
                </w:p>
              </w:tc>
              <w:tc>
                <w:tcPr>
                  <w:tcW w:w="1090" w:type="dxa"/>
                  <w:vAlign w:val="center"/>
                </w:tcPr>
                <w:p>
                  <w:pPr>
                    <w:jc w:val="center"/>
                    <w:rPr>
                      <w:rFonts w:ascii="楷体" w:hAnsi="楷体" w:eastAsia="楷体" w:cs="宋体"/>
                      <w:color w:val="000000"/>
                      <w:szCs w:val="21"/>
                    </w:rPr>
                  </w:pPr>
                  <w:r>
                    <w:rPr>
                      <w:rFonts w:hint="eastAsia" w:ascii="楷体" w:hAnsi="楷体" w:eastAsia="楷体" w:cs="宋体"/>
                      <w:color w:val="000000"/>
                      <w:szCs w:val="21"/>
                    </w:rPr>
                    <w:t>商业门面</w:t>
                  </w:r>
                </w:p>
              </w:tc>
              <w:tc>
                <w:tcPr>
                  <w:tcW w:w="1153" w:type="dxa"/>
                  <w:vAlign w:val="center"/>
                </w:tcPr>
                <w:p>
                  <w:pPr>
                    <w:jc w:val="center"/>
                    <w:rPr>
                      <w:rFonts w:ascii="楷体" w:hAnsi="楷体" w:eastAsia="楷体"/>
                      <w:color w:val="000000"/>
                      <w:szCs w:val="21"/>
                    </w:rPr>
                  </w:pPr>
                  <w:r>
                    <w:rPr>
                      <w:rFonts w:hint="eastAsia" w:ascii="楷体" w:hAnsi="楷体" w:eastAsia="楷体"/>
                      <w:color w:val="000000"/>
                      <w:szCs w:val="21"/>
                    </w:rPr>
                    <w:t>临磁器口后街步道</w:t>
                  </w:r>
                </w:p>
              </w:tc>
              <w:tc>
                <w:tcPr>
                  <w:tcW w:w="1136" w:type="dxa"/>
                  <w:vAlign w:val="center"/>
                </w:tcPr>
                <w:p>
                  <w:pPr>
                    <w:jc w:val="center"/>
                    <w:rPr>
                      <w:rFonts w:ascii="楷体" w:hAnsi="楷体" w:eastAsia="楷体"/>
                      <w:color w:val="000000"/>
                      <w:szCs w:val="21"/>
                    </w:rPr>
                  </w:pPr>
                  <w:r>
                    <w:rPr>
                      <w:rFonts w:hint="eastAsia" w:ascii="楷体" w:hAnsi="楷体" w:eastAsia="楷体"/>
                      <w:color w:val="000000"/>
                      <w:szCs w:val="21"/>
                    </w:rPr>
                    <w:t>1</w:t>
                  </w:r>
                </w:p>
              </w:tc>
              <w:tc>
                <w:tcPr>
                  <w:tcW w:w="1558" w:type="dxa"/>
                  <w:vAlign w:val="center"/>
                </w:tcPr>
                <w:p>
                  <w:pPr>
                    <w:jc w:val="center"/>
                    <w:rPr>
                      <w:rFonts w:ascii="楷体" w:hAnsi="楷体" w:eastAsia="楷体"/>
                      <w:color w:val="000000"/>
                      <w:szCs w:val="21"/>
                    </w:rPr>
                  </w:pPr>
                  <w:r>
                    <w:rPr>
                      <w:rFonts w:hint="eastAsia" w:ascii="楷体" w:hAnsi="楷体" w:eastAsia="楷体"/>
                      <w:color w:val="000000"/>
                      <w:szCs w:val="21"/>
                    </w:rPr>
                    <w:t>简易（穿逗、土墙、木捆绑等）</w:t>
                  </w:r>
                </w:p>
              </w:tc>
              <w:tc>
                <w:tcPr>
                  <w:tcW w:w="1133" w:type="dxa"/>
                  <w:vAlign w:val="center"/>
                </w:tcPr>
                <w:p>
                  <w:pPr>
                    <w:jc w:val="center"/>
                    <w:rPr>
                      <w:rFonts w:ascii="楷体" w:hAnsi="楷体" w:eastAsia="楷体" w:cs="宋体"/>
                      <w:color w:val="000000"/>
                      <w:szCs w:val="21"/>
                    </w:rPr>
                  </w:pPr>
                  <w:r>
                    <w:rPr>
                      <w:rFonts w:hint="eastAsia" w:ascii="楷体" w:hAnsi="楷体" w:eastAsia="楷体" w:cs="宋体"/>
                      <w:color w:val="000000"/>
                      <w:szCs w:val="21"/>
                    </w:rPr>
                    <w:t>划拨</w:t>
                  </w:r>
                </w:p>
              </w:tc>
              <w:tc>
                <w:tcPr>
                  <w:tcW w:w="1417" w:type="dxa"/>
                  <w:vAlign w:val="center"/>
                </w:tcPr>
                <w:p>
                  <w:pPr>
                    <w:widowControl/>
                    <w:jc w:val="center"/>
                    <w:textAlignment w:val="bottom"/>
                    <w:rPr>
                      <w:sz w:val="20"/>
                      <w:szCs w:val="20"/>
                    </w:rPr>
                  </w:pPr>
                  <w:r>
                    <w:rPr>
                      <w:rFonts w:hint="eastAsia" w:ascii="宋体" w:hAnsi="宋体" w:cs="宋体"/>
                      <w:color w:val="000000"/>
                      <w:kern w:val="0"/>
                      <w:sz w:val="20"/>
                      <w:szCs w:val="20"/>
                    </w:rPr>
                    <w:t>46800</w:t>
                  </w:r>
                </w:p>
              </w:tc>
              <w:tc>
                <w:tcPr>
                  <w:tcW w:w="879" w:type="dxa"/>
                  <w:vAlign w:val="center"/>
                </w:tcPr>
                <w:p>
                  <w:pPr>
                    <w:jc w:val="center"/>
                    <w:rPr>
                      <w:rFonts w:ascii="楷体" w:hAnsi="楷体" w:eastAsia="楷体"/>
                      <w:color w:val="000000"/>
                      <w:szCs w:val="21"/>
                    </w:rPr>
                  </w:pPr>
                </w:p>
              </w:tc>
            </w:tr>
          </w:tbl>
          <w:p>
            <w:pPr>
              <w:widowControl/>
              <w:jc w:val="center"/>
              <w:rPr>
                <w:rFonts w:ascii="楷体" w:hAnsi="楷体" w:eastAsia="楷体" w:cs="宋体"/>
                <w:b/>
                <w:bCs/>
                <w:kern w:val="0"/>
                <w:sz w:val="28"/>
                <w:szCs w:val="28"/>
              </w:rPr>
            </w:pPr>
          </w:p>
        </w:tc>
      </w:tr>
    </w:tbl>
    <w:p>
      <w:pPr>
        <w:snapToGrid w:val="0"/>
        <w:contextualSpacing/>
        <w:rPr>
          <w:rFonts w:ascii="方正楷体_GBK" w:hAnsi="方正楷体_GBK" w:eastAsia="方正楷体_GBK" w:cs="方正楷体_GBK"/>
          <w:color w:val="000000"/>
          <w:szCs w:val="21"/>
        </w:rPr>
      </w:pPr>
    </w:p>
    <w:p>
      <w:pPr>
        <w:snapToGrid w:val="0"/>
        <w:contextualSpacing/>
        <w:rPr>
          <w:rFonts w:ascii="方正楷体_GBK" w:hAnsi="方正楷体_GBK" w:eastAsia="方正楷体_GBK" w:cs="方正楷体_GBK"/>
          <w:color w:val="000000"/>
          <w:kern w:val="0"/>
          <w:szCs w:val="21"/>
        </w:rPr>
      </w:pPr>
      <w:r>
        <w:rPr>
          <w:rFonts w:hint="eastAsia" w:ascii="方正楷体_GBK" w:hAnsi="方正楷体_GBK" w:eastAsia="方正楷体_GBK" w:cs="方正楷体_GBK"/>
          <w:color w:val="000000"/>
          <w:szCs w:val="21"/>
        </w:rPr>
        <w:t>注：1. 实际结算以评估公司出具的分户评估报告为准</w:t>
      </w:r>
    </w:p>
    <w:p>
      <w:pPr>
        <w:snapToGrid w:val="0"/>
        <w:ind w:firstLine="420" w:firstLineChars="200"/>
        <w:contextualSpacing/>
        <w:rPr>
          <w:rFonts w:ascii="方正楷体_GBK" w:hAnsi="方正楷体_GBK" w:eastAsia="方正楷体_GBK" w:cs="方正楷体_GBK"/>
          <w:color w:val="000000"/>
          <w:kern w:val="0"/>
          <w:szCs w:val="21"/>
        </w:rPr>
      </w:pPr>
      <w:r>
        <w:rPr>
          <w:rFonts w:hint="eastAsia" w:ascii="方正楷体_GBK" w:hAnsi="方正楷体_GBK" w:eastAsia="方正楷体_GBK" w:cs="方正楷体_GBK"/>
          <w:color w:val="000000"/>
          <w:szCs w:val="21"/>
        </w:rPr>
        <w:t>2. 以上价格均以建筑面积计价。</w:t>
      </w:r>
    </w:p>
    <w:p>
      <w:pPr>
        <w:snapToGrid w:val="0"/>
        <w:rPr>
          <w:rFonts w:hint="eastAsia" w:ascii="方正黑体_GBK" w:hAnsi="方正黑体_GBK" w:eastAsia="方正黑体_GBK" w:cs="方正黑体_GBK"/>
          <w:color w:val="000000"/>
          <w:sz w:val="32"/>
          <w:szCs w:val="32"/>
        </w:rPr>
      </w:pPr>
    </w:p>
    <w:p>
      <w:pPr>
        <w:snapToGrid w:val="0"/>
        <w:rPr>
          <w:rFonts w:hint="eastAsia" w:ascii="方正黑体_GBK" w:hAnsi="方正黑体_GBK" w:eastAsia="方正黑体_GBK" w:cs="方正黑体_GBK"/>
          <w:color w:val="000000"/>
          <w:sz w:val="32"/>
          <w:szCs w:val="32"/>
        </w:rPr>
      </w:pPr>
    </w:p>
    <w:p>
      <w:pPr>
        <w:snapToGrid w:val="0"/>
        <w:rPr>
          <w:rFonts w:hint="eastAsia" w:ascii="方正黑体_GBK" w:hAnsi="方正黑体_GBK" w:eastAsia="方正黑体_GBK" w:cs="方正黑体_GBK"/>
          <w:color w:val="000000"/>
          <w:sz w:val="32"/>
          <w:szCs w:val="32"/>
        </w:rPr>
      </w:pPr>
    </w:p>
    <w:p>
      <w:pPr>
        <w:snapToGrid w:val="0"/>
        <w:rPr>
          <w:rFonts w:hint="eastAsia" w:ascii="方正黑体_GBK" w:hAnsi="方正黑体_GBK" w:eastAsia="方正黑体_GBK" w:cs="方正黑体_GBK"/>
          <w:color w:val="000000"/>
          <w:sz w:val="32"/>
          <w:szCs w:val="32"/>
        </w:rPr>
      </w:pPr>
    </w:p>
    <w:p>
      <w:pPr>
        <w:snapToGrid w:val="0"/>
        <w:rPr>
          <w:rFonts w:hint="eastAsia" w:ascii="方正黑体_GBK" w:hAnsi="方正黑体_GBK" w:eastAsia="方正黑体_GBK" w:cs="方正黑体_GBK"/>
          <w:color w:val="000000"/>
          <w:sz w:val="32"/>
          <w:szCs w:val="32"/>
        </w:rPr>
      </w:pPr>
    </w:p>
    <w:p>
      <w:pPr>
        <w:snapToGrid w:val="0"/>
        <w:rPr>
          <w:rFonts w:hint="eastAsia" w:ascii="方正黑体_GBK" w:hAnsi="方正黑体_GBK" w:eastAsia="方正黑体_GBK" w:cs="方正黑体_GBK"/>
          <w:color w:val="000000"/>
          <w:sz w:val="32"/>
          <w:szCs w:val="32"/>
        </w:rPr>
      </w:pPr>
    </w:p>
    <w:p>
      <w:pPr>
        <w:snapToGrid w:val="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附表2</w:t>
      </w:r>
    </w:p>
    <w:p>
      <w:pPr>
        <w:snapToGrid w:val="0"/>
        <w:rPr>
          <w:rFonts w:ascii="Times New Roman" w:hAnsi="Times New Roman" w:eastAsia="方正仿宋简体"/>
          <w:color w:val="000000"/>
          <w:sz w:val="30"/>
          <w:szCs w:val="30"/>
        </w:rPr>
      </w:pPr>
    </w:p>
    <w:p>
      <w:pPr>
        <w:snapToGrid w:val="0"/>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马鞍山北侧道路延伸段</w:t>
      </w:r>
      <w:r>
        <w:rPr>
          <w:rFonts w:hint="eastAsia" w:ascii="方正小标宋_GBK" w:hAnsi="方正小标宋_GBK" w:eastAsia="方正小标宋_GBK" w:cs="方正小标宋_GBK"/>
          <w:color w:val="000000"/>
          <w:sz w:val="44"/>
          <w:szCs w:val="44"/>
        </w:rPr>
        <w:t>国有土地上房屋</w:t>
      </w:r>
    </w:p>
    <w:p>
      <w:pPr>
        <w:snapToGrid w:val="0"/>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征收</w:t>
      </w:r>
      <w:r>
        <w:rPr>
          <w:rFonts w:hint="eastAsia" w:ascii="方正小标宋_GBK" w:hAnsi="方正小标宋_GBK" w:eastAsia="方正小标宋_GBK" w:cs="方正小标宋_GBK"/>
          <w:color w:val="000000"/>
          <w:kern w:val="0"/>
          <w:sz w:val="44"/>
          <w:szCs w:val="44"/>
        </w:rPr>
        <w:t>相关附属设施补偿价格标准</w:t>
      </w:r>
    </w:p>
    <w:tbl>
      <w:tblPr>
        <w:tblStyle w:val="7"/>
        <w:tblW w:w="0" w:type="auto"/>
        <w:jc w:val="center"/>
        <w:tblLayout w:type="fixed"/>
        <w:tblCellMar>
          <w:top w:w="0" w:type="dxa"/>
          <w:left w:w="108" w:type="dxa"/>
          <w:bottom w:w="0" w:type="dxa"/>
          <w:right w:w="108" w:type="dxa"/>
        </w:tblCellMar>
      </w:tblPr>
      <w:tblGrid>
        <w:gridCol w:w="1301"/>
        <w:gridCol w:w="1593"/>
        <w:gridCol w:w="3169"/>
        <w:gridCol w:w="2972"/>
      </w:tblGrid>
      <w:tr>
        <w:tblPrEx>
          <w:tblCellMar>
            <w:top w:w="0" w:type="dxa"/>
            <w:left w:w="108" w:type="dxa"/>
            <w:bottom w:w="0" w:type="dxa"/>
            <w:right w:w="108" w:type="dxa"/>
          </w:tblCellMar>
        </w:tblPrEx>
        <w:trPr>
          <w:trHeight w:val="602" w:hRule="atLeast"/>
          <w:jc w:val="center"/>
        </w:trPr>
        <w:tc>
          <w:tcPr>
            <w:tcW w:w="2894" w:type="dxa"/>
            <w:gridSpan w:val="2"/>
            <w:tcBorders>
              <w:top w:val="single" w:color="auto" w:sz="12" w:space="0"/>
              <w:left w:val="single" w:color="auto" w:sz="12" w:space="0"/>
              <w:bottom w:val="single" w:color="auto" w:sz="4" w:space="0"/>
              <w:right w:val="single" w:color="auto" w:sz="4" w:space="0"/>
            </w:tcBorders>
            <w:vAlign w:val="center"/>
          </w:tcPr>
          <w:p>
            <w:pPr>
              <w:widowControl/>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补偿类别</w:t>
            </w:r>
          </w:p>
        </w:tc>
        <w:tc>
          <w:tcPr>
            <w:tcW w:w="3169" w:type="dxa"/>
            <w:tcBorders>
              <w:top w:val="single" w:color="auto" w:sz="12" w:space="0"/>
              <w:left w:val="nil"/>
              <w:bottom w:val="single" w:color="auto" w:sz="4" w:space="0"/>
              <w:right w:val="single" w:color="auto" w:sz="4" w:space="0"/>
            </w:tcBorders>
            <w:vAlign w:val="center"/>
          </w:tcPr>
          <w:p>
            <w:pPr>
              <w:widowControl/>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补偿单价</w:t>
            </w:r>
          </w:p>
        </w:tc>
        <w:tc>
          <w:tcPr>
            <w:tcW w:w="2972" w:type="dxa"/>
            <w:tcBorders>
              <w:top w:val="single" w:color="auto" w:sz="12" w:space="0"/>
              <w:left w:val="nil"/>
              <w:bottom w:val="single" w:color="auto" w:sz="4" w:space="0"/>
              <w:right w:val="single" w:color="auto" w:sz="12" w:space="0"/>
            </w:tcBorders>
            <w:vAlign w:val="center"/>
          </w:tcPr>
          <w:p>
            <w:pPr>
              <w:widowControl/>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备  注</w:t>
            </w:r>
          </w:p>
        </w:tc>
      </w:tr>
      <w:tr>
        <w:tblPrEx>
          <w:tblCellMar>
            <w:top w:w="0" w:type="dxa"/>
            <w:left w:w="108" w:type="dxa"/>
            <w:bottom w:w="0" w:type="dxa"/>
            <w:right w:w="108" w:type="dxa"/>
          </w:tblCellMar>
        </w:tblPrEx>
        <w:trPr>
          <w:trHeight w:val="852" w:hRule="atLeast"/>
          <w:jc w:val="center"/>
        </w:trPr>
        <w:tc>
          <w:tcPr>
            <w:tcW w:w="1301" w:type="dxa"/>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水总表</w:t>
            </w:r>
          </w:p>
        </w:tc>
        <w:tc>
          <w:tcPr>
            <w:tcW w:w="1593"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民用</w:t>
            </w:r>
          </w:p>
        </w:tc>
        <w:tc>
          <w:tcPr>
            <w:tcW w:w="316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1361</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p>
        </w:tc>
        <w:tc>
          <w:tcPr>
            <w:tcW w:w="2972" w:type="dxa"/>
            <w:tcBorders>
              <w:top w:val="single" w:color="auto" w:sz="4" w:space="0"/>
              <w:left w:val="nil"/>
              <w:bottom w:val="single" w:color="auto" w:sz="4" w:space="0"/>
              <w:right w:val="single" w:color="auto" w:sz="12"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p>
        </w:tc>
      </w:tr>
      <w:tr>
        <w:tblPrEx>
          <w:tblCellMar>
            <w:top w:w="0" w:type="dxa"/>
            <w:left w:w="108" w:type="dxa"/>
            <w:bottom w:w="0" w:type="dxa"/>
            <w:right w:w="108" w:type="dxa"/>
          </w:tblCellMar>
        </w:tblPrEx>
        <w:trPr>
          <w:trHeight w:val="976" w:hRule="atLeast"/>
          <w:jc w:val="center"/>
        </w:trPr>
        <w:tc>
          <w:tcPr>
            <w:tcW w:w="1301" w:type="dxa"/>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p>
        </w:tc>
        <w:tc>
          <w:tcPr>
            <w:tcW w:w="1593"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商业</w:t>
            </w:r>
          </w:p>
        </w:tc>
        <w:tc>
          <w:tcPr>
            <w:tcW w:w="316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1361</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户或按安装发票、合同给予补偿</w:t>
            </w:r>
          </w:p>
        </w:tc>
        <w:tc>
          <w:tcPr>
            <w:tcW w:w="2972" w:type="dxa"/>
            <w:tcBorders>
              <w:top w:val="single" w:color="auto" w:sz="4" w:space="0"/>
              <w:left w:val="nil"/>
              <w:bottom w:val="single" w:color="auto" w:sz="4" w:space="0"/>
              <w:right w:val="single" w:color="auto" w:sz="12"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p>
        </w:tc>
      </w:tr>
      <w:tr>
        <w:tblPrEx>
          <w:tblCellMar>
            <w:top w:w="0" w:type="dxa"/>
            <w:left w:w="108" w:type="dxa"/>
            <w:bottom w:w="0" w:type="dxa"/>
            <w:right w:w="108" w:type="dxa"/>
          </w:tblCellMar>
        </w:tblPrEx>
        <w:trPr>
          <w:trHeight w:val="945" w:hRule="atLeast"/>
          <w:jc w:val="center"/>
        </w:trPr>
        <w:tc>
          <w:tcPr>
            <w:tcW w:w="2894" w:type="dxa"/>
            <w:gridSpan w:val="2"/>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民用电总表</w:t>
            </w:r>
            <w:r>
              <w:rPr>
                <w:rFonts w:ascii="Times New Roman" w:hAnsi="Times New Roman" w:eastAsia="方正仿宋_GBK"/>
                <w:color w:val="000000"/>
                <w:kern w:val="0"/>
                <w:sz w:val="24"/>
                <w:szCs w:val="24"/>
              </w:rPr>
              <w:t xml:space="preserve">                  </w:t>
            </w:r>
            <w:r>
              <w:rPr>
                <w:rFonts w:ascii="Times New Roman" w:hAnsi="方正仿宋_GBK" w:eastAsia="方正仿宋_GBK"/>
                <w:color w:val="000000"/>
                <w:kern w:val="0"/>
                <w:sz w:val="24"/>
                <w:szCs w:val="24"/>
              </w:rPr>
              <w:t>（</w:t>
            </w:r>
            <w:r>
              <w:rPr>
                <w:rFonts w:ascii="Times New Roman" w:hAnsi="Times New Roman" w:eastAsia="方正仿宋_GBK"/>
                <w:color w:val="000000"/>
                <w:kern w:val="0"/>
                <w:sz w:val="24"/>
                <w:szCs w:val="24"/>
              </w:rPr>
              <w:t>220</w:t>
            </w:r>
            <w:r>
              <w:rPr>
                <w:rFonts w:ascii="Times New Roman" w:hAnsi="方正仿宋_GBK" w:eastAsia="方正仿宋_GBK"/>
                <w:color w:val="000000"/>
                <w:kern w:val="0"/>
                <w:sz w:val="24"/>
                <w:szCs w:val="24"/>
              </w:rPr>
              <w:t>伏）</w:t>
            </w:r>
          </w:p>
        </w:tc>
        <w:tc>
          <w:tcPr>
            <w:tcW w:w="316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600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p>
        </w:tc>
        <w:tc>
          <w:tcPr>
            <w:tcW w:w="2972" w:type="dxa"/>
            <w:tcBorders>
              <w:top w:val="single" w:color="auto" w:sz="4" w:space="0"/>
              <w:left w:val="nil"/>
              <w:bottom w:val="single" w:color="auto" w:sz="4" w:space="0"/>
              <w:right w:val="single" w:color="auto" w:sz="12"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5</w:t>
            </w:r>
            <w:r>
              <w:rPr>
                <w:rFonts w:ascii="Times New Roman" w:hAnsi="方正仿宋_GBK" w:eastAsia="方正仿宋_GBK"/>
                <w:color w:val="000000"/>
                <w:kern w:val="0"/>
                <w:sz w:val="24"/>
                <w:szCs w:val="24"/>
              </w:rPr>
              <w:t>～</w:t>
            </w:r>
            <w:r>
              <w:rPr>
                <w:rFonts w:ascii="Times New Roman" w:hAnsi="Times New Roman" w:eastAsia="方正仿宋_GBK"/>
                <w:color w:val="000000"/>
                <w:kern w:val="0"/>
                <w:sz w:val="24"/>
                <w:szCs w:val="24"/>
              </w:rPr>
              <w:t>60A</w:t>
            </w:r>
          </w:p>
        </w:tc>
      </w:tr>
      <w:tr>
        <w:tblPrEx>
          <w:tblCellMar>
            <w:top w:w="0" w:type="dxa"/>
            <w:left w:w="108" w:type="dxa"/>
            <w:bottom w:w="0" w:type="dxa"/>
            <w:right w:w="108" w:type="dxa"/>
          </w:tblCellMar>
        </w:tblPrEx>
        <w:trPr>
          <w:trHeight w:val="664" w:hRule="atLeast"/>
          <w:jc w:val="center"/>
        </w:trPr>
        <w:tc>
          <w:tcPr>
            <w:tcW w:w="2894" w:type="dxa"/>
            <w:gridSpan w:val="2"/>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商业电总表</w:t>
            </w:r>
          </w:p>
        </w:tc>
        <w:tc>
          <w:tcPr>
            <w:tcW w:w="316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722</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p>
        </w:tc>
        <w:tc>
          <w:tcPr>
            <w:tcW w:w="2972" w:type="dxa"/>
            <w:tcBorders>
              <w:top w:val="single" w:color="auto" w:sz="4" w:space="0"/>
              <w:left w:val="nil"/>
              <w:bottom w:val="single" w:color="auto" w:sz="4" w:space="0"/>
              <w:right w:val="single" w:color="auto" w:sz="12"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单相</w:t>
            </w:r>
          </w:p>
        </w:tc>
      </w:tr>
      <w:tr>
        <w:tblPrEx>
          <w:tblCellMar>
            <w:top w:w="0" w:type="dxa"/>
            <w:left w:w="108" w:type="dxa"/>
            <w:bottom w:w="0" w:type="dxa"/>
            <w:right w:w="108" w:type="dxa"/>
          </w:tblCellMar>
        </w:tblPrEx>
        <w:trPr>
          <w:trHeight w:val="658" w:hRule="atLeast"/>
          <w:jc w:val="center"/>
        </w:trPr>
        <w:tc>
          <w:tcPr>
            <w:tcW w:w="2894" w:type="dxa"/>
            <w:gridSpan w:val="2"/>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p>
        </w:tc>
        <w:tc>
          <w:tcPr>
            <w:tcW w:w="316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1608</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p>
        </w:tc>
        <w:tc>
          <w:tcPr>
            <w:tcW w:w="2972" w:type="dxa"/>
            <w:tcBorders>
              <w:top w:val="single" w:color="auto" w:sz="4" w:space="0"/>
              <w:left w:val="nil"/>
              <w:bottom w:val="single" w:color="auto" w:sz="4" w:space="0"/>
              <w:right w:val="single" w:color="auto" w:sz="12"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三相</w:t>
            </w:r>
          </w:p>
        </w:tc>
      </w:tr>
      <w:tr>
        <w:tblPrEx>
          <w:tblCellMar>
            <w:top w:w="0" w:type="dxa"/>
            <w:left w:w="108" w:type="dxa"/>
            <w:bottom w:w="0" w:type="dxa"/>
            <w:right w:w="108" w:type="dxa"/>
          </w:tblCellMar>
        </w:tblPrEx>
        <w:trPr>
          <w:trHeight w:val="683" w:hRule="atLeast"/>
          <w:jc w:val="center"/>
        </w:trPr>
        <w:tc>
          <w:tcPr>
            <w:tcW w:w="1301" w:type="dxa"/>
            <w:vMerge w:val="restart"/>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天然气</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民用</w:t>
            </w:r>
          </w:p>
        </w:tc>
        <w:tc>
          <w:tcPr>
            <w:tcW w:w="3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3500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p>
        </w:tc>
        <w:tc>
          <w:tcPr>
            <w:tcW w:w="2972"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p>
        </w:tc>
      </w:tr>
      <w:tr>
        <w:tblPrEx>
          <w:tblCellMar>
            <w:top w:w="0" w:type="dxa"/>
            <w:left w:w="108" w:type="dxa"/>
            <w:bottom w:w="0" w:type="dxa"/>
            <w:right w:w="108" w:type="dxa"/>
          </w:tblCellMar>
        </w:tblPrEx>
        <w:trPr>
          <w:trHeight w:val="886" w:hRule="atLeast"/>
          <w:jc w:val="center"/>
        </w:trPr>
        <w:tc>
          <w:tcPr>
            <w:tcW w:w="1301" w:type="dxa"/>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商用</w:t>
            </w:r>
          </w:p>
        </w:tc>
        <w:tc>
          <w:tcPr>
            <w:tcW w:w="3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凭安装发票或用气</w:t>
            </w:r>
          </w:p>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合同给予补偿</w:t>
            </w:r>
          </w:p>
        </w:tc>
        <w:tc>
          <w:tcPr>
            <w:tcW w:w="2972"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p>
        </w:tc>
      </w:tr>
      <w:tr>
        <w:tblPrEx>
          <w:tblCellMar>
            <w:top w:w="0" w:type="dxa"/>
            <w:left w:w="108" w:type="dxa"/>
            <w:bottom w:w="0" w:type="dxa"/>
            <w:right w:w="108" w:type="dxa"/>
          </w:tblCellMar>
        </w:tblPrEx>
        <w:trPr>
          <w:trHeight w:val="678" w:hRule="atLeast"/>
          <w:jc w:val="center"/>
        </w:trPr>
        <w:tc>
          <w:tcPr>
            <w:tcW w:w="2894" w:type="dxa"/>
            <w:gridSpan w:val="2"/>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闭路电视</w:t>
            </w:r>
          </w:p>
        </w:tc>
        <w:tc>
          <w:tcPr>
            <w:tcW w:w="3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450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p>
        </w:tc>
        <w:tc>
          <w:tcPr>
            <w:tcW w:w="2972"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　</w:t>
            </w:r>
          </w:p>
        </w:tc>
      </w:tr>
      <w:tr>
        <w:tblPrEx>
          <w:tblCellMar>
            <w:top w:w="0" w:type="dxa"/>
            <w:left w:w="108" w:type="dxa"/>
            <w:bottom w:w="0" w:type="dxa"/>
            <w:right w:w="108" w:type="dxa"/>
          </w:tblCellMar>
        </w:tblPrEx>
        <w:trPr>
          <w:trHeight w:val="673" w:hRule="atLeast"/>
          <w:jc w:val="center"/>
        </w:trPr>
        <w:tc>
          <w:tcPr>
            <w:tcW w:w="2894" w:type="dxa"/>
            <w:gridSpan w:val="2"/>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付费电视</w:t>
            </w:r>
          </w:p>
        </w:tc>
        <w:tc>
          <w:tcPr>
            <w:tcW w:w="3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790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p>
        </w:tc>
        <w:tc>
          <w:tcPr>
            <w:tcW w:w="2972"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　</w:t>
            </w:r>
          </w:p>
        </w:tc>
      </w:tr>
      <w:tr>
        <w:tblPrEx>
          <w:tblCellMar>
            <w:top w:w="0" w:type="dxa"/>
            <w:left w:w="108" w:type="dxa"/>
            <w:bottom w:w="0" w:type="dxa"/>
            <w:right w:w="108" w:type="dxa"/>
          </w:tblCellMar>
        </w:tblPrEx>
        <w:trPr>
          <w:trHeight w:val="665" w:hRule="atLeast"/>
          <w:jc w:val="center"/>
        </w:trPr>
        <w:tc>
          <w:tcPr>
            <w:tcW w:w="2894" w:type="dxa"/>
            <w:gridSpan w:val="2"/>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宽带</w:t>
            </w:r>
          </w:p>
        </w:tc>
        <w:tc>
          <w:tcPr>
            <w:tcW w:w="3169" w:type="dxa"/>
            <w:tcBorders>
              <w:top w:val="single" w:color="auto" w:sz="4" w:space="0"/>
              <w:left w:val="nil"/>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250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p>
        </w:tc>
        <w:tc>
          <w:tcPr>
            <w:tcW w:w="2972" w:type="dxa"/>
            <w:tcBorders>
              <w:top w:val="single" w:color="auto" w:sz="4" w:space="0"/>
              <w:left w:val="nil"/>
              <w:bottom w:val="single" w:color="auto" w:sz="4" w:space="0"/>
              <w:right w:val="single" w:color="auto" w:sz="12"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　</w:t>
            </w:r>
          </w:p>
        </w:tc>
      </w:tr>
      <w:tr>
        <w:tblPrEx>
          <w:tblCellMar>
            <w:top w:w="0" w:type="dxa"/>
            <w:left w:w="108" w:type="dxa"/>
            <w:bottom w:w="0" w:type="dxa"/>
            <w:right w:w="108" w:type="dxa"/>
          </w:tblCellMar>
        </w:tblPrEx>
        <w:trPr>
          <w:trHeight w:val="675" w:hRule="atLeast"/>
          <w:jc w:val="center"/>
        </w:trPr>
        <w:tc>
          <w:tcPr>
            <w:tcW w:w="2894" w:type="dxa"/>
            <w:gridSpan w:val="2"/>
            <w:tcBorders>
              <w:top w:val="single" w:color="auto" w:sz="4" w:space="0"/>
              <w:left w:val="single" w:color="auto" w:sz="12" w:space="0"/>
              <w:bottom w:val="single" w:color="auto" w:sz="12"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电话</w:t>
            </w:r>
          </w:p>
        </w:tc>
        <w:tc>
          <w:tcPr>
            <w:tcW w:w="3169" w:type="dxa"/>
            <w:tcBorders>
              <w:top w:val="single" w:color="auto" w:sz="4" w:space="0"/>
              <w:left w:val="nil"/>
              <w:bottom w:val="single" w:color="auto" w:sz="12" w:space="0"/>
              <w:right w:val="single" w:color="auto" w:sz="4"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150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p>
        </w:tc>
        <w:tc>
          <w:tcPr>
            <w:tcW w:w="2972" w:type="dxa"/>
            <w:tcBorders>
              <w:top w:val="single" w:color="auto" w:sz="4" w:space="0"/>
              <w:left w:val="nil"/>
              <w:bottom w:val="single" w:color="auto" w:sz="12" w:space="0"/>
              <w:right w:val="single" w:color="auto" w:sz="12" w:space="0"/>
            </w:tcBorders>
            <w:vAlign w:val="center"/>
          </w:tcPr>
          <w:p>
            <w:pPr>
              <w:widowControl/>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　</w:t>
            </w:r>
          </w:p>
        </w:tc>
      </w:tr>
    </w:tbl>
    <w:p>
      <w:pPr>
        <w:widowControl/>
        <w:snapToGrid w:val="0"/>
        <w:jc w:val="left"/>
        <w:rPr>
          <w:rFonts w:ascii="方正楷体_GBK" w:hAnsi="方正楷体_GBK" w:eastAsia="方正楷体_GBK" w:cs="方正楷体_GBK"/>
          <w:color w:val="000000"/>
          <w:kern w:val="0"/>
          <w:sz w:val="24"/>
          <w:szCs w:val="24"/>
        </w:rPr>
      </w:pPr>
    </w:p>
    <w:p>
      <w:pPr>
        <w:widowControl/>
        <w:snapToGrid w:val="0"/>
        <w:jc w:val="left"/>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说明：上述费用由被征收人持相关部门的销户手续进行补偿。</w:t>
      </w:r>
    </w:p>
    <w:p>
      <w:pPr>
        <w:snapToGrid w:val="0"/>
        <w:rPr>
          <w:rFonts w:ascii="方正黑体_GBK" w:hAnsi="方正黑体_GBK" w:eastAsia="方正黑体_GBK" w:cs="方正黑体_GBK"/>
          <w:color w:val="000000"/>
          <w:sz w:val="32"/>
          <w:szCs w:val="32"/>
        </w:rPr>
      </w:pPr>
    </w:p>
    <w:p>
      <w:pPr>
        <w:snapToGrid w:val="0"/>
        <w:rPr>
          <w:rFonts w:ascii="方正黑体_GBK" w:hAnsi="方正黑体_GBK" w:eastAsia="方正黑体_GBK" w:cs="方正黑体_GBK"/>
          <w:color w:val="000000"/>
          <w:sz w:val="32"/>
          <w:szCs w:val="32"/>
        </w:rPr>
      </w:pPr>
    </w:p>
    <w:p>
      <w:pPr>
        <w:snapToGrid w:val="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附表3</w:t>
      </w:r>
    </w:p>
    <w:p>
      <w:pPr>
        <w:snapToGrid w:val="0"/>
        <w:rPr>
          <w:rFonts w:ascii="Times New Roman" w:hAnsi="Times New Roman" w:eastAsia="方正仿宋简体"/>
          <w:color w:val="000000"/>
          <w:sz w:val="30"/>
          <w:szCs w:val="30"/>
        </w:rPr>
      </w:pPr>
    </w:p>
    <w:p>
      <w:pPr>
        <w:snapToGrid w:val="0"/>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马鞍山北侧道路延伸段</w:t>
      </w:r>
      <w:r>
        <w:rPr>
          <w:rFonts w:hint="eastAsia" w:ascii="方正小标宋_GBK" w:hAnsi="方正小标宋_GBK" w:eastAsia="方正小标宋_GBK" w:cs="方正小标宋_GBK"/>
          <w:color w:val="000000"/>
          <w:sz w:val="44"/>
          <w:szCs w:val="44"/>
        </w:rPr>
        <w:t>国有土地上房屋</w:t>
      </w:r>
    </w:p>
    <w:p>
      <w:pPr>
        <w:snapToGrid w:val="0"/>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征收</w:t>
      </w:r>
      <w:r>
        <w:rPr>
          <w:rFonts w:hint="eastAsia" w:ascii="方正小标宋_GBK" w:hAnsi="方正小标宋_GBK" w:eastAsia="方正小标宋_GBK" w:cs="方正小标宋_GBK"/>
          <w:color w:val="000000"/>
          <w:kern w:val="0"/>
          <w:sz w:val="44"/>
          <w:szCs w:val="44"/>
        </w:rPr>
        <w:t>相关补助和签约搬迁奖励机制</w:t>
      </w:r>
    </w:p>
    <w:p>
      <w:pPr>
        <w:widowControl/>
        <w:snapToGrid w:val="0"/>
        <w:contextualSpacing/>
        <w:jc w:val="center"/>
        <w:rPr>
          <w:rFonts w:ascii="Times New Roman" w:hAnsi="Times New Roman" w:eastAsia="方正仿宋简体"/>
          <w:color w:val="000000"/>
          <w:kern w:val="0"/>
          <w:sz w:val="24"/>
          <w:szCs w:val="24"/>
        </w:rPr>
      </w:pPr>
    </w:p>
    <w:tbl>
      <w:tblPr>
        <w:tblStyle w:val="7"/>
        <w:tblW w:w="0" w:type="auto"/>
        <w:jc w:val="center"/>
        <w:tblLayout w:type="fixed"/>
        <w:tblCellMar>
          <w:top w:w="0" w:type="dxa"/>
          <w:left w:w="108" w:type="dxa"/>
          <w:bottom w:w="0" w:type="dxa"/>
          <w:right w:w="108" w:type="dxa"/>
        </w:tblCellMar>
      </w:tblPr>
      <w:tblGrid>
        <w:gridCol w:w="667"/>
        <w:gridCol w:w="956"/>
        <w:gridCol w:w="1175"/>
        <w:gridCol w:w="2702"/>
        <w:gridCol w:w="3572"/>
      </w:tblGrid>
      <w:tr>
        <w:tblPrEx>
          <w:tblCellMar>
            <w:top w:w="0" w:type="dxa"/>
            <w:left w:w="108" w:type="dxa"/>
            <w:bottom w:w="0" w:type="dxa"/>
            <w:right w:w="108" w:type="dxa"/>
          </w:tblCellMar>
        </w:tblPrEx>
        <w:trPr>
          <w:trHeight w:val="668" w:hRule="atLeast"/>
          <w:jc w:val="center"/>
        </w:trPr>
        <w:tc>
          <w:tcPr>
            <w:tcW w:w="667"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序</w:t>
            </w:r>
          </w:p>
          <w:p>
            <w:pPr>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号</w:t>
            </w:r>
          </w:p>
        </w:tc>
        <w:tc>
          <w:tcPr>
            <w:tcW w:w="2131" w:type="dxa"/>
            <w:gridSpan w:val="2"/>
            <w:tcBorders>
              <w:top w:val="single" w:color="auto" w:sz="12" w:space="0"/>
              <w:left w:val="nil"/>
              <w:bottom w:val="single" w:color="auto" w:sz="4" w:space="0"/>
              <w:right w:val="single" w:color="auto" w:sz="4" w:space="0"/>
            </w:tcBorders>
            <w:vAlign w:val="center"/>
          </w:tcPr>
          <w:p>
            <w:pPr>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费额名称及分类</w:t>
            </w:r>
          </w:p>
        </w:tc>
        <w:tc>
          <w:tcPr>
            <w:tcW w:w="6274" w:type="dxa"/>
            <w:gridSpan w:val="2"/>
            <w:tcBorders>
              <w:top w:val="single" w:color="auto" w:sz="12" w:space="0"/>
              <w:left w:val="nil"/>
              <w:bottom w:val="single" w:color="auto" w:sz="4" w:space="0"/>
              <w:right w:val="single" w:color="auto" w:sz="12" w:space="0"/>
            </w:tcBorders>
            <w:vAlign w:val="center"/>
          </w:tcPr>
          <w:p>
            <w:pPr>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费额及标准</w:t>
            </w:r>
          </w:p>
        </w:tc>
      </w:tr>
      <w:tr>
        <w:tblPrEx>
          <w:tblCellMar>
            <w:top w:w="0" w:type="dxa"/>
            <w:left w:w="108" w:type="dxa"/>
            <w:bottom w:w="0" w:type="dxa"/>
            <w:right w:w="108" w:type="dxa"/>
          </w:tblCellMar>
        </w:tblPrEx>
        <w:trPr>
          <w:trHeight w:val="765" w:hRule="atLeast"/>
          <w:jc w:val="center"/>
        </w:trPr>
        <w:tc>
          <w:tcPr>
            <w:tcW w:w="667" w:type="dxa"/>
            <w:vMerge w:val="restart"/>
            <w:tcBorders>
              <w:top w:val="nil"/>
              <w:left w:val="single" w:color="auto" w:sz="12"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w:t>
            </w:r>
          </w:p>
        </w:tc>
        <w:tc>
          <w:tcPr>
            <w:tcW w:w="956"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搬迁费</w:t>
            </w:r>
          </w:p>
        </w:tc>
        <w:tc>
          <w:tcPr>
            <w:tcW w:w="1175" w:type="dxa"/>
            <w:tcBorders>
              <w:top w:val="nil"/>
              <w:left w:val="nil"/>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住宅</w:t>
            </w:r>
          </w:p>
        </w:tc>
        <w:tc>
          <w:tcPr>
            <w:tcW w:w="2702" w:type="dxa"/>
            <w:tcBorders>
              <w:top w:val="single" w:color="auto" w:sz="4" w:space="0"/>
              <w:left w:val="nil"/>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1000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次</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p>
        </w:tc>
        <w:tc>
          <w:tcPr>
            <w:tcW w:w="3572" w:type="dxa"/>
            <w:vMerge w:val="restart"/>
            <w:tcBorders>
              <w:top w:val="nil"/>
              <w:left w:val="single" w:color="auto" w:sz="4" w:space="0"/>
              <w:bottom w:val="single" w:color="auto" w:sz="4" w:space="0"/>
              <w:right w:val="single" w:color="auto" w:sz="12" w:space="0"/>
            </w:tcBorders>
            <w:vAlign w:val="center"/>
          </w:tcPr>
          <w:p>
            <w:pPr>
              <w:adjustRightInd w:val="0"/>
              <w:snapToGrid w:val="0"/>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货币补偿仅一次</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户，产权调换二次</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p>
        </w:tc>
      </w:tr>
      <w:tr>
        <w:tblPrEx>
          <w:tblCellMar>
            <w:top w:w="0" w:type="dxa"/>
            <w:left w:w="108" w:type="dxa"/>
            <w:bottom w:w="0" w:type="dxa"/>
            <w:right w:w="108" w:type="dxa"/>
          </w:tblCellMar>
        </w:tblPrEx>
        <w:trPr>
          <w:trHeight w:val="1384" w:hRule="atLeast"/>
          <w:jc w:val="center"/>
        </w:trPr>
        <w:tc>
          <w:tcPr>
            <w:tcW w:w="667" w:type="dxa"/>
            <w:vMerge w:val="continue"/>
            <w:tcBorders>
              <w:top w:val="nil"/>
              <w:left w:val="single" w:color="auto" w:sz="12"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p>
        </w:tc>
        <w:tc>
          <w:tcPr>
            <w:tcW w:w="956" w:type="dxa"/>
            <w:vMerge w:val="continue"/>
            <w:tcBorders>
              <w:top w:val="nil"/>
              <w:left w:val="single" w:color="auto" w:sz="4"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p>
        </w:tc>
        <w:tc>
          <w:tcPr>
            <w:tcW w:w="1175" w:type="dxa"/>
            <w:tcBorders>
              <w:top w:val="nil"/>
              <w:left w:val="nil"/>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非住宅</w:t>
            </w:r>
          </w:p>
        </w:tc>
        <w:tc>
          <w:tcPr>
            <w:tcW w:w="2702" w:type="dxa"/>
            <w:tcBorders>
              <w:top w:val="single" w:color="auto" w:sz="4" w:space="0"/>
              <w:left w:val="nil"/>
              <w:bottom w:val="single" w:color="auto" w:sz="4" w:space="0"/>
              <w:right w:val="single" w:color="auto" w:sz="4" w:space="0"/>
            </w:tcBorders>
            <w:vAlign w:val="center"/>
          </w:tcPr>
          <w:p>
            <w:pPr>
              <w:adjustRightInd w:val="0"/>
              <w:snapToGrid w:val="0"/>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商业、办公、业务用房</w:t>
            </w:r>
            <w:r>
              <w:rPr>
                <w:rFonts w:ascii="Times New Roman" w:hAnsi="Times New Roman" w:eastAsia="方正仿宋_GBK"/>
                <w:color w:val="000000"/>
                <w:kern w:val="0"/>
                <w:sz w:val="24"/>
                <w:szCs w:val="24"/>
              </w:rPr>
              <w:t>30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平方米</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次，生产用房</w:t>
            </w:r>
            <w:r>
              <w:rPr>
                <w:rFonts w:ascii="Times New Roman" w:hAnsi="Times New Roman" w:eastAsia="方正仿宋_GBK"/>
                <w:color w:val="000000"/>
                <w:kern w:val="0"/>
                <w:sz w:val="24"/>
                <w:szCs w:val="24"/>
              </w:rPr>
              <w:t>40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平方米</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次</w:t>
            </w:r>
          </w:p>
        </w:tc>
        <w:tc>
          <w:tcPr>
            <w:tcW w:w="3572" w:type="dxa"/>
            <w:vMerge w:val="continue"/>
            <w:tcBorders>
              <w:top w:val="nil"/>
              <w:left w:val="single" w:color="auto" w:sz="4" w:space="0"/>
              <w:bottom w:val="single" w:color="auto" w:sz="4" w:space="0"/>
              <w:right w:val="single" w:color="auto" w:sz="12"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p>
        </w:tc>
      </w:tr>
      <w:tr>
        <w:tblPrEx>
          <w:tblCellMar>
            <w:top w:w="0" w:type="dxa"/>
            <w:left w:w="108" w:type="dxa"/>
            <w:bottom w:w="0" w:type="dxa"/>
            <w:right w:w="108" w:type="dxa"/>
          </w:tblCellMar>
        </w:tblPrEx>
        <w:trPr>
          <w:trHeight w:val="811" w:hRule="atLeast"/>
          <w:jc w:val="center"/>
        </w:trPr>
        <w:tc>
          <w:tcPr>
            <w:tcW w:w="667" w:type="dxa"/>
            <w:tcBorders>
              <w:top w:val="nil"/>
              <w:left w:val="single" w:color="auto" w:sz="12"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w:t>
            </w:r>
          </w:p>
        </w:tc>
        <w:tc>
          <w:tcPr>
            <w:tcW w:w="2131" w:type="dxa"/>
            <w:gridSpan w:val="2"/>
            <w:tcBorders>
              <w:top w:val="single" w:color="auto" w:sz="4" w:space="0"/>
              <w:left w:val="nil"/>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提前签约奖励费</w:t>
            </w:r>
          </w:p>
        </w:tc>
        <w:tc>
          <w:tcPr>
            <w:tcW w:w="6274" w:type="dxa"/>
            <w:gridSpan w:val="2"/>
            <w:tcBorders>
              <w:top w:val="single" w:color="auto" w:sz="4" w:space="0"/>
              <w:left w:val="nil"/>
              <w:bottom w:val="single" w:color="auto" w:sz="4" w:space="0"/>
              <w:right w:val="single" w:color="auto" w:sz="12"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住宅</w:t>
            </w:r>
            <w:r>
              <w:rPr>
                <w:rFonts w:ascii="Times New Roman" w:hAnsi="Times New Roman" w:eastAsia="方正仿宋_GBK"/>
                <w:color w:val="000000"/>
                <w:kern w:val="0"/>
                <w:sz w:val="24"/>
                <w:szCs w:val="24"/>
              </w:rPr>
              <w:t>40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日</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非住宅</w:t>
            </w:r>
            <w:r>
              <w:rPr>
                <w:rFonts w:ascii="Times New Roman" w:hAnsi="Times New Roman" w:eastAsia="方正仿宋_GBK"/>
                <w:color w:val="000000"/>
                <w:kern w:val="0"/>
                <w:sz w:val="24"/>
                <w:szCs w:val="24"/>
              </w:rPr>
              <w:t>20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平方米</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日</w:t>
            </w:r>
          </w:p>
        </w:tc>
      </w:tr>
      <w:tr>
        <w:tblPrEx>
          <w:tblCellMar>
            <w:top w:w="0" w:type="dxa"/>
            <w:left w:w="108" w:type="dxa"/>
            <w:bottom w:w="0" w:type="dxa"/>
            <w:right w:w="108" w:type="dxa"/>
          </w:tblCellMar>
        </w:tblPrEx>
        <w:trPr>
          <w:trHeight w:val="775" w:hRule="atLeast"/>
          <w:jc w:val="center"/>
        </w:trPr>
        <w:tc>
          <w:tcPr>
            <w:tcW w:w="667" w:type="dxa"/>
            <w:vMerge w:val="restart"/>
            <w:tcBorders>
              <w:top w:val="nil"/>
              <w:left w:val="single" w:color="auto" w:sz="12"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w:t>
            </w:r>
          </w:p>
        </w:tc>
        <w:tc>
          <w:tcPr>
            <w:tcW w:w="956"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货币补偿补助费</w:t>
            </w:r>
          </w:p>
        </w:tc>
        <w:tc>
          <w:tcPr>
            <w:tcW w:w="1175" w:type="dxa"/>
            <w:tcBorders>
              <w:top w:val="nil"/>
              <w:left w:val="nil"/>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住宅</w:t>
            </w:r>
          </w:p>
        </w:tc>
        <w:tc>
          <w:tcPr>
            <w:tcW w:w="2702" w:type="dxa"/>
            <w:tcBorders>
              <w:top w:val="nil"/>
              <w:left w:val="nil"/>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30000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户</w:t>
            </w:r>
          </w:p>
        </w:tc>
        <w:tc>
          <w:tcPr>
            <w:tcW w:w="3572" w:type="dxa"/>
            <w:vMerge w:val="restart"/>
            <w:tcBorders>
              <w:top w:val="single" w:color="auto" w:sz="4" w:space="0"/>
              <w:left w:val="single" w:color="auto" w:sz="4" w:space="0"/>
              <w:bottom w:val="single" w:color="auto" w:sz="4" w:space="0"/>
              <w:right w:val="single" w:color="auto" w:sz="12" w:space="0"/>
            </w:tcBorders>
            <w:vAlign w:val="center"/>
          </w:tcPr>
          <w:p>
            <w:pPr>
              <w:adjustRightInd w:val="0"/>
              <w:snapToGrid w:val="0"/>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选择货币补偿方式的，给予货币补偿补助费。同一产权内既有住宅也有非住宅的，按就高不就低的原则，合并给予一次补助，不能分别补助两次。</w:t>
            </w:r>
          </w:p>
        </w:tc>
      </w:tr>
      <w:tr>
        <w:tblPrEx>
          <w:tblCellMar>
            <w:top w:w="0" w:type="dxa"/>
            <w:left w:w="108" w:type="dxa"/>
            <w:bottom w:w="0" w:type="dxa"/>
            <w:right w:w="108" w:type="dxa"/>
          </w:tblCellMar>
        </w:tblPrEx>
        <w:trPr>
          <w:trHeight w:val="1542" w:hRule="atLeast"/>
          <w:jc w:val="center"/>
        </w:trPr>
        <w:tc>
          <w:tcPr>
            <w:tcW w:w="667" w:type="dxa"/>
            <w:vMerge w:val="continue"/>
            <w:tcBorders>
              <w:top w:val="nil"/>
              <w:left w:val="single" w:color="auto" w:sz="12"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p>
        </w:tc>
        <w:tc>
          <w:tcPr>
            <w:tcW w:w="956" w:type="dxa"/>
            <w:vMerge w:val="continue"/>
            <w:tcBorders>
              <w:top w:val="nil"/>
              <w:left w:val="single" w:color="auto" w:sz="4"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p>
        </w:tc>
        <w:tc>
          <w:tcPr>
            <w:tcW w:w="1175" w:type="dxa"/>
            <w:tcBorders>
              <w:top w:val="nil"/>
              <w:left w:val="nil"/>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非住宅</w:t>
            </w:r>
          </w:p>
        </w:tc>
        <w:tc>
          <w:tcPr>
            <w:tcW w:w="2702" w:type="dxa"/>
            <w:tcBorders>
              <w:top w:val="nil"/>
              <w:left w:val="nil"/>
              <w:bottom w:val="single" w:color="auto" w:sz="4" w:space="0"/>
              <w:right w:val="single" w:color="auto" w:sz="4" w:space="0"/>
            </w:tcBorders>
            <w:vAlign w:val="center"/>
          </w:tcPr>
          <w:p>
            <w:pPr>
              <w:adjustRightInd w:val="0"/>
              <w:snapToGrid w:val="0"/>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按被征收房屋价值的</w:t>
            </w:r>
            <w:r>
              <w:rPr>
                <w:rFonts w:ascii="Times New Roman" w:hAnsi="Times New Roman" w:eastAsia="方正仿宋_GBK"/>
                <w:color w:val="000000"/>
                <w:kern w:val="0"/>
                <w:sz w:val="24"/>
                <w:szCs w:val="24"/>
              </w:rPr>
              <w:t>5%</w:t>
            </w:r>
            <w:r>
              <w:rPr>
                <w:rFonts w:ascii="Times New Roman" w:hAnsi="方正仿宋_GBK" w:eastAsia="方正仿宋_GBK"/>
                <w:color w:val="000000"/>
                <w:kern w:val="0"/>
                <w:sz w:val="24"/>
                <w:szCs w:val="24"/>
              </w:rPr>
              <w:t>计算，不足</w:t>
            </w:r>
            <w:r>
              <w:rPr>
                <w:rFonts w:ascii="Times New Roman" w:hAnsi="Times New Roman" w:eastAsia="方正仿宋_GBK"/>
                <w:color w:val="000000"/>
                <w:kern w:val="0"/>
                <w:sz w:val="24"/>
                <w:szCs w:val="24"/>
              </w:rPr>
              <w:t>20000</w:t>
            </w:r>
            <w:r>
              <w:rPr>
                <w:rFonts w:ascii="Times New Roman" w:hAnsi="方正仿宋_GBK" w:eastAsia="方正仿宋_GBK"/>
                <w:color w:val="000000"/>
                <w:kern w:val="0"/>
                <w:sz w:val="24"/>
                <w:szCs w:val="24"/>
              </w:rPr>
              <w:t>元的，按</w:t>
            </w:r>
            <w:r>
              <w:rPr>
                <w:rFonts w:ascii="Times New Roman" w:hAnsi="Times New Roman" w:eastAsia="方正仿宋_GBK"/>
                <w:color w:val="000000"/>
                <w:kern w:val="0"/>
                <w:sz w:val="24"/>
                <w:szCs w:val="24"/>
              </w:rPr>
              <w:t>20000</w:t>
            </w:r>
            <w:r>
              <w:rPr>
                <w:rFonts w:ascii="Times New Roman" w:hAnsi="方正仿宋_GBK" w:eastAsia="方正仿宋_GBK"/>
                <w:color w:val="000000"/>
                <w:kern w:val="0"/>
                <w:sz w:val="24"/>
                <w:szCs w:val="24"/>
              </w:rPr>
              <w:t>元给予。</w:t>
            </w:r>
          </w:p>
        </w:tc>
        <w:tc>
          <w:tcPr>
            <w:tcW w:w="3572" w:type="dxa"/>
            <w:vMerge w:val="continue"/>
            <w:tcBorders>
              <w:top w:val="nil"/>
              <w:left w:val="nil"/>
              <w:bottom w:val="single" w:color="auto" w:sz="4" w:space="0"/>
              <w:right w:val="single" w:color="auto" w:sz="12" w:space="0"/>
            </w:tcBorders>
            <w:vAlign w:val="center"/>
          </w:tcPr>
          <w:p>
            <w:pPr>
              <w:adjustRightInd w:val="0"/>
              <w:snapToGrid w:val="0"/>
              <w:textAlignment w:val="center"/>
              <w:rPr>
                <w:rFonts w:ascii="Times New Roman" w:hAnsi="Times New Roman" w:eastAsia="方正仿宋_GBK"/>
                <w:color w:val="000000"/>
                <w:kern w:val="0"/>
                <w:sz w:val="24"/>
                <w:szCs w:val="24"/>
              </w:rPr>
            </w:pPr>
          </w:p>
        </w:tc>
      </w:tr>
      <w:tr>
        <w:tblPrEx>
          <w:tblCellMar>
            <w:top w:w="0" w:type="dxa"/>
            <w:left w:w="108" w:type="dxa"/>
            <w:bottom w:w="0" w:type="dxa"/>
            <w:right w:w="108" w:type="dxa"/>
          </w:tblCellMar>
        </w:tblPrEx>
        <w:trPr>
          <w:trHeight w:val="1473" w:hRule="atLeast"/>
          <w:jc w:val="center"/>
        </w:trPr>
        <w:tc>
          <w:tcPr>
            <w:tcW w:w="667" w:type="dxa"/>
            <w:vMerge w:val="restart"/>
            <w:tcBorders>
              <w:top w:val="nil"/>
              <w:left w:val="single" w:color="auto" w:sz="12"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4</w:t>
            </w:r>
          </w:p>
        </w:tc>
        <w:tc>
          <w:tcPr>
            <w:tcW w:w="2131"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非住宅停产停业损失补偿费</w:t>
            </w:r>
          </w:p>
        </w:tc>
        <w:tc>
          <w:tcPr>
            <w:tcW w:w="2702" w:type="dxa"/>
            <w:tcBorders>
              <w:top w:val="nil"/>
              <w:left w:val="nil"/>
              <w:bottom w:val="single" w:color="auto" w:sz="4"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产权调换</w:t>
            </w:r>
          </w:p>
        </w:tc>
        <w:tc>
          <w:tcPr>
            <w:tcW w:w="3572" w:type="dxa"/>
            <w:tcBorders>
              <w:top w:val="single" w:color="auto" w:sz="4" w:space="0"/>
              <w:left w:val="nil"/>
              <w:bottom w:val="single" w:color="auto" w:sz="4" w:space="0"/>
              <w:right w:val="single" w:color="auto" w:sz="12" w:space="0"/>
            </w:tcBorders>
            <w:vAlign w:val="center"/>
          </w:tcPr>
          <w:p>
            <w:pPr>
              <w:adjustRightInd w:val="0"/>
              <w:snapToGrid w:val="0"/>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凡非住宅房屋被征收人选择产权调换的由被征收人自行过渡，每个月按房屋评估价值的</w:t>
            </w:r>
            <w:r>
              <w:rPr>
                <w:rFonts w:ascii="Times New Roman" w:hAnsi="Times New Roman" w:eastAsia="方正仿宋_GBK"/>
                <w:color w:val="000000"/>
                <w:kern w:val="0"/>
                <w:sz w:val="24"/>
                <w:szCs w:val="24"/>
              </w:rPr>
              <w:t>5‰</w:t>
            </w:r>
            <w:r>
              <w:rPr>
                <w:rFonts w:ascii="Times New Roman" w:hAnsi="方正仿宋_GBK" w:eastAsia="方正仿宋_GBK"/>
                <w:color w:val="000000"/>
                <w:kern w:val="0"/>
                <w:sz w:val="24"/>
                <w:szCs w:val="24"/>
              </w:rPr>
              <w:t>支付停产停业损失补偿费。</w:t>
            </w:r>
          </w:p>
        </w:tc>
      </w:tr>
      <w:tr>
        <w:tblPrEx>
          <w:tblCellMar>
            <w:top w:w="0" w:type="dxa"/>
            <w:left w:w="108" w:type="dxa"/>
            <w:bottom w:w="0" w:type="dxa"/>
            <w:right w:w="108" w:type="dxa"/>
          </w:tblCellMar>
        </w:tblPrEx>
        <w:trPr>
          <w:trHeight w:val="1161" w:hRule="atLeast"/>
          <w:jc w:val="center"/>
        </w:trPr>
        <w:tc>
          <w:tcPr>
            <w:tcW w:w="667" w:type="dxa"/>
            <w:vMerge w:val="continue"/>
            <w:tcBorders>
              <w:top w:val="nil"/>
              <w:left w:val="single" w:color="auto" w:sz="12" w:space="0"/>
              <w:bottom w:val="single" w:color="auto" w:sz="12"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p>
        </w:tc>
        <w:tc>
          <w:tcPr>
            <w:tcW w:w="2131" w:type="dxa"/>
            <w:gridSpan w:val="2"/>
            <w:vMerge w:val="continue"/>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p>
        </w:tc>
        <w:tc>
          <w:tcPr>
            <w:tcW w:w="2702" w:type="dxa"/>
            <w:tcBorders>
              <w:top w:val="nil"/>
              <w:left w:val="nil"/>
              <w:bottom w:val="single" w:color="auto" w:sz="12" w:space="0"/>
              <w:right w:val="single" w:color="auto" w:sz="4" w:space="0"/>
            </w:tcBorders>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货币安置</w:t>
            </w:r>
          </w:p>
        </w:tc>
        <w:tc>
          <w:tcPr>
            <w:tcW w:w="3572" w:type="dxa"/>
            <w:tcBorders>
              <w:top w:val="single" w:color="auto" w:sz="4" w:space="0"/>
              <w:left w:val="nil"/>
              <w:bottom w:val="single" w:color="auto" w:sz="12" w:space="0"/>
              <w:right w:val="single" w:color="auto" w:sz="12" w:space="0"/>
            </w:tcBorders>
            <w:vAlign w:val="center"/>
          </w:tcPr>
          <w:p>
            <w:pPr>
              <w:adjustRightInd w:val="0"/>
              <w:snapToGrid w:val="0"/>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按房屋评估值的</w:t>
            </w:r>
            <w:r>
              <w:rPr>
                <w:rFonts w:ascii="Times New Roman" w:hAnsi="Times New Roman" w:eastAsia="方正仿宋_GBK"/>
                <w:color w:val="000000"/>
                <w:kern w:val="0"/>
                <w:sz w:val="24"/>
                <w:szCs w:val="24"/>
              </w:rPr>
              <w:t>6%</w:t>
            </w:r>
            <w:r>
              <w:rPr>
                <w:rFonts w:ascii="Times New Roman" w:hAnsi="方正仿宋_GBK" w:eastAsia="方正仿宋_GBK"/>
                <w:color w:val="000000"/>
                <w:kern w:val="0"/>
                <w:sz w:val="24"/>
                <w:szCs w:val="24"/>
              </w:rPr>
              <w:t>一次性给予停产停业损失补偿费</w:t>
            </w:r>
          </w:p>
        </w:tc>
      </w:tr>
    </w:tbl>
    <w:p>
      <w:pPr>
        <w:widowControl/>
        <w:snapToGrid w:val="0"/>
        <w:jc w:val="left"/>
        <w:rPr>
          <w:rFonts w:ascii="方正楷体_GBK" w:hAnsi="方正楷体_GBK" w:eastAsia="方正楷体_GBK" w:cs="方正楷体_GBK"/>
          <w:color w:val="000000"/>
          <w:kern w:val="0"/>
          <w:sz w:val="24"/>
          <w:szCs w:val="24"/>
        </w:rPr>
      </w:pPr>
    </w:p>
    <w:p>
      <w:pPr>
        <w:widowControl/>
        <w:snapToGrid w:val="0"/>
        <w:jc w:val="left"/>
        <w:rPr>
          <w:rFonts w:ascii="方正楷体_GBK" w:hAnsi="方正楷体_GBK" w:eastAsia="方正楷体_GBK" w:cs="方正楷体_GBK"/>
          <w:color w:val="000000"/>
          <w:sz w:val="24"/>
          <w:szCs w:val="24"/>
        </w:rPr>
      </w:pPr>
      <w:r>
        <w:rPr>
          <w:rFonts w:hint="eastAsia" w:ascii="方正楷体_GBK" w:hAnsi="方正楷体_GBK" w:eastAsia="方正楷体_GBK" w:cs="方正楷体_GBK"/>
          <w:color w:val="000000"/>
          <w:kern w:val="0"/>
          <w:sz w:val="24"/>
          <w:szCs w:val="24"/>
        </w:rPr>
        <w:t>备注：被征收人在公告期限内签订协议的，享受全额提前签约奖励费</w:t>
      </w:r>
    </w:p>
    <w:p>
      <w:pPr>
        <w:snapToGrid w:val="0"/>
        <w:rPr>
          <w:rFonts w:ascii="方正黑体_GBK" w:hAnsi="方正黑体_GBK" w:eastAsia="方正黑体_GBK" w:cs="方正黑体_GBK"/>
          <w:color w:val="000000"/>
          <w:sz w:val="30"/>
          <w:szCs w:val="30"/>
        </w:rPr>
      </w:pPr>
    </w:p>
    <w:p>
      <w:pPr>
        <w:snapToGrid w:val="0"/>
        <w:rPr>
          <w:rFonts w:ascii="方正黑体_GBK" w:hAnsi="方正黑体_GBK" w:eastAsia="方正黑体_GBK" w:cs="方正黑体_GBK"/>
          <w:color w:val="000000"/>
          <w:sz w:val="30"/>
          <w:szCs w:val="30"/>
        </w:rPr>
      </w:pPr>
    </w:p>
    <w:p>
      <w:pPr>
        <w:snapToGrid w:val="0"/>
        <w:rPr>
          <w:rFonts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t>附表4</w:t>
      </w:r>
    </w:p>
    <w:p>
      <w:pPr>
        <w:snapToGrid w:val="0"/>
        <w:rPr>
          <w:rFonts w:ascii="Times New Roman" w:hAnsi="Times New Roman" w:eastAsia="方正仿宋简体"/>
          <w:color w:val="000000"/>
          <w:sz w:val="30"/>
          <w:szCs w:val="30"/>
        </w:rPr>
      </w:pPr>
    </w:p>
    <w:p>
      <w:pPr>
        <w:snapToGrid w:val="0"/>
        <w:spacing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马鞍山北侧道路延伸段国有土地上房屋征收项目</w:t>
      </w:r>
      <w:r>
        <w:rPr>
          <w:rFonts w:hint="eastAsia" w:ascii="方正小标宋_GBK" w:hAnsi="方正小标宋_GBK" w:eastAsia="方正小标宋_GBK" w:cs="方正小标宋_GBK"/>
          <w:color w:val="000000"/>
          <w:kern w:val="0"/>
          <w:sz w:val="44"/>
          <w:szCs w:val="44"/>
        </w:rPr>
        <w:t>产权调换房源套数及结算价汇总表</w:t>
      </w:r>
    </w:p>
    <w:p>
      <w:pPr>
        <w:widowControl/>
        <w:snapToGrid w:val="0"/>
        <w:jc w:val="center"/>
        <w:rPr>
          <w:rFonts w:ascii="Times New Roman" w:hAnsi="Times New Roman" w:eastAsia="方正仿宋简体"/>
          <w:color w:val="000000"/>
          <w:kern w:val="0"/>
          <w:sz w:val="24"/>
          <w:szCs w:val="24"/>
        </w:rPr>
      </w:pPr>
    </w:p>
    <w:tbl>
      <w:tblPr>
        <w:tblStyle w:val="7"/>
        <w:tblW w:w="9064"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2126"/>
        <w:gridCol w:w="884"/>
        <w:gridCol w:w="1417"/>
        <w:gridCol w:w="1418"/>
        <w:gridCol w:w="1559"/>
        <w:gridCol w:w="81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843" w:type="dxa"/>
            <w:vAlign w:val="center"/>
          </w:tcPr>
          <w:p>
            <w:pPr>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序号</w:t>
            </w:r>
          </w:p>
        </w:tc>
        <w:tc>
          <w:tcPr>
            <w:tcW w:w="2126" w:type="dxa"/>
            <w:vAlign w:val="center"/>
          </w:tcPr>
          <w:p>
            <w:pPr>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楼盘名称</w:t>
            </w:r>
          </w:p>
        </w:tc>
        <w:tc>
          <w:tcPr>
            <w:tcW w:w="884" w:type="dxa"/>
            <w:vAlign w:val="center"/>
          </w:tcPr>
          <w:p>
            <w:pPr>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套数</w:t>
            </w:r>
          </w:p>
        </w:tc>
        <w:tc>
          <w:tcPr>
            <w:tcW w:w="1417" w:type="dxa"/>
            <w:vAlign w:val="center"/>
          </w:tcPr>
          <w:p>
            <w:pPr>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土地使用权</w:t>
            </w:r>
          </w:p>
          <w:p>
            <w:pPr>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类型</w:t>
            </w:r>
          </w:p>
        </w:tc>
        <w:tc>
          <w:tcPr>
            <w:tcW w:w="1418" w:type="dxa"/>
            <w:vAlign w:val="center"/>
          </w:tcPr>
          <w:p>
            <w:pPr>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期房/现房</w:t>
            </w:r>
          </w:p>
        </w:tc>
        <w:tc>
          <w:tcPr>
            <w:tcW w:w="1559" w:type="dxa"/>
            <w:vAlign w:val="center"/>
          </w:tcPr>
          <w:p>
            <w:pPr>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结算价格</w:t>
            </w:r>
          </w:p>
        </w:tc>
        <w:tc>
          <w:tcPr>
            <w:tcW w:w="817" w:type="dxa"/>
            <w:vAlign w:val="center"/>
          </w:tcPr>
          <w:p>
            <w:pPr>
              <w:adjustRightInd w:val="0"/>
              <w:snapToGrid w:val="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77" w:hRule="exact"/>
          <w:jc w:val="center"/>
        </w:trPr>
        <w:tc>
          <w:tcPr>
            <w:tcW w:w="843"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1</w:t>
            </w:r>
          </w:p>
        </w:tc>
        <w:tc>
          <w:tcPr>
            <w:tcW w:w="2126"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融汇温泉圣地亚</w:t>
            </w:r>
            <w:r>
              <w:rPr>
                <w:rFonts w:ascii="Times New Roman" w:hAnsi="Times New Roman" w:eastAsia="方正仿宋_GBK"/>
                <w:color w:val="000000"/>
                <w:kern w:val="0"/>
                <w:sz w:val="24"/>
                <w:szCs w:val="24"/>
              </w:rPr>
              <w:t>3</w:t>
            </w:r>
            <w:r>
              <w:rPr>
                <w:rFonts w:ascii="Times New Roman" w:hAnsi="方正仿宋_GBK" w:eastAsia="方正仿宋_GBK"/>
                <w:color w:val="000000"/>
                <w:kern w:val="0"/>
                <w:sz w:val="24"/>
                <w:szCs w:val="24"/>
              </w:rPr>
              <w:t>号地块</w:t>
            </w:r>
          </w:p>
        </w:tc>
        <w:tc>
          <w:tcPr>
            <w:tcW w:w="884"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w:t>
            </w:r>
          </w:p>
        </w:tc>
        <w:tc>
          <w:tcPr>
            <w:tcW w:w="1417"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出让</w:t>
            </w:r>
          </w:p>
        </w:tc>
        <w:tc>
          <w:tcPr>
            <w:tcW w:w="1418"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现房</w:t>
            </w:r>
          </w:p>
        </w:tc>
        <w:tc>
          <w:tcPr>
            <w:tcW w:w="1559"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hint="eastAsia" w:ascii="Times New Roman" w:hAnsi="方正仿宋_GBK" w:eastAsia="方正仿宋_GBK"/>
                <w:color w:val="000000"/>
                <w:kern w:val="0"/>
                <w:sz w:val="24"/>
                <w:szCs w:val="24"/>
              </w:rPr>
              <w:t>9800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w:t>
            </w:r>
          </w:p>
        </w:tc>
        <w:tc>
          <w:tcPr>
            <w:tcW w:w="817" w:type="dxa"/>
            <w:vAlign w:val="center"/>
          </w:tcPr>
          <w:p>
            <w:pPr>
              <w:adjustRightInd w:val="0"/>
              <w:snapToGrid w:val="0"/>
              <w:jc w:val="center"/>
              <w:textAlignment w:val="center"/>
              <w:rPr>
                <w:rFonts w:ascii="方正仿宋_GBK" w:hAnsi="方正仿宋_GBK" w:eastAsia="方正仿宋_GBK" w:cs="方正仿宋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76" w:hRule="exact"/>
          <w:jc w:val="center"/>
        </w:trPr>
        <w:tc>
          <w:tcPr>
            <w:tcW w:w="843"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w:t>
            </w:r>
          </w:p>
        </w:tc>
        <w:tc>
          <w:tcPr>
            <w:tcW w:w="2126"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叠彩西城</w:t>
            </w:r>
            <w:r>
              <w:rPr>
                <w:rFonts w:ascii="Times New Roman" w:hAnsi="Times New Roman" w:eastAsia="方正仿宋_GBK"/>
                <w:color w:val="000000"/>
                <w:kern w:val="0"/>
                <w:sz w:val="24"/>
                <w:szCs w:val="24"/>
              </w:rPr>
              <w:t>9</w:t>
            </w:r>
            <w:r>
              <w:rPr>
                <w:rFonts w:ascii="Times New Roman" w:hAnsi="方正仿宋_GBK" w:eastAsia="方正仿宋_GBK"/>
                <w:color w:val="000000"/>
                <w:kern w:val="0"/>
                <w:sz w:val="24"/>
                <w:szCs w:val="24"/>
              </w:rPr>
              <w:t>号楼</w:t>
            </w:r>
          </w:p>
        </w:tc>
        <w:tc>
          <w:tcPr>
            <w:tcW w:w="884"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2</w:t>
            </w:r>
          </w:p>
        </w:tc>
        <w:tc>
          <w:tcPr>
            <w:tcW w:w="1417"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划拨</w:t>
            </w:r>
          </w:p>
        </w:tc>
        <w:tc>
          <w:tcPr>
            <w:tcW w:w="1418"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现房</w:t>
            </w:r>
          </w:p>
        </w:tc>
        <w:tc>
          <w:tcPr>
            <w:tcW w:w="1559"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hint="eastAsia" w:ascii="Times New Roman" w:hAnsi="方正仿宋_GBK" w:eastAsia="方正仿宋_GBK"/>
                <w:color w:val="000000"/>
                <w:kern w:val="0"/>
                <w:sz w:val="24"/>
                <w:szCs w:val="24"/>
              </w:rPr>
              <w:t>6900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w:t>
            </w:r>
          </w:p>
        </w:tc>
        <w:tc>
          <w:tcPr>
            <w:tcW w:w="817" w:type="dxa"/>
            <w:vAlign w:val="center"/>
          </w:tcPr>
          <w:p>
            <w:pPr>
              <w:adjustRightInd w:val="0"/>
              <w:snapToGrid w:val="0"/>
              <w:jc w:val="center"/>
              <w:textAlignment w:val="center"/>
              <w:rPr>
                <w:rFonts w:ascii="方正仿宋_GBK" w:hAnsi="方正仿宋_GBK" w:eastAsia="方正仿宋_GBK" w:cs="方正仿宋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71" w:hRule="exact"/>
          <w:jc w:val="center"/>
        </w:trPr>
        <w:tc>
          <w:tcPr>
            <w:tcW w:w="843"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3</w:t>
            </w:r>
          </w:p>
        </w:tc>
        <w:tc>
          <w:tcPr>
            <w:tcW w:w="2126"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畔山桃园</w:t>
            </w:r>
            <w:r>
              <w:rPr>
                <w:rFonts w:ascii="Times New Roman" w:hAnsi="Times New Roman" w:eastAsia="方正仿宋_GBK"/>
                <w:color w:val="000000"/>
                <w:kern w:val="0"/>
                <w:sz w:val="24"/>
                <w:szCs w:val="24"/>
              </w:rPr>
              <w:t>4</w:t>
            </w:r>
            <w:r>
              <w:rPr>
                <w:rFonts w:ascii="Times New Roman" w:hAnsi="方正仿宋_GBK" w:eastAsia="方正仿宋_GBK"/>
                <w:color w:val="000000"/>
                <w:kern w:val="0"/>
                <w:sz w:val="24"/>
                <w:szCs w:val="24"/>
              </w:rPr>
              <w:t>号楼</w:t>
            </w:r>
          </w:p>
        </w:tc>
        <w:tc>
          <w:tcPr>
            <w:tcW w:w="884"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5</w:t>
            </w:r>
          </w:p>
        </w:tc>
        <w:tc>
          <w:tcPr>
            <w:tcW w:w="1417"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划拨</w:t>
            </w:r>
          </w:p>
        </w:tc>
        <w:tc>
          <w:tcPr>
            <w:tcW w:w="1418"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现房</w:t>
            </w:r>
          </w:p>
        </w:tc>
        <w:tc>
          <w:tcPr>
            <w:tcW w:w="1559"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hint="eastAsia" w:ascii="Times New Roman" w:hAnsi="方正仿宋_GBK" w:eastAsia="方正仿宋_GBK"/>
                <w:color w:val="000000"/>
                <w:kern w:val="0"/>
                <w:sz w:val="24"/>
                <w:szCs w:val="24"/>
              </w:rPr>
              <w:t>8800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w:t>
            </w:r>
          </w:p>
        </w:tc>
        <w:tc>
          <w:tcPr>
            <w:tcW w:w="817" w:type="dxa"/>
            <w:vAlign w:val="center"/>
          </w:tcPr>
          <w:p>
            <w:pPr>
              <w:adjustRightInd w:val="0"/>
              <w:snapToGrid w:val="0"/>
              <w:jc w:val="center"/>
              <w:textAlignment w:val="center"/>
              <w:rPr>
                <w:rFonts w:ascii="方正仿宋_GBK" w:hAnsi="方正仿宋_GBK" w:eastAsia="方正仿宋_GBK" w:cs="方正仿宋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843"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4</w:t>
            </w:r>
          </w:p>
        </w:tc>
        <w:tc>
          <w:tcPr>
            <w:tcW w:w="2126"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畔山桃园</w:t>
            </w:r>
            <w:r>
              <w:rPr>
                <w:rFonts w:ascii="Times New Roman" w:hAnsi="Times New Roman" w:eastAsia="方正仿宋_GBK"/>
                <w:color w:val="000000"/>
                <w:kern w:val="0"/>
                <w:sz w:val="24"/>
                <w:szCs w:val="24"/>
              </w:rPr>
              <w:t>1</w:t>
            </w:r>
            <w:r>
              <w:rPr>
                <w:rFonts w:ascii="Times New Roman" w:hAnsi="方正仿宋_GBK" w:eastAsia="方正仿宋_GBK"/>
                <w:color w:val="000000"/>
                <w:kern w:val="0"/>
                <w:sz w:val="24"/>
                <w:szCs w:val="24"/>
              </w:rPr>
              <w:t>号楼</w:t>
            </w:r>
          </w:p>
        </w:tc>
        <w:tc>
          <w:tcPr>
            <w:tcW w:w="884"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4</w:t>
            </w:r>
          </w:p>
        </w:tc>
        <w:tc>
          <w:tcPr>
            <w:tcW w:w="1417"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hint="eastAsia" w:ascii="Times New Roman" w:hAnsi="Times New Roman" w:eastAsia="方正仿宋_GBK"/>
                <w:color w:val="000000"/>
                <w:kern w:val="0"/>
                <w:sz w:val="24"/>
                <w:szCs w:val="24"/>
              </w:rPr>
              <w:t>划拨</w:t>
            </w:r>
          </w:p>
        </w:tc>
        <w:tc>
          <w:tcPr>
            <w:tcW w:w="1418"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ascii="Times New Roman" w:hAnsi="方正仿宋_GBK" w:eastAsia="方正仿宋_GBK"/>
                <w:color w:val="000000"/>
                <w:kern w:val="0"/>
                <w:sz w:val="24"/>
                <w:szCs w:val="24"/>
              </w:rPr>
              <w:t>现房</w:t>
            </w:r>
          </w:p>
        </w:tc>
        <w:tc>
          <w:tcPr>
            <w:tcW w:w="1559" w:type="dxa"/>
            <w:shd w:val="clear" w:color="auto" w:fill="FFFFFF"/>
            <w:vAlign w:val="center"/>
          </w:tcPr>
          <w:p>
            <w:pPr>
              <w:adjustRightInd w:val="0"/>
              <w:snapToGrid w:val="0"/>
              <w:jc w:val="center"/>
              <w:textAlignment w:val="center"/>
              <w:rPr>
                <w:rFonts w:ascii="Times New Roman" w:hAnsi="Times New Roman" w:eastAsia="方正仿宋_GBK"/>
                <w:color w:val="000000"/>
                <w:kern w:val="0"/>
                <w:sz w:val="24"/>
                <w:szCs w:val="24"/>
              </w:rPr>
            </w:pPr>
            <w:r>
              <w:rPr>
                <w:rFonts w:hint="eastAsia" w:ascii="Times New Roman" w:hAnsi="方正仿宋_GBK" w:eastAsia="方正仿宋_GBK"/>
                <w:color w:val="000000"/>
                <w:kern w:val="0"/>
                <w:sz w:val="24"/>
                <w:szCs w:val="24"/>
              </w:rPr>
              <w:t>8800</w:t>
            </w:r>
            <w:r>
              <w:rPr>
                <w:rFonts w:ascii="Times New Roman" w:hAnsi="方正仿宋_GBK" w:eastAsia="方正仿宋_GBK"/>
                <w:color w:val="000000"/>
                <w:kern w:val="0"/>
                <w:sz w:val="24"/>
                <w:szCs w:val="24"/>
              </w:rPr>
              <w:t>元</w:t>
            </w:r>
            <w:r>
              <w:rPr>
                <w:rFonts w:ascii="Times New Roman" w:hAnsi="Times New Roman" w:eastAsia="方正仿宋_GBK"/>
                <w:color w:val="000000"/>
                <w:kern w:val="0"/>
                <w:sz w:val="24"/>
                <w:szCs w:val="24"/>
              </w:rPr>
              <w:t>/</w:t>
            </w:r>
            <w:r>
              <w:rPr>
                <w:rFonts w:ascii="Times New Roman" w:hAnsi="方正仿宋_GBK" w:eastAsia="方正仿宋_GBK"/>
                <w:color w:val="000000"/>
                <w:kern w:val="0"/>
                <w:sz w:val="24"/>
                <w:szCs w:val="24"/>
              </w:rPr>
              <w:t>㎡</w:t>
            </w:r>
          </w:p>
        </w:tc>
        <w:tc>
          <w:tcPr>
            <w:tcW w:w="817" w:type="dxa"/>
            <w:vAlign w:val="center"/>
          </w:tcPr>
          <w:p>
            <w:pPr>
              <w:adjustRightInd w:val="0"/>
              <w:snapToGrid w:val="0"/>
              <w:jc w:val="center"/>
              <w:textAlignment w:val="center"/>
              <w:rPr>
                <w:rFonts w:ascii="方正仿宋_GBK" w:hAnsi="方正仿宋_GBK" w:eastAsia="方正仿宋_GBK" w:cs="方正仿宋_GBK"/>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71" w:hRule="exact"/>
          <w:jc w:val="center"/>
        </w:trPr>
        <w:tc>
          <w:tcPr>
            <w:tcW w:w="2969" w:type="dxa"/>
            <w:gridSpan w:val="2"/>
            <w:shd w:val="clear" w:color="auto" w:fill="FFFFFF"/>
            <w:vAlign w:val="center"/>
          </w:tcPr>
          <w:p>
            <w:pPr>
              <w:adjustRightInd w:val="0"/>
              <w:snapToGrid w:val="0"/>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小计</w:t>
            </w:r>
          </w:p>
        </w:tc>
        <w:tc>
          <w:tcPr>
            <w:tcW w:w="884" w:type="dxa"/>
            <w:shd w:val="clear" w:color="auto" w:fill="FFFFFF"/>
            <w:vAlign w:val="center"/>
          </w:tcPr>
          <w:p>
            <w:pPr>
              <w:adjustRightInd w:val="0"/>
              <w:snapToGrid w:val="0"/>
              <w:jc w:val="center"/>
              <w:textAlignment w:val="center"/>
              <w:rPr>
                <w:rFonts w:ascii="方正仿宋_GBK" w:hAnsi="方正仿宋_GBK" w:eastAsia="方正仿宋_GBK" w:cs="方正仿宋_GBK"/>
                <w:color w:val="000000"/>
                <w:kern w:val="0"/>
                <w:sz w:val="24"/>
                <w:szCs w:val="24"/>
              </w:rPr>
            </w:pPr>
          </w:p>
        </w:tc>
        <w:tc>
          <w:tcPr>
            <w:tcW w:w="1417" w:type="dxa"/>
            <w:shd w:val="clear" w:color="auto" w:fill="FFFFFF"/>
            <w:vAlign w:val="center"/>
          </w:tcPr>
          <w:p>
            <w:pPr>
              <w:adjustRightInd w:val="0"/>
              <w:snapToGrid w:val="0"/>
              <w:jc w:val="center"/>
              <w:textAlignment w:val="center"/>
              <w:rPr>
                <w:rFonts w:ascii="方正仿宋_GBK" w:hAnsi="方正仿宋_GBK" w:eastAsia="方正仿宋_GBK" w:cs="方正仿宋_GBK"/>
                <w:color w:val="000000"/>
                <w:kern w:val="0"/>
                <w:sz w:val="24"/>
                <w:szCs w:val="24"/>
              </w:rPr>
            </w:pPr>
          </w:p>
        </w:tc>
        <w:tc>
          <w:tcPr>
            <w:tcW w:w="1418" w:type="dxa"/>
            <w:shd w:val="clear" w:color="auto" w:fill="FFFFFF"/>
            <w:vAlign w:val="center"/>
          </w:tcPr>
          <w:p>
            <w:pPr>
              <w:adjustRightInd w:val="0"/>
              <w:snapToGrid w:val="0"/>
              <w:jc w:val="center"/>
              <w:textAlignment w:val="center"/>
              <w:rPr>
                <w:rFonts w:ascii="方正仿宋_GBK" w:hAnsi="方正仿宋_GBK" w:eastAsia="方正仿宋_GBK" w:cs="方正仿宋_GBK"/>
                <w:color w:val="000000"/>
                <w:kern w:val="0"/>
                <w:sz w:val="24"/>
                <w:szCs w:val="24"/>
              </w:rPr>
            </w:pPr>
          </w:p>
        </w:tc>
        <w:tc>
          <w:tcPr>
            <w:tcW w:w="1559" w:type="dxa"/>
            <w:shd w:val="clear" w:color="auto" w:fill="FFFFFF"/>
            <w:vAlign w:val="center"/>
          </w:tcPr>
          <w:p>
            <w:pPr>
              <w:adjustRightInd w:val="0"/>
              <w:snapToGrid w:val="0"/>
              <w:jc w:val="center"/>
              <w:textAlignment w:val="center"/>
              <w:rPr>
                <w:rFonts w:ascii="方正仿宋_GBK" w:hAnsi="方正仿宋_GBK" w:eastAsia="方正仿宋_GBK" w:cs="方正仿宋_GBK"/>
                <w:color w:val="000000"/>
                <w:kern w:val="0"/>
                <w:sz w:val="24"/>
                <w:szCs w:val="24"/>
              </w:rPr>
            </w:pPr>
          </w:p>
        </w:tc>
        <w:tc>
          <w:tcPr>
            <w:tcW w:w="817" w:type="dxa"/>
            <w:vAlign w:val="center"/>
          </w:tcPr>
          <w:p>
            <w:pPr>
              <w:adjustRightInd w:val="0"/>
              <w:snapToGrid w:val="0"/>
              <w:jc w:val="center"/>
              <w:textAlignment w:val="center"/>
              <w:rPr>
                <w:rFonts w:ascii="方正仿宋_GBK" w:hAnsi="方正仿宋_GBK" w:eastAsia="方正仿宋_GBK" w:cs="方正仿宋_GBK"/>
                <w:color w:val="000000"/>
                <w:kern w:val="0"/>
                <w:sz w:val="24"/>
                <w:szCs w:val="24"/>
              </w:rPr>
            </w:pPr>
          </w:p>
        </w:tc>
      </w:tr>
    </w:tbl>
    <w:p>
      <w:pPr>
        <w:adjustRightInd w:val="0"/>
        <w:snapToGrid w:val="0"/>
        <w:textAlignment w:val="center"/>
        <w:rPr>
          <w:rFonts w:ascii="方正楷体_GBK" w:hAnsi="方正楷体_GBK" w:eastAsia="方正楷体_GBK" w:cs="方正楷体_GBK"/>
          <w:color w:val="000000"/>
          <w:kern w:val="0"/>
          <w:sz w:val="24"/>
          <w:szCs w:val="24"/>
        </w:rPr>
      </w:pPr>
    </w:p>
    <w:p>
      <w:pPr>
        <w:adjustRightInd w:val="0"/>
        <w:snapToGrid w:val="0"/>
        <w:textAlignment w:val="center"/>
        <w:rPr>
          <w:rFonts w:ascii="方正楷体_GBK" w:hAnsi="方正楷体_GBK" w:eastAsia="方正楷体_GBK" w:cs="方正楷体_GBK"/>
          <w:color w:val="000000"/>
          <w:kern w:val="0"/>
          <w:sz w:val="24"/>
          <w:szCs w:val="24"/>
        </w:rPr>
      </w:pPr>
      <w:r>
        <w:rPr>
          <w:rFonts w:hint="eastAsia" w:ascii="方正楷体_GBK" w:hAnsi="方正楷体_GBK" w:eastAsia="方正楷体_GBK" w:cs="方正楷体_GBK"/>
          <w:color w:val="000000"/>
          <w:kern w:val="0"/>
          <w:sz w:val="24"/>
          <w:szCs w:val="24"/>
        </w:rPr>
        <w:t>注：以上安置房结算价格以建筑面积计价。</w:t>
      </w:r>
    </w:p>
    <w:p>
      <w:pPr>
        <w:snapToGrid w:val="0"/>
        <w:rPr>
          <w:rFonts w:ascii="方正黑体_GBK" w:hAnsi="方正黑体_GBK" w:eastAsia="方正黑体_GBK" w:cs="方正黑体_GBK"/>
          <w:color w:val="000000"/>
          <w:sz w:val="30"/>
          <w:szCs w:val="30"/>
        </w:rPr>
      </w:pPr>
    </w:p>
    <w:p>
      <w:pPr>
        <w:snapToGrid w:val="0"/>
        <w:rPr>
          <w:rFonts w:ascii="方正黑体_GBK" w:hAnsi="方正黑体_GBK" w:eastAsia="方正黑体_GBK" w:cs="方正黑体_GBK"/>
          <w:color w:val="000000"/>
          <w:sz w:val="30"/>
          <w:szCs w:val="30"/>
        </w:rPr>
      </w:pPr>
    </w:p>
    <w:p>
      <w:pPr>
        <w:snapToGrid w:val="0"/>
        <w:rPr>
          <w:rFonts w:hint="eastAsia" w:ascii="方正黑体_GBK" w:hAnsi="方正黑体_GBK" w:eastAsia="方正黑体_GBK" w:cs="方正黑体_GBK"/>
          <w:color w:val="000000"/>
          <w:sz w:val="30"/>
          <w:szCs w:val="30"/>
        </w:rPr>
      </w:pPr>
    </w:p>
    <w:p>
      <w:pPr>
        <w:snapToGrid w:val="0"/>
        <w:rPr>
          <w:rFonts w:hint="eastAsia" w:ascii="方正黑体_GBK" w:hAnsi="方正黑体_GBK" w:eastAsia="方正黑体_GBK" w:cs="方正黑体_GBK"/>
          <w:color w:val="000000"/>
          <w:sz w:val="30"/>
          <w:szCs w:val="30"/>
        </w:rPr>
      </w:pPr>
    </w:p>
    <w:p>
      <w:pPr>
        <w:snapToGrid w:val="0"/>
        <w:rPr>
          <w:rFonts w:hint="eastAsia" w:ascii="方正黑体_GBK" w:hAnsi="方正黑体_GBK" w:eastAsia="方正黑体_GBK" w:cs="方正黑体_GBK"/>
          <w:color w:val="000000"/>
          <w:sz w:val="30"/>
          <w:szCs w:val="30"/>
        </w:rPr>
      </w:pPr>
    </w:p>
    <w:p>
      <w:pPr>
        <w:snapToGrid w:val="0"/>
        <w:rPr>
          <w:rFonts w:hint="eastAsia" w:ascii="方正黑体_GBK" w:hAnsi="方正黑体_GBK" w:eastAsia="方正黑体_GBK" w:cs="方正黑体_GBK"/>
          <w:color w:val="000000"/>
          <w:sz w:val="30"/>
          <w:szCs w:val="30"/>
        </w:rPr>
      </w:pPr>
    </w:p>
    <w:p>
      <w:pPr>
        <w:snapToGrid w:val="0"/>
        <w:rPr>
          <w:rFonts w:hint="eastAsia" w:ascii="方正黑体_GBK" w:hAnsi="方正黑体_GBK" w:eastAsia="方正黑体_GBK" w:cs="方正黑体_GBK"/>
          <w:color w:val="000000"/>
          <w:sz w:val="30"/>
          <w:szCs w:val="30"/>
        </w:rPr>
      </w:pPr>
    </w:p>
    <w:p>
      <w:pPr>
        <w:snapToGrid w:val="0"/>
        <w:rPr>
          <w:rFonts w:hint="eastAsia" w:ascii="方正黑体_GBK" w:hAnsi="方正黑体_GBK" w:eastAsia="方正黑体_GBK" w:cs="方正黑体_GBK"/>
          <w:color w:val="000000"/>
          <w:sz w:val="30"/>
          <w:szCs w:val="30"/>
        </w:rPr>
      </w:pPr>
    </w:p>
    <w:p>
      <w:pPr>
        <w:snapToGrid w:val="0"/>
        <w:rPr>
          <w:rFonts w:hint="eastAsia" w:ascii="方正黑体_GBK" w:hAnsi="方正黑体_GBK" w:eastAsia="方正黑体_GBK" w:cs="方正黑体_GBK"/>
          <w:color w:val="000000"/>
          <w:sz w:val="30"/>
          <w:szCs w:val="30"/>
        </w:rPr>
      </w:pPr>
    </w:p>
    <w:p>
      <w:pPr>
        <w:snapToGrid w:val="0"/>
        <w:rPr>
          <w:rFonts w:hint="eastAsia" w:ascii="方正黑体_GBK" w:hAnsi="方正黑体_GBK" w:eastAsia="方正黑体_GBK" w:cs="方正黑体_GBK"/>
          <w:color w:val="000000"/>
          <w:sz w:val="30"/>
          <w:szCs w:val="30"/>
        </w:rPr>
      </w:pPr>
    </w:p>
    <w:p>
      <w:pPr>
        <w:snapToGrid w:val="0"/>
        <w:rPr>
          <w:rFonts w:hint="eastAsia" w:ascii="方正黑体_GBK" w:hAnsi="方正黑体_GBK" w:eastAsia="方正黑体_GBK" w:cs="方正黑体_GBK"/>
          <w:color w:val="000000"/>
          <w:sz w:val="30"/>
          <w:szCs w:val="30"/>
        </w:rPr>
      </w:pPr>
    </w:p>
    <w:p>
      <w:pPr>
        <w:snapToGrid w:val="0"/>
        <w:rPr>
          <w:rFonts w:hint="eastAsia" w:ascii="方正黑体_GBK" w:hAnsi="方正黑体_GBK" w:eastAsia="方正黑体_GBK" w:cs="方正黑体_GBK"/>
          <w:color w:val="000000"/>
          <w:sz w:val="30"/>
          <w:szCs w:val="30"/>
        </w:rPr>
      </w:pPr>
    </w:p>
    <w:p>
      <w:pPr>
        <w:snapToGrid w:val="0"/>
        <w:rPr>
          <w:rFonts w:ascii="方正黑体_GBK" w:hAnsi="方正黑体_GBK" w:eastAsia="方正黑体_GBK" w:cs="方正黑体_GBK"/>
          <w:color w:val="000000"/>
          <w:sz w:val="30"/>
          <w:szCs w:val="30"/>
        </w:rPr>
      </w:pPr>
    </w:p>
    <w:p>
      <w:pPr>
        <w:snapToGrid w:val="0"/>
        <w:rPr>
          <w:rFonts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t>附表4.1</w:t>
      </w:r>
    </w:p>
    <w:p>
      <w:pPr>
        <w:snapToGrid w:val="0"/>
        <w:ind w:firstLine="1150" w:firstLineChars="250"/>
        <w:rPr>
          <w:rFonts w:hint="eastAsia" w:ascii="方正小标宋_GBK" w:hAnsi="方正小标宋_GBK" w:eastAsia="方正小标宋_GBK" w:cs="方正小标宋_GBK"/>
          <w:color w:val="000000"/>
          <w:kern w:val="0"/>
          <w:sz w:val="44"/>
          <w:szCs w:val="44"/>
        </w:rPr>
      </w:pPr>
      <w:r>
        <w:rPr>
          <w:rFonts w:hint="eastAsia" w:ascii="方正小标宋_GBK" w:hAnsi="Times New Roman" w:eastAsia="方正小标宋_GBK"/>
          <w:bCs/>
          <w:color w:val="000000"/>
          <w:spacing w:val="10"/>
          <w:sz w:val="44"/>
          <w:szCs w:val="44"/>
        </w:rPr>
        <w:t>融汇泉景圣地亚C区北地块3号</w:t>
      </w:r>
      <w:r>
        <w:rPr>
          <w:rFonts w:hint="eastAsia" w:ascii="方正小标宋_GBK" w:hAnsi="方正小标宋_GBK" w:eastAsia="方正小标宋_GBK" w:cs="方正小标宋_GBK"/>
          <w:color w:val="000000"/>
          <w:kern w:val="0"/>
          <w:sz w:val="44"/>
          <w:szCs w:val="44"/>
        </w:rPr>
        <w:t>楼</w:t>
      </w:r>
    </w:p>
    <w:p>
      <w:pPr>
        <w:snapToGrid w:val="0"/>
        <w:ind w:firstLine="3080" w:firstLineChars="700"/>
        <w:rPr>
          <w:rFonts w:ascii="方正黑体_GBK" w:hAnsi="Times New Roman" w:eastAsia="方正黑体_GBK"/>
          <w:bCs/>
          <w:color w:val="000000"/>
          <w:spacing w:val="10"/>
          <w:sz w:val="28"/>
          <w:szCs w:val="28"/>
        </w:rPr>
      </w:pPr>
      <w:r>
        <w:rPr>
          <w:rFonts w:hint="eastAsia" w:ascii="方正小标宋_GBK" w:hAnsi="方正小标宋_GBK" w:eastAsia="方正小标宋_GBK" w:cs="方正小标宋_GBK"/>
          <w:color w:val="000000"/>
          <w:kern w:val="0"/>
          <w:sz w:val="44"/>
          <w:szCs w:val="44"/>
        </w:rPr>
        <w:t>住宅房源明细表</w:t>
      </w:r>
    </w:p>
    <w:tbl>
      <w:tblPr>
        <w:tblStyle w:val="7"/>
        <w:tblW w:w="8221" w:type="dxa"/>
        <w:tblInd w:w="392" w:type="dxa"/>
        <w:tblLayout w:type="autofit"/>
        <w:tblCellMar>
          <w:top w:w="0" w:type="dxa"/>
          <w:left w:w="108" w:type="dxa"/>
          <w:bottom w:w="0" w:type="dxa"/>
          <w:right w:w="108" w:type="dxa"/>
        </w:tblCellMar>
      </w:tblPr>
      <w:tblGrid>
        <w:gridCol w:w="1276"/>
        <w:gridCol w:w="1559"/>
        <w:gridCol w:w="1843"/>
        <w:gridCol w:w="1701"/>
        <w:gridCol w:w="1842"/>
      </w:tblGrid>
      <w:tr>
        <w:tblPrEx>
          <w:tblCellMar>
            <w:top w:w="0" w:type="dxa"/>
            <w:left w:w="108" w:type="dxa"/>
            <w:bottom w:w="0" w:type="dxa"/>
            <w:right w:w="108" w:type="dxa"/>
          </w:tblCellMar>
        </w:tblPrEx>
        <w:trPr>
          <w:trHeight w:val="716"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套号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户型</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建面(㎡)</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黑体_GBK"/>
                <w:kern w:val="0"/>
                <w:sz w:val="24"/>
                <w:szCs w:val="24"/>
              </w:rPr>
            </w:pPr>
            <w:r>
              <w:rPr>
                <w:rFonts w:ascii="Times New Roman" w:hAnsi="Times New Roman" w:eastAsia="方正黑体_GBK"/>
                <w:kern w:val="0"/>
                <w:sz w:val="24"/>
                <w:szCs w:val="24"/>
              </w:rPr>
              <w:t>套内(㎡)</w:t>
            </w:r>
          </w:p>
        </w:tc>
      </w:tr>
      <w:tr>
        <w:tblPrEx>
          <w:tblCellMar>
            <w:top w:w="0" w:type="dxa"/>
            <w:left w:w="108" w:type="dxa"/>
            <w:bottom w:w="0" w:type="dxa"/>
            <w:right w:w="108" w:type="dxa"/>
          </w:tblCellMar>
        </w:tblPrEx>
        <w:trPr>
          <w:trHeight w:val="698" w:hRule="atLeast"/>
        </w:trPr>
        <w:tc>
          <w:tcPr>
            <w:tcW w:w="1276" w:type="dxa"/>
            <w:tcBorders>
              <w:top w:val="nil"/>
              <w:left w:val="single" w:color="auto" w:sz="4" w:space="0"/>
              <w:bottom w:val="single" w:color="auto" w:sz="4" w:space="0"/>
              <w:right w:val="single" w:color="auto" w:sz="4" w:space="0"/>
            </w:tcBorders>
            <w:noWrap/>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1</w:t>
            </w:r>
          </w:p>
        </w:tc>
        <w:tc>
          <w:tcPr>
            <w:tcW w:w="1559"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03-08</w:t>
            </w:r>
          </w:p>
        </w:tc>
        <w:tc>
          <w:tcPr>
            <w:tcW w:w="1843"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两室两厅</w:t>
            </w:r>
          </w:p>
        </w:tc>
        <w:tc>
          <w:tcPr>
            <w:tcW w:w="1701"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73.03</w:t>
            </w:r>
          </w:p>
        </w:tc>
        <w:tc>
          <w:tcPr>
            <w:tcW w:w="1842"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58.79</w:t>
            </w:r>
          </w:p>
        </w:tc>
      </w:tr>
      <w:tr>
        <w:tblPrEx>
          <w:tblCellMar>
            <w:top w:w="0" w:type="dxa"/>
            <w:left w:w="108" w:type="dxa"/>
            <w:bottom w:w="0" w:type="dxa"/>
            <w:right w:w="108" w:type="dxa"/>
          </w:tblCellMar>
        </w:tblPrEx>
        <w:trPr>
          <w:trHeight w:val="696" w:hRule="atLeast"/>
        </w:trPr>
        <w:tc>
          <w:tcPr>
            <w:tcW w:w="1276" w:type="dxa"/>
            <w:tcBorders>
              <w:top w:val="nil"/>
              <w:left w:val="single" w:color="auto" w:sz="4" w:space="0"/>
              <w:bottom w:val="single" w:color="auto" w:sz="4" w:space="0"/>
              <w:right w:val="single" w:color="auto" w:sz="4" w:space="0"/>
            </w:tcBorders>
            <w:noWrap/>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2</w:t>
            </w:r>
          </w:p>
        </w:tc>
        <w:tc>
          <w:tcPr>
            <w:tcW w:w="1559"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04-08</w:t>
            </w:r>
          </w:p>
        </w:tc>
        <w:tc>
          <w:tcPr>
            <w:tcW w:w="1843"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两室两厅</w:t>
            </w:r>
          </w:p>
        </w:tc>
        <w:tc>
          <w:tcPr>
            <w:tcW w:w="1701"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73.03</w:t>
            </w:r>
          </w:p>
        </w:tc>
        <w:tc>
          <w:tcPr>
            <w:tcW w:w="1842"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58.79</w:t>
            </w:r>
          </w:p>
        </w:tc>
      </w:tr>
    </w:tbl>
    <w:p>
      <w:pPr>
        <w:widowControl/>
        <w:snapToGrid w:val="0"/>
        <w:jc w:val="left"/>
        <w:rPr>
          <w:rFonts w:ascii="方正楷体_GBK" w:hAnsi="方正楷体_GBK" w:eastAsia="方正楷体_GBK" w:cs="方正楷体_GBK"/>
          <w:color w:val="000000"/>
          <w:kern w:val="0"/>
          <w:sz w:val="24"/>
          <w:szCs w:val="24"/>
        </w:rPr>
      </w:pPr>
    </w:p>
    <w:p>
      <w:pPr>
        <w:widowControl/>
        <w:jc w:val="center"/>
        <w:textAlignment w:val="center"/>
        <w:rPr>
          <w:rFonts w:hint="eastAsia" w:ascii="方正小标宋_GBK" w:hAnsi="Times New Roman" w:eastAsia="方正小标宋_GBK"/>
          <w:bCs/>
          <w:color w:val="000000"/>
          <w:spacing w:val="10"/>
          <w:sz w:val="44"/>
          <w:szCs w:val="44"/>
        </w:rPr>
      </w:pPr>
    </w:p>
    <w:p>
      <w:pPr>
        <w:widowControl/>
        <w:jc w:val="center"/>
        <w:textAlignment w:val="center"/>
        <w:rPr>
          <w:rFonts w:hint="eastAsia" w:ascii="方正黑体_GBK" w:hAnsi="Times New Roman" w:eastAsia="方正黑体_GBK"/>
          <w:bCs/>
          <w:color w:val="000000"/>
          <w:spacing w:val="10"/>
          <w:sz w:val="28"/>
          <w:szCs w:val="28"/>
        </w:rPr>
      </w:pPr>
      <w:r>
        <w:rPr>
          <w:rFonts w:hint="eastAsia" w:ascii="方正小标宋_GBK" w:hAnsi="Times New Roman" w:eastAsia="方正小标宋_GBK"/>
          <w:bCs/>
          <w:color w:val="000000"/>
          <w:spacing w:val="10"/>
          <w:sz w:val="44"/>
          <w:szCs w:val="44"/>
        </w:rPr>
        <w:t>叠彩·西城9号</w:t>
      </w:r>
      <w:r>
        <w:rPr>
          <w:rFonts w:hint="eastAsia" w:ascii="方正小标宋_GBK" w:hAnsi="方正小标宋_GBK" w:eastAsia="方正小标宋_GBK" w:cs="方正小标宋_GBK"/>
          <w:color w:val="000000"/>
          <w:kern w:val="0"/>
          <w:sz w:val="44"/>
          <w:szCs w:val="44"/>
        </w:rPr>
        <w:t>楼住宅房源明细表</w:t>
      </w:r>
    </w:p>
    <w:tbl>
      <w:tblPr>
        <w:tblStyle w:val="7"/>
        <w:tblW w:w="8221" w:type="dxa"/>
        <w:tblInd w:w="392" w:type="dxa"/>
        <w:tblLayout w:type="autofit"/>
        <w:tblCellMar>
          <w:top w:w="0" w:type="dxa"/>
          <w:left w:w="108" w:type="dxa"/>
          <w:bottom w:w="0" w:type="dxa"/>
          <w:right w:w="108" w:type="dxa"/>
        </w:tblCellMar>
      </w:tblPr>
      <w:tblGrid>
        <w:gridCol w:w="1276"/>
        <w:gridCol w:w="1559"/>
        <w:gridCol w:w="1843"/>
        <w:gridCol w:w="1701"/>
        <w:gridCol w:w="1842"/>
      </w:tblGrid>
      <w:tr>
        <w:tblPrEx>
          <w:tblCellMar>
            <w:top w:w="0" w:type="dxa"/>
            <w:left w:w="108" w:type="dxa"/>
            <w:bottom w:w="0" w:type="dxa"/>
            <w:right w:w="108" w:type="dxa"/>
          </w:tblCellMar>
        </w:tblPrEx>
        <w:trPr>
          <w:trHeight w:val="720"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套号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户型</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建面(㎡)</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ascii="Times New Roman" w:hAnsi="Times New Roman" w:eastAsia="方正黑体_GBK"/>
                <w:kern w:val="0"/>
                <w:sz w:val="24"/>
                <w:szCs w:val="24"/>
              </w:rPr>
              <w:t>套内(㎡)</w:t>
            </w:r>
          </w:p>
        </w:tc>
      </w:tr>
      <w:tr>
        <w:tblPrEx>
          <w:tblCellMar>
            <w:top w:w="0" w:type="dxa"/>
            <w:left w:w="108" w:type="dxa"/>
            <w:bottom w:w="0" w:type="dxa"/>
            <w:right w:w="108" w:type="dxa"/>
          </w:tblCellMar>
        </w:tblPrEx>
        <w:trPr>
          <w:trHeight w:val="560" w:hRule="atLeast"/>
        </w:trPr>
        <w:tc>
          <w:tcPr>
            <w:tcW w:w="127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4"/>
                <w:szCs w:val="24"/>
              </w:rPr>
            </w:pPr>
            <w:r>
              <w:rPr>
                <w:rFonts w:ascii="Times New Roman" w:hAnsi="Times New Roman" w:eastAsia="方正仿宋_GBK"/>
                <w:kern w:val="0"/>
                <w:sz w:val="24"/>
                <w:szCs w:val="24"/>
              </w:rPr>
              <w:t>1</w:t>
            </w:r>
          </w:p>
        </w:tc>
        <w:tc>
          <w:tcPr>
            <w:tcW w:w="1559"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06-03</w:t>
            </w:r>
          </w:p>
        </w:tc>
        <w:tc>
          <w:tcPr>
            <w:tcW w:w="1843"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两室一厅</w:t>
            </w:r>
          </w:p>
        </w:tc>
        <w:tc>
          <w:tcPr>
            <w:tcW w:w="1701"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73.99</w:t>
            </w:r>
          </w:p>
        </w:tc>
        <w:tc>
          <w:tcPr>
            <w:tcW w:w="1842"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59.05</w:t>
            </w:r>
          </w:p>
        </w:tc>
      </w:tr>
      <w:tr>
        <w:tblPrEx>
          <w:tblCellMar>
            <w:top w:w="0" w:type="dxa"/>
            <w:left w:w="108" w:type="dxa"/>
            <w:bottom w:w="0" w:type="dxa"/>
            <w:right w:w="108" w:type="dxa"/>
          </w:tblCellMar>
        </w:tblPrEx>
        <w:trPr>
          <w:trHeight w:val="555" w:hRule="atLeast"/>
        </w:trPr>
        <w:tc>
          <w:tcPr>
            <w:tcW w:w="1276"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4"/>
                <w:szCs w:val="24"/>
              </w:rPr>
            </w:pPr>
            <w:r>
              <w:rPr>
                <w:rFonts w:ascii="Times New Roman" w:hAnsi="Times New Roman" w:eastAsia="方正仿宋_GBK"/>
                <w:kern w:val="0"/>
                <w:sz w:val="24"/>
                <w:szCs w:val="24"/>
              </w:rPr>
              <w:t>2</w:t>
            </w:r>
          </w:p>
        </w:tc>
        <w:tc>
          <w:tcPr>
            <w:tcW w:w="1559"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14-03</w:t>
            </w:r>
          </w:p>
        </w:tc>
        <w:tc>
          <w:tcPr>
            <w:tcW w:w="1843"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两室一厅</w:t>
            </w:r>
          </w:p>
        </w:tc>
        <w:tc>
          <w:tcPr>
            <w:tcW w:w="1701"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73.99</w:t>
            </w:r>
          </w:p>
        </w:tc>
        <w:tc>
          <w:tcPr>
            <w:tcW w:w="1842"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59.05</w:t>
            </w:r>
          </w:p>
        </w:tc>
      </w:tr>
    </w:tbl>
    <w:p>
      <w:pPr>
        <w:widowControl/>
        <w:spacing w:line="384" w:lineRule="auto"/>
        <w:rPr>
          <w:rFonts w:hint="eastAsia" w:ascii="Times New Roman" w:hAnsi="Times New Roman" w:eastAsia="方正黑体_GBK"/>
          <w:sz w:val="28"/>
          <w:szCs w:val="28"/>
        </w:rPr>
      </w:pPr>
    </w:p>
    <w:p>
      <w:pPr>
        <w:widowControl/>
        <w:spacing w:line="384" w:lineRule="auto"/>
        <w:rPr>
          <w:rFonts w:hint="eastAsia" w:ascii="Times New Roman" w:hAnsi="Times New Roman" w:eastAsia="方正黑体_GBK"/>
          <w:sz w:val="28"/>
          <w:szCs w:val="28"/>
        </w:rPr>
      </w:pPr>
    </w:p>
    <w:p>
      <w:pPr>
        <w:widowControl/>
        <w:spacing w:line="384" w:lineRule="auto"/>
        <w:rPr>
          <w:rFonts w:hint="eastAsia" w:ascii="Times New Roman" w:hAnsi="Times New Roman" w:eastAsia="方正黑体_GBK"/>
          <w:sz w:val="28"/>
          <w:szCs w:val="28"/>
        </w:rPr>
      </w:pPr>
    </w:p>
    <w:p>
      <w:pPr>
        <w:widowControl/>
        <w:spacing w:line="384" w:lineRule="auto"/>
        <w:rPr>
          <w:rFonts w:hint="eastAsia" w:ascii="Times New Roman" w:hAnsi="Times New Roman" w:eastAsia="方正黑体_GBK"/>
          <w:sz w:val="28"/>
          <w:szCs w:val="28"/>
        </w:rPr>
      </w:pPr>
    </w:p>
    <w:p>
      <w:pPr>
        <w:widowControl/>
        <w:spacing w:line="384" w:lineRule="auto"/>
        <w:rPr>
          <w:rFonts w:hint="eastAsia" w:ascii="Times New Roman" w:hAnsi="Times New Roman" w:eastAsia="方正黑体_GBK"/>
          <w:sz w:val="28"/>
          <w:szCs w:val="28"/>
        </w:rPr>
      </w:pPr>
    </w:p>
    <w:p>
      <w:pPr>
        <w:widowControl/>
        <w:spacing w:line="384" w:lineRule="auto"/>
        <w:rPr>
          <w:rFonts w:hint="eastAsia" w:ascii="Times New Roman" w:hAnsi="Times New Roman" w:eastAsia="方正黑体_GBK"/>
          <w:sz w:val="28"/>
          <w:szCs w:val="28"/>
        </w:rPr>
      </w:pPr>
    </w:p>
    <w:p>
      <w:pPr>
        <w:widowControl/>
        <w:spacing w:line="384" w:lineRule="auto"/>
        <w:rPr>
          <w:rFonts w:hint="eastAsia" w:ascii="Times New Roman" w:hAnsi="Times New Roman" w:eastAsia="方正黑体_GBK"/>
          <w:sz w:val="28"/>
          <w:szCs w:val="28"/>
        </w:rPr>
      </w:pPr>
    </w:p>
    <w:p>
      <w:pPr>
        <w:snapToGrid w:val="0"/>
        <w:rPr>
          <w:rFonts w:hint="eastAsia" w:ascii="方正黑体_GBK" w:hAnsi="方正黑体_GBK" w:eastAsia="方正黑体_GBK" w:cs="方正黑体_GBK"/>
          <w:color w:val="000000"/>
          <w:sz w:val="30"/>
          <w:szCs w:val="30"/>
        </w:rPr>
      </w:pPr>
      <w:r>
        <w:rPr>
          <w:rFonts w:hint="eastAsia" w:ascii="方正黑体_GBK" w:hAnsi="方正黑体_GBK" w:eastAsia="方正黑体_GBK" w:cs="方正黑体_GBK"/>
          <w:color w:val="000000"/>
          <w:sz w:val="30"/>
          <w:szCs w:val="30"/>
        </w:rPr>
        <w:t>附表4.2</w:t>
      </w:r>
    </w:p>
    <w:p>
      <w:pPr>
        <w:snapToGrid w:val="0"/>
        <w:ind w:firstLine="1610" w:firstLineChars="350"/>
        <w:rPr>
          <w:rFonts w:ascii="方正黑体_GBK" w:hAnsi="Times New Roman" w:eastAsia="方正黑体_GBK"/>
          <w:bCs/>
          <w:color w:val="000000"/>
          <w:spacing w:val="10"/>
          <w:sz w:val="28"/>
          <w:szCs w:val="28"/>
        </w:rPr>
      </w:pPr>
      <w:r>
        <w:rPr>
          <w:rFonts w:hint="eastAsia" w:ascii="方正小标宋_GBK" w:hAnsi="Times New Roman" w:eastAsia="方正小标宋_GBK"/>
          <w:bCs/>
          <w:color w:val="000000"/>
          <w:spacing w:val="10"/>
          <w:sz w:val="44"/>
          <w:szCs w:val="44"/>
        </w:rPr>
        <w:t>畔山桃园1号</w:t>
      </w:r>
      <w:r>
        <w:rPr>
          <w:rFonts w:hint="eastAsia" w:ascii="方正小标宋_GBK" w:hAnsi="方正小标宋_GBK" w:eastAsia="方正小标宋_GBK" w:cs="方正小标宋_GBK"/>
          <w:color w:val="000000"/>
          <w:kern w:val="0"/>
          <w:sz w:val="44"/>
          <w:szCs w:val="44"/>
        </w:rPr>
        <w:t>楼住宅房源明细表</w:t>
      </w:r>
    </w:p>
    <w:tbl>
      <w:tblPr>
        <w:tblStyle w:val="7"/>
        <w:tblW w:w="8221" w:type="dxa"/>
        <w:tblInd w:w="392" w:type="dxa"/>
        <w:tblLayout w:type="autofit"/>
        <w:tblCellMar>
          <w:top w:w="0" w:type="dxa"/>
          <w:left w:w="108" w:type="dxa"/>
          <w:bottom w:w="0" w:type="dxa"/>
          <w:right w:w="108" w:type="dxa"/>
        </w:tblCellMar>
      </w:tblPr>
      <w:tblGrid>
        <w:gridCol w:w="1276"/>
        <w:gridCol w:w="1559"/>
        <w:gridCol w:w="1843"/>
        <w:gridCol w:w="1701"/>
        <w:gridCol w:w="1842"/>
      </w:tblGrid>
      <w:tr>
        <w:tblPrEx>
          <w:tblCellMar>
            <w:top w:w="0" w:type="dxa"/>
            <w:left w:w="108" w:type="dxa"/>
            <w:bottom w:w="0" w:type="dxa"/>
            <w:right w:w="108" w:type="dxa"/>
          </w:tblCellMar>
        </w:tblPrEx>
        <w:trPr>
          <w:trHeight w:val="574"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套号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户型</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建面(㎡)</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套内(㎡)</w:t>
            </w:r>
          </w:p>
        </w:tc>
      </w:tr>
      <w:tr>
        <w:tblPrEx>
          <w:tblCellMar>
            <w:top w:w="0" w:type="dxa"/>
            <w:left w:w="108" w:type="dxa"/>
            <w:bottom w:w="0" w:type="dxa"/>
            <w:right w:w="108" w:type="dxa"/>
          </w:tblCellMar>
        </w:tblPrEx>
        <w:trPr>
          <w:trHeight w:val="640" w:hRule="atLeast"/>
        </w:trPr>
        <w:tc>
          <w:tcPr>
            <w:tcW w:w="1276" w:type="dxa"/>
            <w:tcBorders>
              <w:top w:val="nil"/>
              <w:left w:val="single" w:color="auto" w:sz="4" w:space="0"/>
              <w:bottom w:val="single" w:color="auto" w:sz="4" w:space="0"/>
              <w:right w:val="single" w:color="auto" w:sz="4" w:space="0"/>
            </w:tcBorders>
            <w:noWrap/>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1</w:t>
            </w:r>
          </w:p>
        </w:tc>
        <w:tc>
          <w:tcPr>
            <w:tcW w:w="1559"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29-04</w:t>
            </w:r>
          </w:p>
        </w:tc>
        <w:tc>
          <w:tcPr>
            <w:tcW w:w="1843"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Cs w:val="21"/>
              </w:rPr>
            </w:pPr>
            <w:r>
              <w:rPr>
                <w:rFonts w:ascii="Times New Roman" w:hAnsi="Times New Roman" w:eastAsia="方正仿宋_GBK"/>
                <w:color w:val="111111"/>
                <w:szCs w:val="21"/>
              </w:rPr>
              <w:t>两室两厅</w:t>
            </w:r>
          </w:p>
        </w:tc>
        <w:tc>
          <w:tcPr>
            <w:tcW w:w="1701"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63.42</w:t>
            </w:r>
          </w:p>
        </w:tc>
        <w:tc>
          <w:tcPr>
            <w:tcW w:w="1842"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52.3</w:t>
            </w:r>
          </w:p>
        </w:tc>
      </w:tr>
      <w:tr>
        <w:tblPrEx>
          <w:tblCellMar>
            <w:top w:w="0" w:type="dxa"/>
            <w:left w:w="108" w:type="dxa"/>
            <w:bottom w:w="0" w:type="dxa"/>
            <w:right w:w="108" w:type="dxa"/>
          </w:tblCellMar>
        </w:tblPrEx>
        <w:trPr>
          <w:trHeight w:val="535" w:hRule="atLeast"/>
        </w:trPr>
        <w:tc>
          <w:tcPr>
            <w:tcW w:w="1276" w:type="dxa"/>
            <w:tcBorders>
              <w:top w:val="nil"/>
              <w:left w:val="single" w:color="auto" w:sz="4" w:space="0"/>
              <w:bottom w:val="single" w:color="auto" w:sz="4" w:space="0"/>
              <w:right w:val="single" w:color="auto" w:sz="4" w:space="0"/>
            </w:tcBorders>
            <w:noWrap/>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2</w:t>
            </w:r>
          </w:p>
        </w:tc>
        <w:tc>
          <w:tcPr>
            <w:tcW w:w="1559"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31-04</w:t>
            </w:r>
          </w:p>
        </w:tc>
        <w:tc>
          <w:tcPr>
            <w:tcW w:w="1843"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Cs w:val="21"/>
              </w:rPr>
            </w:pPr>
            <w:r>
              <w:rPr>
                <w:rFonts w:ascii="Times New Roman" w:hAnsi="Times New Roman" w:eastAsia="方正仿宋_GBK"/>
                <w:color w:val="111111"/>
                <w:szCs w:val="21"/>
              </w:rPr>
              <w:t>两室两厅</w:t>
            </w:r>
          </w:p>
        </w:tc>
        <w:tc>
          <w:tcPr>
            <w:tcW w:w="1701"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63.42</w:t>
            </w:r>
          </w:p>
        </w:tc>
        <w:tc>
          <w:tcPr>
            <w:tcW w:w="1842"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52.3</w:t>
            </w:r>
          </w:p>
        </w:tc>
      </w:tr>
      <w:tr>
        <w:tblPrEx>
          <w:tblCellMar>
            <w:top w:w="0" w:type="dxa"/>
            <w:left w:w="108" w:type="dxa"/>
            <w:bottom w:w="0" w:type="dxa"/>
            <w:right w:w="108" w:type="dxa"/>
          </w:tblCellMar>
        </w:tblPrEx>
        <w:trPr>
          <w:trHeight w:val="601" w:hRule="atLeast"/>
        </w:trPr>
        <w:tc>
          <w:tcPr>
            <w:tcW w:w="1276" w:type="dxa"/>
            <w:tcBorders>
              <w:top w:val="nil"/>
              <w:left w:val="single" w:color="auto" w:sz="4" w:space="0"/>
              <w:bottom w:val="single" w:color="auto" w:sz="4" w:space="0"/>
              <w:right w:val="single" w:color="auto" w:sz="4" w:space="0"/>
            </w:tcBorders>
            <w:noWrap/>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3</w:t>
            </w:r>
          </w:p>
        </w:tc>
        <w:tc>
          <w:tcPr>
            <w:tcW w:w="1559"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32-04</w:t>
            </w:r>
          </w:p>
        </w:tc>
        <w:tc>
          <w:tcPr>
            <w:tcW w:w="1843"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Cs w:val="21"/>
              </w:rPr>
            </w:pPr>
            <w:r>
              <w:rPr>
                <w:rFonts w:ascii="Times New Roman" w:hAnsi="Times New Roman" w:eastAsia="方正仿宋_GBK"/>
                <w:color w:val="111111"/>
                <w:szCs w:val="21"/>
              </w:rPr>
              <w:t>两室两厅</w:t>
            </w:r>
          </w:p>
        </w:tc>
        <w:tc>
          <w:tcPr>
            <w:tcW w:w="1701"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63.42</w:t>
            </w:r>
          </w:p>
        </w:tc>
        <w:tc>
          <w:tcPr>
            <w:tcW w:w="1842"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52.3</w:t>
            </w:r>
          </w:p>
        </w:tc>
      </w:tr>
      <w:tr>
        <w:tblPrEx>
          <w:tblCellMar>
            <w:top w:w="0" w:type="dxa"/>
            <w:left w:w="108" w:type="dxa"/>
            <w:bottom w:w="0" w:type="dxa"/>
            <w:right w:w="108" w:type="dxa"/>
          </w:tblCellMar>
        </w:tblPrEx>
        <w:trPr>
          <w:trHeight w:val="526" w:hRule="atLeast"/>
        </w:trPr>
        <w:tc>
          <w:tcPr>
            <w:tcW w:w="1276" w:type="dxa"/>
            <w:tcBorders>
              <w:top w:val="nil"/>
              <w:left w:val="single" w:color="auto" w:sz="4" w:space="0"/>
              <w:bottom w:val="single" w:color="auto" w:sz="4" w:space="0"/>
              <w:right w:val="single" w:color="auto" w:sz="4" w:space="0"/>
            </w:tcBorders>
            <w:noWrap/>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4</w:t>
            </w:r>
          </w:p>
        </w:tc>
        <w:tc>
          <w:tcPr>
            <w:tcW w:w="1559"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33-04</w:t>
            </w:r>
          </w:p>
        </w:tc>
        <w:tc>
          <w:tcPr>
            <w:tcW w:w="1843"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Cs w:val="21"/>
              </w:rPr>
            </w:pPr>
            <w:r>
              <w:rPr>
                <w:rFonts w:ascii="Times New Roman" w:hAnsi="Times New Roman" w:eastAsia="方正仿宋_GBK"/>
                <w:color w:val="111111"/>
                <w:szCs w:val="21"/>
              </w:rPr>
              <w:t>两室两厅</w:t>
            </w:r>
          </w:p>
        </w:tc>
        <w:tc>
          <w:tcPr>
            <w:tcW w:w="1701"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63.42</w:t>
            </w:r>
          </w:p>
        </w:tc>
        <w:tc>
          <w:tcPr>
            <w:tcW w:w="1842"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8"/>
                <w:szCs w:val="28"/>
              </w:rPr>
            </w:pPr>
            <w:r>
              <w:rPr>
                <w:rFonts w:ascii="Times New Roman" w:hAnsi="Times New Roman" w:eastAsia="方正仿宋_GBK"/>
                <w:color w:val="111111"/>
                <w:sz w:val="28"/>
                <w:szCs w:val="28"/>
              </w:rPr>
              <w:t>52.3</w:t>
            </w:r>
          </w:p>
        </w:tc>
      </w:tr>
    </w:tbl>
    <w:p>
      <w:pPr>
        <w:widowControl/>
        <w:spacing w:line="384" w:lineRule="auto"/>
        <w:rPr>
          <w:rFonts w:hint="eastAsia" w:ascii="Times New Roman" w:hAnsi="Times New Roman" w:eastAsia="方正黑体_GBK"/>
          <w:sz w:val="28"/>
          <w:szCs w:val="28"/>
        </w:rPr>
      </w:pPr>
    </w:p>
    <w:p>
      <w:pPr>
        <w:widowControl/>
        <w:spacing w:line="384" w:lineRule="auto"/>
        <w:jc w:val="center"/>
        <w:rPr>
          <w:rFonts w:ascii="Times New Roman" w:hAnsi="Times New Roman" w:eastAsia="方正黑体_GBK"/>
          <w:sz w:val="28"/>
          <w:szCs w:val="28"/>
        </w:rPr>
      </w:pPr>
      <w:r>
        <w:rPr>
          <w:rFonts w:hint="eastAsia" w:ascii="方正小标宋_GBK" w:hAnsi="Times New Roman" w:eastAsia="方正小标宋_GBK"/>
          <w:bCs/>
          <w:color w:val="000000"/>
          <w:spacing w:val="10"/>
          <w:sz w:val="44"/>
          <w:szCs w:val="44"/>
        </w:rPr>
        <w:t xml:space="preserve">   畔山桃园4号</w:t>
      </w:r>
      <w:r>
        <w:rPr>
          <w:rFonts w:hint="eastAsia" w:ascii="方正小标宋_GBK" w:hAnsi="方正小标宋_GBK" w:eastAsia="方正小标宋_GBK" w:cs="方正小标宋_GBK"/>
          <w:color w:val="000000"/>
          <w:kern w:val="0"/>
          <w:sz w:val="44"/>
          <w:szCs w:val="44"/>
        </w:rPr>
        <w:t>楼住宅房源明细表</w:t>
      </w:r>
    </w:p>
    <w:tbl>
      <w:tblPr>
        <w:tblStyle w:val="7"/>
        <w:tblW w:w="8221" w:type="dxa"/>
        <w:tblInd w:w="392" w:type="dxa"/>
        <w:tblLayout w:type="autofit"/>
        <w:tblCellMar>
          <w:top w:w="0" w:type="dxa"/>
          <w:left w:w="108" w:type="dxa"/>
          <w:bottom w:w="0" w:type="dxa"/>
          <w:right w:w="108" w:type="dxa"/>
        </w:tblCellMar>
      </w:tblPr>
      <w:tblGrid>
        <w:gridCol w:w="1276"/>
        <w:gridCol w:w="1559"/>
        <w:gridCol w:w="1843"/>
        <w:gridCol w:w="1701"/>
        <w:gridCol w:w="1842"/>
      </w:tblGrid>
      <w:tr>
        <w:tblPrEx>
          <w:tblCellMar>
            <w:top w:w="0" w:type="dxa"/>
            <w:left w:w="108" w:type="dxa"/>
            <w:bottom w:w="0" w:type="dxa"/>
            <w:right w:w="108" w:type="dxa"/>
          </w:tblCellMar>
        </w:tblPrEx>
        <w:trPr>
          <w:trHeight w:val="650"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套号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户型</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建面(㎡)</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方正黑体_GBK" w:hAnsi="Times New Roman" w:eastAsia="方正黑体_GBK"/>
                <w:kern w:val="0"/>
                <w:sz w:val="24"/>
                <w:szCs w:val="24"/>
              </w:rPr>
            </w:pPr>
            <w:r>
              <w:rPr>
                <w:rFonts w:hint="eastAsia" w:ascii="方正黑体_GBK" w:hAnsi="Times New Roman" w:eastAsia="方正黑体_GBK"/>
                <w:kern w:val="0"/>
                <w:sz w:val="24"/>
                <w:szCs w:val="24"/>
              </w:rPr>
              <w:t>套内(㎡)</w:t>
            </w:r>
          </w:p>
        </w:tc>
      </w:tr>
      <w:tr>
        <w:tblPrEx>
          <w:tblCellMar>
            <w:top w:w="0" w:type="dxa"/>
            <w:left w:w="108" w:type="dxa"/>
            <w:bottom w:w="0" w:type="dxa"/>
            <w:right w:w="108" w:type="dxa"/>
          </w:tblCellMar>
        </w:tblPrEx>
        <w:trPr>
          <w:trHeight w:val="688" w:hRule="atLeast"/>
        </w:trPr>
        <w:tc>
          <w:tcPr>
            <w:tcW w:w="1276" w:type="dxa"/>
            <w:tcBorders>
              <w:top w:val="nil"/>
              <w:left w:val="single" w:color="auto" w:sz="4" w:space="0"/>
              <w:bottom w:val="single" w:color="auto" w:sz="4" w:space="0"/>
              <w:right w:val="single" w:color="auto" w:sz="4" w:space="0"/>
            </w:tcBorders>
            <w:noWrap/>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1</w:t>
            </w:r>
          </w:p>
        </w:tc>
        <w:tc>
          <w:tcPr>
            <w:tcW w:w="1559"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06-03</w:t>
            </w:r>
          </w:p>
        </w:tc>
        <w:tc>
          <w:tcPr>
            <w:tcW w:w="1843"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三室两厅</w:t>
            </w:r>
          </w:p>
        </w:tc>
        <w:tc>
          <w:tcPr>
            <w:tcW w:w="1701"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107.98</w:t>
            </w:r>
          </w:p>
        </w:tc>
        <w:tc>
          <w:tcPr>
            <w:tcW w:w="1842"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90.76</w:t>
            </w:r>
          </w:p>
        </w:tc>
      </w:tr>
      <w:tr>
        <w:tblPrEx>
          <w:tblCellMar>
            <w:top w:w="0" w:type="dxa"/>
            <w:left w:w="108" w:type="dxa"/>
            <w:bottom w:w="0" w:type="dxa"/>
            <w:right w:w="108" w:type="dxa"/>
          </w:tblCellMar>
        </w:tblPrEx>
        <w:trPr>
          <w:trHeight w:val="707" w:hRule="atLeast"/>
        </w:trPr>
        <w:tc>
          <w:tcPr>
            <w:tcW w:w="1276" w:type="dxa"/>
            <w:tcBorders>
              <w:top w:val="nil"/>
              <w:left w:val="single" w:color="auto" w:sz="4" w:space="0"/>
              <w:bottom w:val="single" w:color="auto" w:sz="4" w:space="0"/>
              <w:right w:val="single" w:color="auto" w:sz="4" w:space="0"/>
            </w:tcBorders>
            <w:noWrap/>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2</w:t>
            </w:r>
          </w:p>
        </w:tc>
        <w:tc>
          <w:tcPr>
            <w:tcW w:w="1559"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14-03</w:t>
            </w:r>
          </w:p>
        </w:tc>
        <w:tc>
          <w:tcPr>
            <w:tcW w:w="1843"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三室两厅</w:t>
            </w:r>
          </w:p>
        </w:tc>
        <w:tc>
          <w:tcPr>
            <w:tcW w:w="1701" w:type="dxa"/>
            <w:tcBorders>
              <w:top w:val="nil"/>
              <w:left w:val="nil"/>
              <w:bottom w:val="single" w:color="auto" w:sz="4" w:space="0"/>
              <w:right w:val="single" w:color="auto" w:sz="4" w:space="0"/>
            </w:tcBorders>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107.98</w:t>
            </w:r>
          </w:p>
        </w:tc>
        <w:tc>
          <w:tcPr>
            <w:tcW w:w="1842" w:type="dxa"/>
            <w:tcBorders>
              <w:top w:val="nil"/>
              <w:left w:val="nil"/>
              <w:bottom w:val="single" w:color="auto" w:sz="4" w:space="0"/>
              <w:right w:val="single" w:color="auto" w:sz="4" w:space="0"/>
            </w:tcBorders>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90.76</w:t>
            </w:r>
          </w:p>
        </w:tc>
      </w:tr>
      <w:tr>
        <w:tblPrEx>
          <w:tblCellMar>
            <w:top w:w="0" w:type="dxa"/>
            <w:left w:w="108" w:type="dxa"/>
            <w:bottom w:w="0" w:type="dxa"/>
            <w:right w:w="108" w:type="dxa"/>
          </w:tblCellMar>
        </w:tblPrEx>
        <w:trPr>
          <w:trHeight w:val="715" w:hRule="atLeast"/>
        </w:trPr>
        <w:tc>
          <w:tcPr>
            <w:tcW w:w="1276" w:type="dxa"/>
            <w:tcBorders>
              <w:top w:val="nil"/>
              <w:left w:val="single" w:color="auto" w:sz="4" w:space="0"/>
              <w:bottom w:val="single" w:color="auto" w:sz="4" w:space="0"/>
              <w:right w:val="single" w:color="auto" w:sz="4" w:space="0"/>
            </w:tcBorders>
            <w:noWrap/>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3</w:t>
            </w:r>
          </w:p>
        </w:tc>
        <w:tc>
          <w:tcPr>
            <w:tcW w:w="1559"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26-02</w:t>
            </w:r>
          </w:p>
        </w:tc>
        <w:tc>
          <w:tcPr>
            <w:tcW w:w="1843" w:type="dxa"/>
            <w:tcBorders>
              <w:top w:val="nil"/>
              <w:left w:val="nil"/>
              <w:bottom w:val="single" w:color="auto" w:sz="4" w:space="0"/>
              <w:right w:val="single" w:color="auto" w:sz="4" w:space="0"/>
            </w:tcBorders>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三室两厅</w:t>
            </w:r>
          </w:p>
        </w:tc>
        <w:tc>
          <w:tcPr>
            <w:tcW w:w="1701" w:type="dxa"/>
            <w:tcBorders>
              <w:top w:val="nil"/>
              <w:left w:val="nil"/>
              <w:bottom w:val="single" w:color="auto" w:sz="4" w:space="0"/>
              <w:right w:val="single" w:color="auto" w:sz="4" w:space="0"/>
            </w:tcBorders>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10</w:t>
            </w:r>
            <w:r>
              <w:rPr>
                <w:rFonts w:hint="eastAsia" w:ascii="Times New Roman" w:hAnsi="Times New Roman" w:eastAsia="方正仿宋_GBK"/>
                <w:color w:val="111111"/>
                <w:sz w:val="24"/>
                <w:szCs w:val="24"/>
              </w:rPr>
              <w:t>8.73</w:t>
            </w:r>
          </w:p>
        </w:tc>
        <w:tc>
          <w:tcPr>
            <w:tcW w:w="1842" w:type="dxa"/>
            <w:tcBorders>
              <w:top w:val="nil"/>
              <w:left w:val="nil"/>
              <w:bottom w:val="single" w:color="auto" w:sz="4" w:space="0"/>
              <w:right w:val="single" w:color="auto" w:sz="4" w:space="0"/>
            </w:tcBorders>
          </w:tcPr>
          <w:p>
            <w:pPr>
              <w:spacing w:line="384" w:lineRule="auto"/>
              <w:jc w:val="center"/>
              <w:rPr>
                <w:rFonts w:ascii="Times New Roman" w:hAnsi="Times New Roman" w:eastAsia="方正仿宋_GBK"/>
                <w:color w:val="111111"/>
                <w:sz w:val="24"/>
                <w:szCs w:val="24"/>
              </w:rPr>
            </w:pPr>
            <w:r>
              <w:rPr>
                <w:rFonts w:hint="eastAsia" w:ascii="Times New Roman" w:hAnsi="Times New Roman" w:eastAsia="方正仿宋_GBK"/>
                <w:color w:val="111111"/>
                <w:sz w:val="24"/>
                <w:szCs w:val="24"/>
              </w:rPr>
              <w:t>91.39</w:t>
            </w:r>
          </w:p>
        </w:tc>
      </w:tr>
      <w:tr>
        <w:tblPrEx>
          <w:tblCellMar>
            <w:top w:w="0" w:type="dxa"/>
            <w:left w:w="108" w:type="dxa"/>
            <w:bottom w:w="0" w:type="dxa"/>
            <w:right w:w="108" w:type="dxa"/>
          </w:tblCellMar>
        </w:tblPrEx>
        <w:trPr>
          <w:trHeight w:val="695" w:hRule="atLeast"/>
        </w:trPr>
        <w:tc>
          <w:tcPr>
            <w:tcW w:w="1276" w:type="dxa"/>
            <w:tcBorders>
              <w:top w:val="nil"/>
              <w:left w:val="single" w:color="auto" w:sz="4" w:space="0"/>
              <w:bottom w:val="single" w:color="auto" w:sz="4" w:space="0"/>
              <w:right w:val="single" w:color="auto" w:sz="4" w:space="0"/>
            </w:tcBorders>
            <w:noWrap/>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4</w:t>
            </w:r>
          </w:p>
        </w:tc>
        <w:tc>
          <w:tcPr>
            <w:tcW w:w="1559" w:type="dxa"/>
            <w:tcBorders>
              <w:top w:val="nil"/>
              <w:left w:val="nil"/>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30-03</w:t>
            </w:r>
          </w:p>
        </w:tc>
        <w:tc>
          <w:tcPr>
            <w:tcW w:w="1843" w:type="dxa"/>
            <w:tcBorders>
              <w:top w:val="nil"/>
              <w:left w:val="nil"/>
              <w:bottom w:val="single" w:color="auto" w:sz="4" w:space="0"/>
              <w:right w:val="single" w:color="auto" w:sz="4" w:space="0"/>
            </w:tcBorders>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三室两厅</w:t>
            </w:r>
          </w:p>
        </w:tc>
        <w:tc>
          <w:tcPr>
            <w:tcW w:w="1701" w:type="dxa"/>
            <w:tcBorders>
              <w:top w:val="nil"/>
              <w:left w:val="nil"/>
              <w:bottom w:val="single" w:color="auto" w:sz="4" w:space="0"/>
              <w:right w:val="single" w:color="auto" w:sz="4" w:space="0"/>
            </w:tcBorders>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107.98</w:t>
            </w:r>
          </w:p>
        </w:tc>
        <w:tc>
          <w:tcPr>
            <w:tcW w:w="1842" w:type="dxa"/>
            <w:tcBorders>
              <w:top w:val="nil"/>
              <w:left w:val="nil"/>
              <w:bottom w:val="single" w:color="auto" w:sz="4" w:space="0"/>
              <w:right w:val="single" w:color="auto" w:sz="4" w:space="0"/>
            </w:tcBorders>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90.76</w:t>
            </w:r>
          </w:p>
        </w:tc>
      </w:tr>
      <w:tr>
        <w:tblPrEx>
          <w:tblCellMar>
            <w:top w:w="0" w:type="dxa"/>
            <w:left w:w="108" w:type="dxa"/>
            <w:bottom w:w="0" w:type="dxa"/>
            <w:right w:w="108" w:type="dxa"/>
          </w:tblCellMar>
        </w:tblPrEx>
        <w:trPr>
          <w:trHeight w:val="561" w:hRule="atLeast"/>
        </w:trPr>
        <w:tc>
          <w:tcPr>
            <w:tcW w:w="1276" w:type="dxa"/>
            <w:tcBorders>
              <w:top w:val="single" w:color="auto" w:sz="4" w:space="0"/>
              <w:left w:val="single" w:color="auto" w:sz="4" w:space="0"/>
              <w:bottom w:val="single" w:color="auto" w:sz="4" w:space="0"/>
              <w:right w:val="single" w:color="auto" w:sz="4" w:space="0"/>
            </w:tcBorders>
            <w:noWrap/>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32-02</w:t>
            </w:r>
          </w:p>
        </w:tc>
        <w:tc>
          <w:tcPr>
            <w:tcW w:w="1843" w:type="dxa"/>
            <w:tcBorders>
              <w:top w:val="single" w:color="auto" w:sz="4" w:space="0"/>
              <w:left w:val="single" w:color="auto" w:sz="4" w:space="0"/>
              <w:bottom w:val="single" w:color="auto" w:sz="4" w:space="0"/>
              <w:right w:val="single" w:color="auto" w:sz="4" w:space="0"/>
            </w:tcBorders>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三室两厅</w:t>
            </w:r>
          </w:p>
        </w:tc>
        <w:tc>
          <w:tcPr>
            <w:tcW w:w="1701" w:type="dxa"/>
            <w:tcBorders>
              <w:top w:val="single" w:color="auto" w:sz="4" w:space="0"/>
              <w:left w:val="single" w:color="auto" w:sz="4" w:space="0"/>
              <w:bottom w:val="single" w:color="auto" w:sz="4" w:space="0"/>
              <w:right w:val="single" w:color="auto" w:sz="4" w:space="0"/>
            </w:tcBorders>
          </w:tcPr>
          <w:p>
            <w:pPr>
              <w:spacing w:line="384" w:lineRule="auto"/>
              <w:jc w:val="center"/>
              <w:rPr>
                <w:rFonts w:ascii="Times New Roman" w:hAnsi="Times New Roman" w:eastAsia="方正仿宋_GBK"/>
                <w:color w:val="111111"/>
                <w:sz w:val="24"/>
                <w:szCs w:val="24"/>
              </w:rPr>
            </w:pPr>
            <w:r>
              <w:rPr>
                <w:rFonts w:ascii="Times New Roman" w:hAnsi="Times New Roman" w:eastAsia="方正仿宋_GBK"/>
                <w:color w:val="111111"/>
                <w:sz w:val="24"/>
                <w:szCs w:val="24"/>
              </w:rPr>
              <w:t>10</w:t>
            </w:r>
            <w:r>
              <w:rPr>
                <w:rFonts w:hint="eastAsia" w:ascii="Times New Roman" w:hAnsi="Times New Roman" w:eastAsia="方正仿宋_GBK"/>
                <w:color w:val="111111"/>
                <w:sz w:val="24"/>
                <w:szCs w:val="24"/>
              </w:rPr>
              <w:t>8.73</w:t>
            </w:r>
          </w:p>
        </w:tc>
        <w:tc>
          <w:tcPr>
            <w:tcW w:w="1842" w:type="dxa"/>
            <w:tcBorders>
              <w:top w:val="single" w:color="auto" w:sz="4" w:space="0"/>
              <w:left w:val="single" w:color="auto" w:sz="4" w:space="0"/>
              <w:bottom w:val="single" w:color="auto" w:sz="4" w:space="0"/>
              <w:right w:val="single" w:color="auto" w:sz="4" w:space="0"/>
            </w:tcBorders>
          </w:tcPr>
          <w:p>
            <w:pPr>
              <w:spacing w:line="384" w:lineRule="auto"/>
              <w:jc w:val="center"/>
              <w:rPr>
                <w:rFonts w:ascii="Times New Roman" w:hAnsi="Times New Roman" w:eastAsia="方正仿宋_GBK"/>
                <w:color w:val="111111"/>
                <w:sz w:val="24"/>
                <w:szCs w:val="24"/>
              </w:rPr>
            </w:pPr>
            <w:r>
              <w:rPr>
                <w:rFonts w:hint="eastAsia" w:ascii="Times New Roman" w:hAnsi="Times New Roman" w:eastAsia="方正仿宋_GBK"/>
                <w:color w:val="111111"/>
                <w:sz w:val="24"/>
                <w:szCs w:val="24"/>
              </w:rPr>
              <w:t>91.39</w:t>
            </w:r>
          </w:p>
        </w:tc>
      </w:tr>
    </w:tbl>
    <w:p>
      <w:pPr>
        <w:widowControl/>
        <w:snapToGrid w:val="0"/>
        <w:jc w:val="left"/>
        <w:rPr>
          <w:rFonts w:hint="eastAsia" w:ascii="Times New Roman" w:hAnsi="Times New Roman" w:eastAsia="方正黑体_GBK"/>
          <w:sz w:val="28"/>
          <w:szCs w:val="28"/>
        </w:rPr>
      </w:pPr>
    </w:p>
    <w:p>
      <w:pPr>
        <w:widowControl/>
        <w:snapToGrid w:val="0"/>
        <w:ind w:firstLine="560" w:firstLineChars="200"/>
        <w:jc w:val="left"/>
        <w:rPr>
          <w:rFonts w:ascii="方正楷体_GBK" w:hAnsi="方正楷体_GBK" w:eastAsia="方正楷体_GBK" w:cs="方正楷体_GBK"/>
          <w:color w:val="000000"/>
          <w:kern w:val="0"/>
          <w:sz w:val="28"/>
          <w:szCs w:val="28"/>
        </w:rPr>
      </w:pPr>
      <w:r>
        <w:rPr>
          <w:rFonts w:hint="eastAsia" w:ascii="方正楷体_GBK" w:hAnsi="方正楷体_GBK" w:eastAsia="方正楷体_GBK" w:cs="方正楷体_GBK"/>
          <w:color w:val="000000"/>
          <w:kern w:val="0"/>
          <w:sz w:val="28"/>
          <w:szCs w:val="28"/>
        </w:rPr>
        <w:t>注：上述房屋的面积最终以有资质的房屋测绘部门出具的竣工测绘报告为准。</w:t>
      </w:r>
    </w:p>
    <w:p>
      <w:pPr>
        <w:spacing w:line="600" w:lineRule="exact"/>
        <w:rPr>
          <w:rFonts w:hint="eastAsia" w:ascii="Times New Roman" w:hAnsi="Times New Roman" w:eastAsia="方正小标宋_GBK"/>
          <w:color w:val="000000"/>
          <w:sz w:val="44"/>
          <w:szCs w:val="44"/>
        </w:rPr>
      </w:pPr>
    </w:p>
    <w:p>
      <w:pPr>
        <w:spacing w:line="600" w:lineRule="exact"/>
        <w:rPr>
          <w:rFonts w:ascii="Times New Roman" w:hAnsi="Times New Roman" w:eastAsia="方正小标宋_GBK"/>
          <w:color w:val="000000"/>
          <w:sz w:val="44"/>
          <w:szCs w:val="44"/>
        </w:rPr>
      </w:pPr>
      <w:bookmarkStart w:id="0" w:name="_GoBack"/>
      <w:bookmarkEnd w:id="0"/>
    </w:p>
    <w:sectPr>
      <w:footerReference r:id="rId3" w:type="default"/>
      <w:footerReference r:id="rId4" w:type="even"/>
      <w:pgSz w:w="11906" w:h="16838"/>
      <w:pgMar w:top="1984" w:right="1446" w:bottom="1644" w:left="1446" w:header="567" w:footer="1701"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40"/>
      <w:jc w:val="right"/>
      <w:rPr>
        <w:sz w:val="28"/>
      </w:rPr>
    </w:pPr>
    <w:r>
      <w:rPr>
        <w:sz w:val="28"/>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right="140"/>
                            <w:jc w:val="right"/>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eastAsia="zh-CN"/>
                            </w:rPr>
                            <w:t>1</w:t>
                          </w:r>
                          <w:r>
                            <w:rPr>
                              <w:sz w:val="28"/>
                            </w:rPr>
                            <w:fldChar w:fldCharType="end"/>
                          </w:r>
                          <w:r>
                            <w:rPr>
                              <w:sz w:val="28"/>
                            </w:rPr>
                            <w:t xml:space="preserve"> —</w:t>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JBKMsBAACcAwAADgAAAGRycy9lMm9Eb2MueG1srVPNjtMwEL4j8Q6W&#10;79RphVCJmq5A1SIkBEjLPoDr2I0l/8njNukLwBtw4sKd5+pzMHaSLiyXPXBJxjOTb77v82RzM1hD&#10;TjKC9q6hy0VFiXTCt9odGnr/5fbFmhJI3LXceCcbepZAb7bPn236UMuV77xpZSQI4qDuQ0O7lELN&#10;GIhOWg4LH6TDovLR8oTHeGBt5D2iW8NWVfWK9T62IXohATC7G4t0QoxPAfRKaSF3XhytdGlEjdLw&#10;hJKg0wHotrBVSor0SSmQiZiGotJUnjgE431+su2G14fIQ6fFRIE/hcIjTZZrh0OvUDueODlG/Q+U&#10;1SJ68CothLdsFFIcQRXL6pE3dx0PsmhBqyFcTYf/Bys+nj5HolvcBEoct3jhl+/fLj9+XX5+Javq&#10;5evsUB+gxsa7gK1peOuH3D3lAZNZ+KCizW+URLCO/p6v/sohEZE/Wq/W6wpLAmvzAXHYw+chQnon&#10;vSU5aGjECyy+8tMHSGPr3JKnOX+rjcE8r437K4GYOcMy95FjjtKwHybie9+eUU+Pd99Qh6tOiXnv&#10;0Nq8JnMQ52A/B8cQ9aFDasvCC8KbY0IShVueMMJOg/HSirppwfJW/HkuX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VCQSjLAQAAnAMAAA4AAAAAAAAAAQAgAAAAHgEAAGRycy9lMm9E&#10;b2MueG1sUEsFBgAAAAAGAAYAWQEAAFsFAAAAAA==&#10;">
              <v:fill on="f" focussize="0,0"/>
              <v:stroke on="f"/>
              <v:imagedata o:title=""/>
              <o:lock v:ext="edit" aspectratio="f"/>
              <v:textbox inset="0mm,0mm,0mm,0mm" style="mso-fit-shape-to-text:t;">
                <w:txbxContent>
                  <w:p>
                    <w:pPr>
                      <w:pStyle w:val="5"/>
                      <w:ind w:right="140"/>
                      <w:jc w:val="right"/>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eastAsia="zh-CN"/>
                      </w:rPr>
                      <w:t>1</w:t>
                    </w:r>
                    <w:r>
                      <w:rPr>
                        <w:sz w:val="28"/>
                      </w:rP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50"/>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140" w:firstLineChars="50"/>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eastAsia="zh-CN"/>
                            </w:rPr>
                            <w:t>2</w:t>
                          </w:r>
                          <w:r>
                            <w:rPr>
                              <w:sz w:val="28"/>
                            </w:rPr>
                            <w:fldChar w:fldCharType="end"/>
                          </w:r>
                          <w:r>
                            <w:rPr>
                              <w:sz w:val="28"/>
                            </w:rPr>
                            <w:t xml:space="preserve"> —</w:t>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O9s8sBAACcAwAADgAAAGRycy9lMm9Eb2MueG1srVPNjtMwEL4j8Q6W&#10;79RpJFAVNV2BqkUrrQBp4QFcx2ks+U8et0lfYPcNOHHhznP1ORg7SQvLZQ9cnPHM+Jv5vpmsbwaj&#10;yVEGUM7WdLkoKJFWuEbZfU2/fb19s6IEIrcN187Kmp4k0JvN61fr3leydJ3TjQwEQSxUva9pF6Ov&#10;GAPRScNh4by0GGxdMDziNexZE3iP6Eazsijesd6FxgcnJAB6t2OQTojhJYCubZWQWycORto4ogap&#10;eURK0CkPdJO7bVsp4ue2BRmJrikyjfnEImjv0sk2a17tA/edElML/CUtPONkuLJY9AK15ZGTQ1D/&#10;QBklggPXxoVwho1EsiLIYlk80+ah415mLig1+Ivo8P9gxafjl0BUU9OSEssNDvz8/en849f55yMp&#10;i7dZod5DhYkPHlPj8MENuDdJueQHdCbiQxtM+iIlgnHU93TRVw6RiPRoVa5WBYYExuYL4rDrcx8g&#10;fpTOkGTUNOAAs678eA9xTJ1TUjXrbpXWeYja/uVAzORh1x6TFYfdMDW+c80J+fQ4+5paXHVK9J1F&#10;adOazEaYjd1sHHxQ+w5bW+a+wL8/RGwi95YqjLBTYRxaZjctWNqKP+856/p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OTvbPLAQAAnAMAAA4AAAAAAAAAAQAgAAAAHgEAAGRycy9lMm9E&#10;b2MueG1sUEsFBgAAAAAGAAYAWQEAAFsFAAAAAA==&#10;">
              <v:fill on="f" focussize="0,0"/>
              <v:stroke on="f"/>
              <v:imagedata o:title=""/>
              <o:lock v:ext="edit" aspectratio="f"/>
              <v:textbox inset="0mm,0mm,0mm,0mm" style="mso-fit-shape-to-text:t;">
                <w:txbxContent>
                  <w:p>
                    <w:pPr>
                      <w:pStyle w:val="5"/>
                      <w:ind w:firstLine="140" w:firstLineChars="50"/>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eastAsia="zh-CN"/>
                      </w:rPr>
                      <w:t>2</w:t>
                    </w:r>
                    <w:r>
                      <w:rPr>
                        <w:sz w:val="28"/>
                      </w:rPr>
                      <w:fldChar w:fldCharType="end"/>
                    </w:r>
                    <w:r>
                      <w:rPr>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09"/>
    <w:rsid w:val="00001610"/>
    <w:rsid w:val="00026A35"/>
    <w:rsid w:val="00044AE5"/>
    <w:rsid w:val="00061247"/>
    <w:rsid w:val="00067416"/>
    <w:rsid w:val="00071BAD"/>
    <w:rsid w:val="000764A6"/>
    <w:rsid w:val="0008472E"/>
    <w:rsid w:val="00096E2C"/>
    <w:rsid w:val="000A2896"/>
    <w:rsid w:val="000D2041"/>
    <w:rsid w:val="00101A73"/>
    <w:rsid w:val="00132425"/>
    <w:rsid w:val="00133A94"/>
    <w:rsid w:val="00161357"/>
    <w:rsid w:val="00191DAA"/>
    <w:rsid w:val="001D691D"/>
    <w:rsid w:val="001F066A"/>
    <w:rsid w:val="00201844"/>
    <w:rsid w:val="0023284C"/>
    <w:rsid w:val="00250249"/>
    <w:rsid w:val="00264D9A"/>
    <w:rsid w:val="00273B8A"/>
    <w:rsid w:val="002801A4"/>
    <w:rsid w:val="0028150A"/>
    <w:rsid w:val="00283B3C"/>
    <w:rsid w:val="002D5813"/>
    <w:rsid w:val="002D5FE7"/>
    <w:rsid w:val="002F7BA6"/>
    <w:rsid w:val="00301F51"/>
    <w:rsid w:val="00304967"/>
    <w:rsid w:val="00315062"/>
    <w:rsid w:val="00315B17"/>
    <w:rsid w:val="00323CE1"/>
    <w:rsid w:val="00323E0E"/>
    <w:rsid w:val="00324791"/>
    <w:rsid w:val="00331A83"/>
    <w:rsid w:val="00332C2C"/>
    <w:rsid w:val="00344E93"/>
    <w:rsid w:val="0034585B"/>
    <w:rsid w:val="0035178E"/>
    <w:rsid w:val="003531A3"/>
    <w:rsid w:val="00355C7B"/>
    <w:rsid w:val="003915E4"/>
    <w:rsid w:val="003A4CAB"/>
    <w:rsid w:val="003B663C"/>
    <w:rsid w:val="00416133"/>
    <w:rsid w:val="0042290E"/>
    <w:rsid w:val="00433D84"/>
    <w:rsid w:val="00442C02"/>
    <w:rsid w:val="004437EE"/>
    <w:rsid w:val="00447931"/>
    <w:rsid w:val="00460506"/>
    <w:rsid w:val="00461D2D"/>
    <w:rsid w:val="00465AE0"/>
    <w:rsid w:val="00486B4A"/>
    <w:rsid w:val="00494881"/>
    <w:rsid w:val="004B3F9E"/>
    <w:rsid w:val="004D636B"/>
    <w:rsid w:val="004E3285"/>
    <w:rsid w:val="004E50E0"/>
    <w:rsid w:val="004F4D7B"/>
    <w:rsid w:val="004F6442"/>
    <w:rsid w:val="004F789C"/>
    <w:rsid w:val="0051545E"/>
    <w:rsid w:val="0052138F"/>
    <w:rsid w:val="00527236"/>
    <w:rsid w:val="0055081A"/>
    <w:rsid w:val="00555F0F"/>
    <w:rsid w:val="00560AB8"/>
    <w:rsid w:val="005762D5"/>
    <w:rsid w:val="00590350"/>
    <w:rsid w:val="005A13E3"/>
    <w:rsid w:val="005A13E6"/>
    <w:rsid w:val="005A4A79"/>
    <w:rsid w:val="005D0F77"/>
    <w:rsid w:val="005D3464"/>
    <w:rsid w:val="005D6163"/>
    <w:rsid w:val="005E640E"/>
    <w:rsid w:val="00605B41"/>
    <w:rsid w:val="006332C7"/>
    <w:rsid w:val="0063617B"/>
    <w:rsid w:val="00653ED5"/>
    <w:rsid w:val="006629CF"/>
    <w:rsid w:val="00665D08"/>
    <w:rsid w:val="00681978"/>
    <w:rsid w:val="0068596D"/>
    <w:rsid w:val="006A5790"/>
    <w:rsid w:val="006C068E"/>
    <w:rsid w:val="006C6B20"/>
    <w:rsid w:val="006C6D81"/>
    <w:rsid w:val="006D1347"/>
    <w:rsid w:val="006E67CD"/>
    <w:rsid w:val="00703ABE"/>
    <w:rsid w:val="00717713"/>
    <w:rsid w:val="00721724"/>
    <w:rsid w:val="007350BA"/>
    <w:rsid w:val="00764ACA"/>
    <w:rsid w:val="00773580"/>
    <w:rsid w:val="007F3C4E"/>
    <w:rsid w:val="0080586F"/>
    <w:rsid w:val="0081615E"/>
    <w:rsid w:val="00835CC6"/>
    <w:rsid w:val="008561F7"/>
    <w:rsid w:val="00876F5E"/>
    <w:rsid w:val="008854B1"/>
    <w:rsid w:val="00890297"/>
    <w:rsid w:val="008A25DF"/>
    <w:rsid w:val="008B343E"/>
    <w:rsid w:val="008C18BC"/>
    <w:rsid w:val="008C7616"/>
    <w:rsid w:val="008E1F00"/>
    <w:rsid w:val="008E5897"/>
    <w:rsid w:val="008E7D86"/>
    <w:rsid w:val="008F0E02"/>
    <w:rsid w:val="009048E2"/>
    <w:rsid w:val="009328EC"/>
    <w:rsid w:val="00936393"/>
    <w:rsid w:val="00951137"/>
    <w:rsid w:val="00976E7C"/>
    <w:rsid w:val="009C1032"/>
    <w:rsid w:val="009C6D8F"/>
    <w:rsid w:val="009C748E"/>
    <w:rsid w:val="009E19B4"/>
    <w:rsid w:val="009E42D3"/>
    <w:rsid w:val="009F7177"/>
    <w:rsid w:val="009F7983"/>
    <w:rsid w:val="00A0721A"/>
    <w:rsid w:val="00A07334"/>
    <w:rsid w:val="00A3725E"/>
    <w:rsid w:val="00A436A1"/>
    <w:rsid w:val="00A65A82"/>
    <w:rsid w:val="00A825D9"/>
    <w:rsid w:val="00A85762"/>
    <w:rsid w:val="00A95E95"/>
    <w:rsid w:val="00AB5B2A"/>
    <w:rsid w:val="00AC15ED"/>
    <w:rsid w:val="00AC3C89"/>
    <w:rsid w:val="00AD76D8"/>
    <w:rsid w:val="00AE502F"/>
    <w:rsid w:val="00B02117"/>
    <w:rsid w:val="00B07000"/>
    <w:rsid w:val="00B139F5"/>
    <w:rsid w:val="00B31002"/>
    <w:rsid w:val="00B342E1"/>
    <w:rsid w:val="00B4765C"/>
    <w:rsid w:val="00B566EE"/>
    <w:rsid w:val="00B91F6E"/>
    <w:rsid w:val="00BA15D8"/>
    <w:rsid w:val="00BA5CA6"/>
    <w:rsid w:val="00BC2A22"/>
    <w:rsid w:val="00BD5C7D"/>
    <w:rsid w:val="00BE61AC"/>
    <w:rsid w:val="00BF78BE"/>
    <w:rsid w:val="00C12E19"/>
    <w:rsid w:val="00C33857"/>
    <w:rsid w:val="00C341B5"/>
    <w:rsid w:val="00C361D7"/>
    <w:rsid w:val="00C42472"/>
    <w:rsid w:val="00C668D1"/>
    <w:rsid w:val="00C72BFE"/>
    <w:rsid w:val="00C87B9C"/>
    <w:rsid w:val="00CA4352"/>
    <w:rsid w:val="00CB53C9"/>
    <w:rsid w:val="00CC3D8B"/>
    <w:rsid w:val="00CE3C76"/>
    <w:rsid w:val="00D00C41"/>
    <w:rsid w:val="00D20652"/>
    <w:rsid w:val="00D24D14"/>
    <w:rsid w:val="00D35D0D"/>
    <w:rsid w:val="00D37707"/>
    <w:rsid w:val="00D554A4"/>
    <w:rsid w:val="00D90814"/>
    <w:rsid w:val="00D94D36"/>
    <w:rsid w:val="00DA4816"/>
    <w:rsid w:val="00DA5348"/>
    <w:rsid w:val="00DC2823"/>
    <w:rsid w:val="00DD2D5B"/>
    <w:rsid w:val="00DE2CA0"/>
    <w:rsid w:val="00DF6B05"/>
    <w:rsid w:val="00E014A8"/>
    <w:rsid w:val="00E07BCE"/>
    <w:rsid w:val="00E1153A"/>
    <w:rsid w:val="00E332B4"/>
    <w:rsid w:val="00E41076"/>
    <w:rsid w:val="00E4775E"/>
    <w:rsid w:val="00E573EB"/>
    <w:rsid w:val="00E63C5F"/>
    <w:rsid w:val="00E710B9"/>
    <w:rsid w:val="00EA7A5B"/>
    <w:rsid w:val="00EB3DA9"/>
    <w:rsid w:val="00EB76AB"/>
    <w:rsid w:val="00EB7C4C"/>
    <w:rsid w:val="00ED3CAA"/>
    <w:rsid w:val="00ED61BD"/>
    <w:rsid w:val="00EE377F"/>
    <w:rsid w:val="00EF049B"/>
    <w:rsid w:val="00EF27EA"/>
    <w:rsid w:val="00F04EA2"/>
    <w:rsid w:val="00F15B5A"/>
    <w:rsid w:val="00F172D3"/>
    <w:rsid w:val="00F36148"/>
    <w:rsid w:val="00F42E37"/>
    <w:rsid w:val="00F44B88"/>
    <w:rsid w:val="00F568CD"/>
    <w:rsid w:val="00F6374A"/>
    <w:rsid w:val="00F7632A"/>
    <w:rsid w:val="00F86E4D"/>
    <w:rsid w:val="00FB32F7"/>
    <w:rsid w:val="00FB5581"/>
    <w:rsid w:val="00FB67CD"/>
    <w:rsid w:val="00FC3C5C"/>
    <w:rsid w:val="00FC678B"/>
    <w:rsid w:val="00FC6E09"/>
    <w:rsid w:val="00FD46F4"/>
    <w:rsid w:val="00FD51E4"/>
    <w:rsid w:val="00FF1316"/>
    <w:rsid w:val="01580F72"/>
    <w:rsid w:val="01627524"/>
    <w:rsid w:val="01727CAE"/>
    <w:rsid w:val="01AD73D9"/>
    <w:rsid w:val="01E86973"/>
    <w:rsid w:val="02DE5615"/>
    <w:rsid w:val="03615737"/>
    <w:rsid w:val="03836872"/>
    <w:rsid w:val="03B52C3A"/>
    <w:rsid w:val="05440949"/>
    <w:rsid w:val="06FE571F"/>
    <w:rsid w:val="06FF2EB1"/>
    <w:rsid w:val="081D5F10"/>
    <w:rsid w:val="099E1B78"/>
    <w:rsid w:val="0AA35CC4"/>
    <w:rsid w:val="0AD95873"/>
    <w:rsid w:val="0ADC5300"/>
    <w:rsid w:val="0B4B3202"/>
    <w:rsid w:val="0B6A3EDC"/>
    <w:rsid w:val="0BD64D60"/>
    <w:rsid w:val="0C444D3B"/>
    <w:rsid w:val="0E3D6788"/>
    <w:rsid w:val="0EB85E26"/>
    <w:rsid w:val="0EEC2C49"/>
    <w:rsid w:val="1056427A"/>
    <w:rsid w:val="10A075AE"/>
    <w:rsid w:val="1149182E"/>
    <w:rsid w:val="117A20DA"/>
    <w:rsid w:val="127D31DE"/>
    <w:rsid w:val="129C487F"/>
    <w:rsid w:val="1428177D"/>
    <w:rsid w:val="142D6886"/>
    <w:rsid w:val="14425E21"/>
    <w:rsid w:val="14E1000F"/>
    <w:rsid w:val="14EE45D2"/>
    <w:rsid w:val="152255FD"/>
    <w:rsid w:val="159A26C6"/>
    <w:rsid w:val="16A46FCE"/>
    <w:rsid w:val="16D77D14"/>
    <w:rsid w:val="17354B93"/>
    <w:rsid w:val="18091E5A"/>
    <w:rsid w:val="18A91659"/>
    <w:rsid w:val="19461D9F"/>
    <w:rsid w:val="19B27CF9"/>
    <w:rsid w:val="1A7E49B4"/>
    <w:rsid w:val="1B575F0B"/>
    <w:rsid w:val="1B8A316C"/>
    <w:rsid w:val="1C5C03B1"/>
    <w:rsid w:val="1C683EE6"/>
    <w:rsid w:val="1CD15B50"/>
    <w:rsid w:val="1CE103B1"/>
    <w:rsid w:val="1D0413D1"/>
    <w:rsid w:val="1D7300FE"/>
    <w:rsid w:val="1EA90BCB"/>
    <w:rsid w:val="1ED53417"/>
    <w:rsid w:val="1EF364D7"/>
    <w:rsid w:val="1F0D446C"/>
    <w:rsid w:val="1F1D230A"/>
    <w:rsid w:val="1FA1786B"/>
    <w:rsid w:val="204857F4"/>
    <w:rsid w:val="2183467D"/>
    <w:rsid w:val="21837187"/>
    <w:rsid w:val="22792E54"/>
    <w:rsid w:val="22ED3099"/>
    <w:rsid w:val="249D225B"/>
    <w:rsid w:val="25251CC2"/>
    <w:rsid w:val="2537289D"/>
    <w:rsid w:val="26037ED8"/>
    <w:rsid w:val="27132870"/>
    <w:rsid w:val="27F777C3"/>
    <w:rsid w:val="29106918"/>
    <w:rsid w:val="2AA34466"/>
    <w:rsid w:val="2AFC2992"/>
    <w:rsid w:val="2B1A3818"/>
    <w:rsid w:val="2C06343C"/>
    <w:rsid w:val="2CC2434C"/>
    <w:rsid w:val="2D6F4BD8"/>
    <w:rsid w:val="2DD44DC6"/>
    <w:rsid w:val="2E3C7397"/>
    <w:rsid w:val="2FA63EBD"/>
    <w:rsid w:val="300B2115"/>
    <w:rsid w:val="304A49F9"/>
    <w:rsid w:val="30A60D84"/>
    <w:rsid w:val="30AA5CB6"/>
    <w:rsid w:val="30C643B1"/>
    <w:rsid w:val="316B5891"/>
    <w:rsid w:val="319A102A"/>
    <w:rsid w:val="32255002"/>
    <w:rsid w:val="327C0EEC"/>
    <w:rsid w:val="330A0702"/>
    <w:rsid w:val="332B4CDF"/>
    <w:rsid w:val="33C04286"/>
    <w:rsid w:val="344E2B03"/>
    <w:rsid w:val="349973FB"/>
    <w:rsid w:val="34B82CBF"/>
    <w:rsid w:val="3537095D"/>
    <w:rsid w:val="355E7E6C"/>
    <w:rsid w:val="357C33E6"/>
    <w:rsid w:val="35DA11CD"/>
    <w:rsid w:val="36F824D1"/>
    <w:rsid w:val="3864296A"/>
    <w:rsid w:val="38B87C9F"/>
    <w:rsid w:val="393D2163"/>
    <w:rsid w:val="39563214"/>
    <w:rsid w:val="39A77CEC"/>
    <w:rsid w:val="3CEC7BD1"/>
    <w:rsid w:val="3DA55CD5"/>
    <w:rsid w:val="3EF23F07"/>
    <w:rsid w:val="3F4E1965"/>
    <w:rsid w:val="40262B85"/>
    <w:rsid w:val="40274010"/>
    <w:rsid w:val="412464D9"/>
    <w:rsid w:val="41FA13C7"/>
    <w:rsid w:val="42BA535C"/>
    <w:rsid w:val="42D10452"/>
    <w:rsid w:val="42DA3408"/>
    <w:rsid w:val="42DD5720"/>
    <w:rsid w:val="42F22AB4"/>
    <w:rsid w:val="430375A0"/>
    <w:rsid w:val="4334148A"/>
    <w:rsid w:val="43C809C3"/>
    <w:rsid w:val="43EC6000"/>
    <w:rsid w:val="442650F9"/>
    <w:rsid w:val="451B58CD"/>
    <w:rsid w:val="455855CF"/>
    <w:rsid w:val="46207B6F"/>
    <w:rsid w:val="46907EAD"/>
    <w:rsid w:val="46E0009D"/>
    <w:rsid w:val="477C21AF"/>
    <w:rsid w:val="49726EC0"/>
    <w:rsid w:val="49E822A9"/>
    <w:rsid w:val="4A6D51F6"/>
    <w:rsid w:val="4BD952CC"/>
    <w:rsid w:val="4C4037B4"/>
    <w:rsid w:val="4EC37AF8"/>
    <w:rsid w:val="4FEA07FB"/>
    <w:rsid w:val="506235DF"/>
    <w:rsid w:val="506500D4"/>
    <w:rsid w:val="508F28E8"/>
    <w:rsid w:val="50DF76E3"/>
    <w:rsid w:val="527E0E53"/>
    <w:rsid w:val="52810A9D"/>
    <w:rsid w:val="52AB3CF6"/>
    <w:rsid w:val="52B9616A"/>
    <w:rsid w:val="541416A5"/>
    <w:rsid w:val="54B57868"/>
    <w:rsid w:val="579E69A5"/>
    <w:rsid w:val="58092614"/>
    <w:rsid w:val="58834A6F"/>
    <w:rsid w:val="58FF4B17"/>
    <w:rsid w:val="59BC3A3D"/>
    <w:rsid w:val="59C15AD3"/>
    <w:rsid w:val="5B036EB4"/>
    <w:rsid w:val="5B46699E"/>
    <w:rsid w:val="5B561669"/>
    <w:rsid w:val="5CA84150"/>
    <w:rsid w:val="5DA4726C"/>
    <w:rsid w:val="5E6E7960"/>
    <w:rsid w:val="5EEE5019"/>
    <w:rsid w:val="5F683980"/>
    <w:rsid w:val="5FF375DA"/>
    <w:rsid w:val="607A1575"/>
    <w:rsid w:val="60C12996"/>
    <w:rsid w:val="61170C51"/>
    <w:rsid w:val="623712D2"/>
    <w:rsid w:val="63191C16"/>
    <w:rsid w:val="63C07847"/>
    <w:rsid w:val="64F90030"/>
    <w:rsid w:val="6529613D"/>
    <w:rsid w:val="658B7959"/>
    <w:rsid w:val="65946C2A"/>
    <w:rsid w:val="66324275"/>
    <w:rsid w:val="66345A72"/>
    <w:rsid w:val="67A203FC"/>
    <w:rsid w:val="67AB7898"/>
    <w:rsid w:val="68C87349"/>
    <w:rsid w:val="697A06E0"/>
    <w:rsid w:val="69F83877"/>
    <w:rsid w:val="6AF3101E"/>
    <w:rsid w:val="6B9C1DD9"/>
    <w:rsid w:val="6BE400A0"/>
    <w:rsid w:val="6C5F12E0"/>
    <w:rsid w:val="6CDF42E1"/>
    <w:rsid w:val="6D0A4854"/>
    <w:rsid w:val="6E3C24B7"/>
    <w:rsid w:val="6EE121EB"/>
    <w:rsid w:val="70A73A24"/>
    <w:rsid w:val="721E1C89"/>
    <w:rsid w:val="7276399E"/>
    <w:rsid w:val="728D5A78"/>
    <w:rsid w:val="72961C71"/>
    <w:rsid w:val="730E2D45"/>
    <w:rsid w:val="731E532D"/>
    <w:rsid w:val="74460587"/>
    <w:rsid w:val="74D34BE8"/>
    <w:rsid w:val="75123442"/>
    <w:rsid w:val="76663BD1"/>
    <w:rsid w:val="76750E71"/>
    <w:rsid w:val="76B37A7D"/>
    <w:rsid w:val="771E29BC"/>
    <w:rsid w:val="77712B24"/>
    <w:rsid w:val="782975EC"/>
    <w:rsid w:val="78A00405"/>
    <w:rsid w:val="793F5825"/>
    <w:rsid w:val="798B13FB"/>
    <w:rsid w:val="79C270E2"/>
    <w:rsid w:val="7A235D9F"/>
    <w:rsid w:val="7A9E2BEC"/>
    <w:rsid w:val="7B826BC6"/>
    <w:rsid w:val="7BE23567"/>
    <w:rsid w:val="7DB55A0A"/>
    <w:rsid w:val="7F590D4C"/>
    <w:rsid w:val="7F7B6439"/>
    <w:rsid w:val="7F8C5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简体" w:hAnsi="方正仿宋简体" w:eastAsia="方正仿宋简体" w:cs="方正仿宋简体"/>
      <w:kern w:val="0"/>
      <w:sz w:val="24"/>
      <w:szCs w:val="24"/>
      <w:lang w:val="zh-CN" w:bidi="zh-CN"/>
    </w:rPr>
  </w:style>
  <w:style w:type="paragraph" w:styleId="3">
    <w:name w:val="Date"/>
    <w:basedOn w:val="1"/>
    <w:next w:val="1"/>
    <w:uiPriority w:val="0"/>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customStyle="1" w:styleId="12">
    <w:name w:val="font21"/>
    <w:basedOn w:val="8"/>
    <w:qFormat/>
    <w:uiPriority w:val="0"/>
    <w:rPr>
      <w:rFonts w:hint="default" w:ascii="Times New Roman" w:hAnsi="Times New Roman" w:cs="Times New Roman"/>
      <w:color w:val="000000"/>
      <w:sz w:val="40"/>
      <w:szCs w:val="40"/>
      <w:u w:val="none"/>
    </w:rPr>
  </w:style>
  <w:style w:type="character" w:customStyle="1" w:styleId="13">
    <w:name w:val="font81"/>
    <w:basedOn w:val="8"/>
    <w:qFormat/>
    <w:uiPriority w:val="0"/>
    <w:rPr>
      <w:rFonts w:hint="eastAsia" w:ascii="方正小标宋简体" w:eastAsia="方正小标宋简体"/>
      <w:color w:val="000000"/>
      <w:sz w:val="36"/>
      <w:szCs w:val="36"/>
      <w:u w:val="none"/>
    </w:rPr>
  </w:style>
  <w:style w:type="character" w:customStyle="1" w:styleId="14">
    <w:name w:val="页眉 Char"/>
    <w:basedOn w:val="8"/>
    <w:link w:val="6"/>
    <w:qFormat/>
    <w:uiPriority w:val="99"/>
    <w:rPr>
      <w:sz w:val="18"/>
      <w:szCs w:val="18"/>
    </w:rPr>
  </w:style>
  <w:style w:type="character" w:customStyle="1" w:styleId="15">
    <w:name w:val="font111"/>
    <w:basedOn w:val="8"/>
    <w:uiPriority w:val="0"/>
    <w:rPr>
      <w:rFonts w:hint="eastAsia" w:ascii="宋体" w:hAnsi="宋体" w:eastAsia="宋体"/>
      <w:color w:val="000000"/>
      <w:sz w:val="36"/>
      <w:szCs w:val="36"/>
      <w:u w:val="none"/>
    </w:rPr>
  </w:style>
  <w:style w:type="character" w:customStyle="1" w:styleId="16">
    <w:name w:val="页脚 Char"/>
    <w:basedOn w:val="8"/>
    <w:link w:val="5"/>
    <w:qFormat/>
    <w:uiPriority w:val="99"/>
    <w:rPr>
      <w:sz w:val="18"/>
      <w:szCs w:val="18"/>
    </w:rPr>
  </w:style>
  <w:style w:type="character" w:customStyle="1" w:styleId="17">
    <w:name w:val="批注框文本 Char"/>
    <w:basedOn w:val="8"/>
    <w:link w:val="4"/>
    <w:semiHidden/>
    <w:qFormat/>
    <w:uiPriority w:val="99"/>
    <w:rPr>
      <w:sz w:val="18"/>
      <w:szCs w:val="18"/>
    </w:rPr>
  </w:style>
  <w:style w:type="character" w:customStyle="1" w:styleId="18">
    <w:name w:val="font01"/>
    <w:basedOn w:val="8"/>
    <w:uiPriority w:val="0"/>
    <w:rPr>
      <w:rFonts w:hint="eastAsia" w:ascii="方正仿宋_GBK" w:eastAsia="方正仿宋_GBK"/>
      <w:color w:val="000000"/>
      <w:sz w:val="28"/>
      <w:szCs w:val="28"/>
      <w:u w:val="none"/>
    </w:rPr>
  </w:style>
  <w:style w:type="character" w:customStyle="1" w:styleId="19">
    <w:name w:val="font41"/>
    <w:basedOn w:val="8"/>
    <w:qFormat/>
    <w:uiPriority w:val="0"/>
    <w:rPr>
      <w:rFonts w:hint="eastAsia" w:ascii="宋体" w:hAnsi="宋体" w:eastAsia="宋体" w:cs="宋体"/>
      <w:color w:val="000000"/>
      <w:sz w:val="22"/>
      <w:szCs w:val="22"/>
      <w:u w:val="none"/>
    </w:rPr>
  </w:style>
  <w:style w:type="character" w:customStyle="1" w:styleId="20">
    <w:name w:val="font31"/>
    <w:qFormat/>
    <w:uiPriority w:val="0"/>
    <w:rPr>
      <w:rFonts w:hint="eastAsia" w:ascii="宋体" w:hAnsi="宋体" w:eastAsia="宋体" w:cs="宋体"/>
      <w:b/>
      <w:color w:val="000000"/>
      <w:sz w:val="24"/>
      <w:szCs w:val="24"/>
      <w:u w:val="none"/>
    </w:rPr>
  </w:style>
  <w:style w:type="character" w:customStyle="1" w:styleId="21">
    <w:name w:val="font11"/>
    <w:basedOn w:val="8"/>
    <w:qFormat/>
    <w:uiPriority w:val="0"/>
    <w:rPr>
      <w:rFonts w:hint="eastAsia" w:ascii="方正仿宋_GBK" w:hAnsi="方正仿宋_GBK" w:eastAsia="方正仿宋_GBK" w:cs="方正仿宋_GBK"/>
      <w:color w:val="000000"/>
      <w:sz w:val="40"/>
      <w:szCs w:val="40"/>
      <w:u w:val="none"/>
    </w:rPr>
  </w:style>
  <w:style w:type="paragraph" w:customStyle="1" w:styleId="22">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23">
    <w:name w:val="xl275"/>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24">
    <w:name w:val="xl27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仿宋" w:hAnsi="仿宋" w:eastAsia="仿宋" w:cs="宋体"/>
      <w:b/>
      <w:bCs/>
      <w:kern w:val="0"/>
      <w:sz w:val="24"/>
      <w:szCs w:val="24"/>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xl230"/>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2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8">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29">
    <w:name w:val="xl283"/>
    <w:basedOn w:val="1"/>
    <w:uiPriority w:val="0"/>
    <w:pPr>
      <w:widowControl/>
      <w:spacing w:before="100" w:beforeAutospacing="1" w:after="100" w:afterAutospacing="1"/>
      <w:jc w:val="left"/>
    </w:pPr>
    <w:rPr>
      <w:rFonts w:ascii="方正仿宋_GBK" w:hAnsi="宋体" w:eastAsia="方正仿宋_GBK" w:cs="宋体"/>
      <w:color w:val="000000"/>
      <w:kern w:val="0"/>
      <w:sz w:val="24"/>
      <w:szCs w:val="24"/>
    </w:rPr>
  </w:style>
  <w:style w:type="paragraph" w:customStyle="1" w:styleId="30">
    <w:name w:val="xl274"/>
    <w:basedOn w:val="1"/>
    <w:qFormat/>
    <w:uiPriority w:val="0"/>
    <w:pPr>
      <w:widowControl/>
      <w:pBdr>
        <w:left w:val="single" w:color="auto" w:sz="4" w:space="0"/>
        <w:right w:val="single" w:color="auto" w:sz="4" w:space="0"/>
      </w:pBdr>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31">
    <w:name w:val="xl26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仿宋" w:hAnsi="仿宋" w:eastAsia="仿宋" w:cs="宋体"/>
      <w:b/>
      <w:bCs/>
      <w:color w:val="000000"/>
      <w:kern w:val="0"/>
      <w:sz w:val="24"/>
      <w:szCs w:val="24"/>
    </w:rPr>
  </w:style>
  <w:style w:type="paragraph" w:customStyle="1" w:styleId="32">
    <w:name w:val="xl279"/>
    <w:basedOn w:val="1"/>
    <w:qFormat/>
    <w:uiPriority w:val="0"/>
    <w:pPr>
      <w:widowControl/>
      <w:pBdr>
        <w:left w:val="single" w:color="auto" w:sz="4" w:space="0"/>
        <w:bottom w:val="single" w:color="auto" w:sz="4" w:space="0"/>
      </w:pBdr>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33">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4"/>
      <w:szCs w:val="24"/>
    </w:rPr>
  </w:style>
  <w:style w:type="paragraph" w:customStyle="1" w:styleId="34">
    <w:name w:val="xl229"/>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35">
    <w:name w:val="xl26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36">
    <w:name w:val="xl285"/>
    <w:basedOn w:val="1"/>
    <w:qFormat/>
    <w:uiPriority w:val="0"/>
    <w:pPr>
      <w:widowControl/>
      <w:pBdr>
        <w:bottom w:val="single" w:color="auto" w:sz="8" w:space="0"/>
        <w:right w:val="single" w:color="auto" w:sz="8" w:space="0"/>
      </w:pBdr>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37">
    <w:name w:val="xl27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仿宋" w:hAnsi="仿宋" w:eastAsia="仿宋" w:cs="宋体"/>
      <w:b/>
      <w:bCs/>
      <w:kern w:val="0"/>
      <w:sz w:val="24"/>
      <w:szCs w:val="24"/>
    </w:rPr>
  </w:style>
  <w:style w:type="paragraph" w:customStyle="1" w:styleId="38">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39">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40">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41">
    <w:name w:val="xl23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42">
    <w:name w:val="xl226"/>
    <w:basedOn w:val="1"/>
    <w:qFormat/>
    <w:uiPriority w:val="0"/>
    <w:pPr>
      <w:widowControl/>
      <w:shd w:val="clear" w:color="000000" w:fill="FFFFFF"/>
      <w:spacing w:before="100" w:beforeAutospacing="1" w:after="100" w:afterAutospacing="1"/>
      <w:jc w:val="center"/>
    </w:pPr>
    <w:rPr>
      <w:rFonts w:ascii="Times New Roman" w:hAnsi="Times New Roman"/>
      <w:kern w:val="0"/>
      <w:sz w:val="24"/>
      <w:szCs w:val="24"/>
    </w:rPr>
  </w:style>
  <w:style w:type="paragraph" w:customStyle="1" w:styleId="43">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color w:val="000000"/>
      <w:kern w:val="0"/>
      <w:sz w:val="20"/>
      <w:szCs w:val="20"/>
    </w:rPr>
  </w:style>
  <w:style w:type="paragraph" w:customStyle="1" w:styleId="44">
    <w:name w:val="xl232"/>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45">
    <w:name w:val="xl231"/>
    <w:basedOn w:val="1"/>
    <w:qFormat/>
    <w:uiPriority w:val="0"/>
    <w:pPr>
      <w:widowControl/>
      <w:spacing w:before="100" w:beforeAutospacing="1" w:after="100" w:afterAutospacing="1"/>
      <w:jc w:val="center"/>
    </w:pPr>
    <w:rPr>
      <w:rFonts w:ascii="Times New Roman" w:hAnsi="Times New Roman"/>
      <w:kern w:val="0"/>
      <w:sz w:val="24"/>
      <w:szCs w:val="24"/>
    </w:rPr>
  </w:style>
  <w:style w:type="paragraph" w:customStyle="1" w:styleId="46">
    <w:name w:val="xl281"/>
    <w:basedOn w:val="1"/>
    <w:qFormat/>
    <w:uiPriority w:val="0"/>
    <w:pPr>
      <w:widowControl/>
      <w:pBdr>
        <w:top w:val="single" w:color="auto" w:sz="4" w:space="0"/>
      </w:pBdr>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47">
    <w:name w:val="xl2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b/>
      <w:bCs/>
      <w:color w:val="000000"/>
      <w:kern w:val="0"/>
      <w:sz w:val="24"/>
      <w:szCs w:val="24"/>
    </w:rPr>
  </w:style>
  <w:style w:type="paragraph" w:customStyle="1" w:styleId="48">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49">
    <w:name w:val="xl277"/>
    <w:basedOn w:val="1"/>
    <w:qFormat/>
    <w:uiPriority w:val="0"/>
    <w:pPr>
      <w:widowControl/>
      <w:pBdr>
        <w:top w:val="single" w:color="auto" w:sz="4" w:space="0"/>
        <w:left w:val="single" w:color="auto" w:sz="4" w:space="0"/>
      </w:pBdr>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50">
    <w:name w:val="xl2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51">
    <w:name w:val="xl2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eastAsia="方正仿宋_GBK" w:cs="宋体"/>
      <w:kern w:val="0"/>
      <w:sz w:val="24"/>
      <w:szCs w:val="24"/>
    </w:rPr>
  </w:style>
  <w:style w:type="paragraph" w:customStyle="1" w:styleId="52">
    <w:name w:val="xl26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方正黑体_GBK" w:hAnsi="宋体" w:eastAsia="方正黑体_GBK" w:cs="宋体"/>
      <w:color w:val="000000"/>
      <w:kern w:val="0"/>
      <w:sz w:val="24"/>
      <w:szCs w:val="24"/>
    </w:rPr>
  </w:style>
  <w:style w:type="paragraph" w:customStyle="1" w:styleId="53">
    <w:name w:val="xl234"/>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54">
    <w:name w:val="xl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55">
    <w:name w:val="xl269"/>
    <w:basedOn w:val="1"/>
    <w:uiPriority w:val="0"/>
    <w:pPr>
      <w:widowControl/>
      <w:pBdr>
        <w:top w:val="single" w:color="auto" w:sz="4" w:space="0"/>
        <w:bottom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56">
    <w:name w:val="xl2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57">
    <w:name w:val="xl228"/>
    <w:basedOn w:val="1"/>
    <w:qFormat/>
    <w:uiPriority w:val="0"/>
    <w:pPr>
      <w:widowControl/>
      <w:spacing w:before="100" w:beforeAutospacing="1" w:after="100" w:afterAutospacing="1"/>
      <w:jc w:val="center"/>
    </w:pPr>
    <w:rPr>
      <w:rFonts w:ascii="Times New Roman" w:hAnsi="Times New Roman"/>
      <w:kern w:val="0"/>
      <w:sz w:val="24"/>
      <w:szCs w:val="24"/>
    </w:rPr>
  </w:style>
  <w:style w:type="paragraph" w:customStyle="1" w:styleId="58">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59">
    <w:name w:val="xl282"/>
    <w:basedOn w:val="1"/>
    <w:qFormat/>
    <w:uiPriority w:val="0"/>
    <w:pPr>
      <w:widowControl/>
      <w:pBdr>
        <w:bottom w:val="single" w:color="auto" w:sz="4" w:space="0"/>
      </w:pBdr>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60">
    <w:name w:val="xl2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61">
    <w:name w:val="xl2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62">
    <w:name w:val="xl284"/>
    <w:basedOn w:val="1"/>
    <w:qFormat/>
    <w:uiPriority w:val="0"/>
    <w:pPr>
      <w:widowControl/>
      <w:spacing w:before="100" w:beforeAutospacing="1" w:after="100" w:afterAutospacing="1"/>
      <w:jc w:val="center"/>
    </w:pPr>
    <w:rPr>
      <w:rFonts w:ascii="方正仿宋_GBK" w:hAnsi="宋体" w:eastAsia="方正仿宋_GBK" w:cs="宋体"/>
      <w:color w:val="000000"/>
      <w:kern w:val="0"/>
      <w:sz w:val="24"/>
      <w:szCs w:val="24"/>
    </w:rPr>
  </w:style>
  <w:style w:type="paragraph" w:customStyle="1" w:styleId="63">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6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4"/>
      <w:szCs w:val="24"/>
    </w:rPr>
  </w:style>
  <w:style w:type="paragraph" w:customStyle="1" w:styleId="65">
    <w:name w:val="List Paragraph1"/>
    <w:basedOn w:val="1"/>
    <w:qFormat/>
    <w:uiPriority w:val="34"/>
    <w:pPr>
      <w:ind w:firstLine="420" w:firstLineChars="200"/>
    </w:pPr>
  </w:style>
  <w:style w:type="paragraph" w:customStyle="1" w:styleId="66">
    <w:name w:val="xl235"/>
    <w:basedOn w:val="1"/>
    <w:qFormat/>
    <w:uiPriority w:val="0"/>
    <w:pPr>
      <w:widowControl/>
      <w:shd w:val="clear" w:color="000000" w:fill="FFFFFF"/>
      <w:spacing w:before="100" w:beforeAutospacing="1" w:after="100" w:afterAutospacing="1"/>
      <w:jc w:val="center"/>
    </w:pPr>
    <w:rPr>
      <w:rFonts w:ascii="Times New Roman" w:hAnsi="Times New Roman"/>
      <w:kern w:val="0"/>
      <w:sz w:val="24"/>
      <w:szCs w:val="24"/>
    </w:rPr>
  </w:style>
  <w:style w:type="paragraph" w:customStyle="1" w:styleId="67">
    <w:name w:val="xl25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68">
    <w:name w:val="xl26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69">
    <w:name w:val="xl23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70">
    <w:name w:val="xl249"/>
    <w:basedOn w:val="1"/>
    <w:qFormat/>
    <w:uiPriority w:val="0"/>
    <w:pPr>
      <w:widowControl/>
      <w:shd w:val="clear" w:color="000000" w:fill="FFFFFF"/>
      <w:spacing w:before="100" w:beforeAutospacing="1" w:after="100" w:afterAutospacing="1"/>
      <w:jc w:val="left"/>
    </w:pPr>
    <w:rPr>
      <w:rFonts w:ascii="Times New Roman" w:hAnsi="Times New Roman"/>
      <w:kern w:val="0"/>
      <w:sz w:val="24"/>
      <w:szCs w:val="24"/>
    </w:rPr>
  </w:style>
  <w:style w:type="paragraph" w:customStyle="1" w:styleId="71">
    <w:name w:val="xl2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color w:val="000000"/>
      <w:kern w:val="0"/>
      <w:sz w:val="24"/>
      <w:szCs w:val="24"/>
    </w:rPr>
  </w:style>
  <w:style w:type="paragraph" w:customStyle="1" w:styleId="72">
    <w:name w:val="xl261"/>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73">
    <w:name w:val="xl266"/>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仿宋" w:hAnsi="仿宋" w:eastAsia="仿宋" w:cs="宋体"/>
      <w:b/>
      <w:bCs/>
      <w:color w:val="000000"/>
      <w:kern w:val="0"/>
      <w:sz w:val="24"/>
      <w:szCs w:val="24"/>
    </w:rPr>
  </w:style>
  <w:style w:type="paragraph" w:customStyle="1" w:styleId="74">
    <w:name w:val="xl2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 w:hAnsi="仿宋" w:eastAsia="仿宋" w:cs="宋体"/>
      <w:b/>
      <w:bCs/>
      <w:color w:val="000000"/>
      <w:kern w:val="0"/>
      <w:sz w:val="24"/>
      <w:szCs w:val="24"/>
    </w:rPr>
  </w:style>
  <w:style w:type="paragraph" w:customStyle="1" w:styleId="75">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76">
    <w:name w:val="xl280"/>
    <w:basedOn w:val="1"/>
    <w:qFormat/>
    <w:uiPriority w:val="0"/>
    <w:pPr>
      <w:widowControl/>
      <w:pBdr>
        <w:bottom w:val="single" w:color="auto" w:sz="4" w:space="0"/>
        <w:right w:val="single" w:color="auto" w:sz="4" w:space="0"/>
      </w:pBdr>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77">
    <w:name w:val="xl2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7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9">
    <w:name w:val="xl276"/>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方正黑体_GBK" w:hAnsi="宋体" w:eastAsia="方正黑体_GBK" w:cs="宋体"/>
      <w:color w:val="000000"/>
      <w:kern w:val="0"/>
      <w:sz w:val="24"/>
      <w:szCs w:val="24"/>
    </w:rPr>
  </w:style>
  <w:style w:type="paragraph" w:customStyle="1" w:styleId="80">
    <w:name w:val="xl2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000000"/>
      <w:kern w:val="0"/>
      <w:sz w:val="24"/>
      <w:szCs w:val="24"/>
    </w:rPr>
  </w:style>
  <w:style w:type="paragraph" w:customStyle="1" w:styleId="81">
    <w:name w:val="xl233"/>
    <w:basedOn w:val="1"/>
    <w:qFormat/>
    <w:uiPriority w:val="0"/>
    <w:pPr>
      <w:widowControl/>
      <w:spacing w:before="100" w:beforeAutospacing="1" w:after="100" w:afterAutospacing="1"/>
      <w:jc w:val="center"/>
    </w:pPr>
    <w:rPr>
      <w:rFonts w:ascii="Times New Roman" w:hAnsi="Times New Roman"/>
      <w:b/>
      <w:bCs/>
      <w:kern w:val="0"/>
      <w:sz w:val="20"/>
      <w:szCs w:val="20"/>
    </w:rPr>
  </w:style>
  <w:style w:type="paragraph" w:customStyle="1" w:styleId="82">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83">
    <w:name w:val="xl2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color w:val="000000"/>
      <w:kern w:val="0"/>
      <w:sz w:val="24"/>
      <w:szCs w:val="24"/>
    </w:rPr>
  </w:style>
  <w:style w:type="paragraph" w:customStyle="1" w:styleId="84">
    <w:name w:val="xl278"/>
    <w:basedOn w:val="1"/>
    <w:qFormat/>
    <w:uiPriority w:val="0"/>
    <w:pPr>
      <w:widowControl/>
      <w:pBdr>
        <w:top w:val="single" w:color="auto" w:sz="4" w:space="0"/>
        <w:right w:val="single" w:color="auto" w:sz="4" w:space="0"/>
      </w:pBdr>
      <w:spacing w:before="100" w:beforeAutospacing="1" w:after="100" w:afterAutospacing="1"/>
      <w:jc w:val="center"/>
    </w:pPr>
    <w:rPr>
      <w:rFonts w:ascii="方正黑体_GBK" w:hAnsi="宋体" w:eastAsia="方正黑体_GBK" w:cs="宋体"/>
      <w:color w:val="000000"/>
      <w:kern w:val="0"/>
      <w:sz w:val="24"/>
      <w:szCs w:val="24"/>
    </w:rPr>
  </w:style>
  <w:style w:type="paragraph" w:customStyle="1" w:styleId="85">
    <w:name w:val="xl227"/>
    <w:basedOn w:val="1"/>
    <w:qFormat/>
    <w:uiPriority w:val="0"/>
    <w:pPr>
      <w:widowControl/>
      <w:shd w:val="clear" w:color="000000" w:fill="FFFFFF"/>
      <w:spacing w:before="100" w:beforeAutospacing="1" w:after="100" w:afterAutospacing="1"/>
      <w:jc w:val="center"/>
    </w:pPr>
    <w:rPr>
      <w:rFonts w:ascii="Times New Roman" w:hAnsi="Times New Roman"/>
      <w:b/>
      <w:bCs/>
      <w:kern w:val="0"/>
      <w:sz w:val="24"/>
      <w:szCs w:val="24"/>
    </w:rPr>
  </w:style>
  <w:style w:type="paragraph" w:styleId="86">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cnpx</Company>
  <Pages>25</Pages>
  <Words>1634</Words>
  <Characters>9316</Characters>
  <Lines>77</Lines>
  <Paragraphs>21</Paragraphs>
  <TotalTime>4</TotalTime>
  <ScaleCrop>false</ScaleCrop>
  <LinksUpToDate>false</LinksUpToDate>
  <CharactersWithSpaces>10929</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2021-01-06T01:27:00Z</dcterms:created>
  <dc:creator>w</dc:creator>
  <cp:lastModifiedBy>Administrator</cp:lastModifiedBy>
  <cp:lastPrinted>2020-07-29T06:50:00Z</cp:lastPrinted>
  <dcterms:modified xsi:type="dcterms:W3CDTF">2021-11-24T03:19:23Z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