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distribute"/>
        <w:rPr>
          <w:rFonts w:eastAsia="方正小标宋_GBK"/>
          <w:b/>
          <w:bCs/>
          <w:color w:val="FF0000"/>
          <w:sz w:val="44"/>
          <w:szCs w:val="46"/>
        </w:rPr>
      </w:pPr>
      <w:bookmarkStart w:id="0" w:name="_GoBack"/>
      <w:bookmarkEnd w:id="0"/>
      <w:r>
        <w:rPr>
          <w:rFonts w:hint="eastAsia" w:eastAsia="方正小标宋_GBK"/>
          <w:b/>
          <w:bCs/>
          <w:color w:val="FF0000"/>
          <w:sz w:val="44"/>
          <w:szCs w:val="46"/>
        </w:rPr>
        <w:t>重庆市沙坪坝区物流办公室</w:t>
      </w:r>
    </w:p>
    <w:p>
      <w:pPr>
        <w:spacing w:line="540" w:lineRule="exact"/>
        <w:jc w:val="distribute"/>
        <w:rPr>
          <w:rFonts w:eastAsia="方正小标宋_GBK"/>
          <w:b/>
          <w:bCs/>
          <w:color w:val="FF0000"/>
          <w:sz w:val="44"/>
          <w:szCs w:val="46"/>
        </w:rPr>
      </w:pPr>
      <w:r>
        <w:rPr>
          <w:rFonts w:hint="eastAsia" w:eastAsia="方正小标宋_GBK"/>
          <w:b/>
          <w:bCs/>
          <w:color w:val="FF0000"/>
          <w:sz w:val="44"/>
          <w:szCs w:val="46"/>
        </w:rPr>
        <w:t>重庆市沙坪坝区发展和改革委员会</w:t>
      </w:r>
    </w:p>
    <w:p>
      <w:pPr>
        <w:spacing w:line="540" w:lineRule="exact"/>
        <w:jc w:val="distribute"/>
        <w:rPr>
          <w:rFonts w:hint="eastAsia" w:eastAsia="方正小标宋_GBK"/>
          <w:b/>
          <w:bCs/>
          <w:color w:val="FF0000"/>
          <w:sz w:val="44"/>
          <w:szCs w:val="46"/>
        </w:rPr>
      </w:pPr>
      <w:r>
        <w:rPr>
          <w:rFonts w:hint="eastAsia" w:eastAsia="方正小标宋_GBK"/>
          <w:b/>
          <w:bCs/>
          <w:color w:val="FF0000"/>
          <w:sz w:val="44"/>
          <w:szCs w:val="46"/>
        </w:rPr>
        <w:t>重庆市沙坪坝区财政局</w:t>
      </w:r>
    </w:p>
    <w:p>
      <w:pPr>
        <w:spacing w:line="540" w:lineRule="exact"/>
        <w:jc w:val="distribute"/>
        <w:rPr>
          <w:rFonts w:hint="eastAsia" w:eastAsia="方正小标宋_GBK"/>
          <w:b/>
          <w:bCs/>
          <w:color w:val="FF0000"/>
          <w:sz w:val="44"/>
          <w:szCs w:val="46"/>
        </w:rPr>
      </w:pPr>
      <w:r>
        <w:rPr>
          <w:rFonts w:eastAsia="方正小标宋_GBK"/>
          <w:b/>
          <w:bCs/>
          <w:color w:val="FF0000"/>
          <w:sz w:val="44"/>
          <w:szCs w:val="46"/>
        </w:rPr>
        <w:t>重庆市</w:t>
      </w:r>
      <w:r>
        <w:rPr>
          <w:rFonts w:hint="eastAsia" w:eastAsia="方正小标宋_GBK"/>
          <w:b/>
          <w:bCs/>
          <w:color w:val="FF0000"/>
          <w:sz w:val="44"/>
          <w:szCs w:val="46"/>
        </w:rPr>
        <w:t>沙坪坝区交通局</w:t>
      </w:r>
    </w:p>
    <w:p>
      <w:pPr>
        <w:spacing w:line="540" w:lineRule="exact"/>
        <w:jc w:val="distribute"/>
        <w:rPr>
          <w:rFonts w:hint="eastAsia" w:eastAsia="方正小标宋_GBK"/>
          <w:b/>
          <w:bCs/>
          <w:color w:val="FF0000"/>
          <w:sz w:val="44"/>
          <w:szCs w:val="46"/>
        </w:rPr>
      </w:pPr>
      <w:r>
        <w:rPr>
          <w:rFonts w:hint="eastAsia" w:eastAsia="方正小标宋_GBK"/>
          <w:b/>
          <w:bCs/>
          <w:color w:val="FF0000"/>
          <w:sz w:val="44"/>
          <w:szCs w:val="46"/>
        </w:rPr>
        <w:t>重庆市沙坪坝区商务委员会</w:t>
      </w:r>
    </w:p>
    <w:p>
      <w:pPr>
        <w:spacing w:line="540" w:lineRule="exact"/>
        <w:jc w:val="distribute"/>
        <w:rPr>
          <w:rFonts w:hint="eastAsia" w:eastAsia="方正小标宋_GBK"/>
          <w:b/>
          <w:bCs/>
          <w:color w:val="FF0000"/>
          <w:sz w:val="44"/>
          <w:szCs w:val="46"/>
        </w:rPr>
      </w:pPr>
      <w:r>
        <w:rPr>
          <w:rFonts w:hint="eastAsia" w:eastAsia="方正小标宋_GBK"/>
          <w:b/>
          <w:bCs/>
          <w:color w:val="FF0000"/>
          <w:sz w:val="44"/>
          <w:szCs w:val="46"/>
        </w:rPr>
        <w:t>国家税务总局重庆市沙坪坝区税务局</w:t>
      </w:r>
    </w:p>
    <w:p>
      <w:pPr>
        <w:pStyle w:val="5"/>
      </w:pPr>
    </w:p>
    <w:p>
      <w:pPr>
        <w:pStyle w:val="5"/>
      </w:pPr>
    </w:p>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沙</w:t>
      </w:r>
      <w:r>
        <w:rPr>
          <w:rFonts w:hint="eastAsia" w:ascii="Times New Roman" w:hAnsi="Times New Roman" w:eastAsia="方正仿宋_GBK" w:cs="Times New Roman"/>
          <w:sz w:val="32"/>
          <w:szCs w:val="32"/>
          <w:lang w:val="en-US" w:eastAsia="zh-CN"/>
        </w:rPr>
        <w:t>物流办发</w:t>
      </w:r>
      <w:r>
        <w:rPr>
          <w:rFonts w:ascii="Times New Roman" w:hAnsi="Times New Roman" w:eastAsia="方正仿宋_GBK" w:cs="Times New Roman"/>
          <w:sz w:val="32"/>
          <w:szCs w:val="32"/>
        </w:rPr>
        <w:t>〔2022〕</w:t>
      </w: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号</w:t>
      </w:r>
    </w:p>
    <w:p>
      <w:pPr>
        <w:spacing w:line="580" w:lineRule="exact"/>
        <w:jc w:val="center"/>
        <w:rPr>
          <w:rFonts w:hint="eastAsia" w:ascii="方正小标宋_GBK" w:hAnsi="方正小标宋_GBK" w:eastAsia="方正小标宋_GBK" w:cs="方正小标宋_GBK"/>
          <w:sz w:val="36"/>
          <w:szCs w:val="36"/>
        </w:rPr>
      </w:pPr>
      <w:r>
        <w:pict>
          <v:shape id="_x0000_s1026" o:spid="_x0000_s1026" o:spt="136" type="#_x0000_t136" style="position:absolute;left:0pt;margin-left:0pt;margin-top:10.2pt;height:1.4pt;width:449.5pt;z-index:251659264;mso-width-relative:page;mso-height-relative:page;" fillcolor="#FF0000" filled="t" coordsize="21600,21600">
            <v:path/>
            <v:fill on="t" opacity="64881f" focussize="0,0"/>
            <v:stroke weight="0pt" color="#FF0000"/>
            <v:imagedata o:title=""/>
            <o:lock v:ext="edit"/>
            <v:textpath on="t" fitshape="t" fitpath="t" trim="t" xscale="f" string="-" style="font-family:宋体;font-size:36pt;v-text-align:center;"/>
          </v:shape>
        </w:pic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关于印发《重庆市沙坪坝区贯彻落实重庆市</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物流支撑产业链供应链循环畅通政策</w:t>
      </w:r>
      <w:r>
        <w:rPr>
          <w:rFonts w:eastAsia="方正小标宋_GBK"/>
          <w:snapToGrid w:val="0"/>
          <w:kern w:val="0"/>
          <w:sz w:val="44"/>
          <w:szCs w:val="44"/>
        </w:rPr>
        <w:t>措施</w:t>
      </w:r>
      <w:r>
        <w:rPr>
          <w:rFonts w:hint="eastAsia" w:ascii="方正小标宋_GBK" w:hAnsi="方正小标宋_GBK" w:eastAsia="方正小标宋_GBK" w:cs="方正小标宋_GBK"/>
          <w:sz w:val="44"/>
          <w:szCs w:val="44"/>
        </w:rPr>
        <w:t>》的</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通</w:t>
      </w:r>
      <w:r>
        <w:rPr>
          <w:rFonts w:hint="eastAsia" w:ascii="方正小标宋_GBK" w:hAnsi="方正小标宋_GBK" w:eastAsia="方正小标宋_GBK" w:cs="方正小标宋_GBK"/>
          <w:sz w:val="44"/>
          <w:szCs w:val="44"/>
          <w:lang w:val="en-US" w:eastAsia="zh-CN"/>
        </w:rPr>
        <w:t xml:space="preserve"> </w:t>
      </w:r>
      <w:r>
        <w:rPr>
          <w:rFonts w:hint="eastAsia" w:ascii="方正小标宋_GBK" w:hAnsi="方正小标宋_GBK" w:eastAsia="方正小标宋_GBK" w:cs="方正小标宋_GBK"/>
          <w:sz w:val="44"/>
          <w:szCs w:val="44"/>
        </w:rPr>
        <w:t>知</w:t>
      </w:r>
    </w:p>
    <w:p>
      <w:pPr>
        <w:pStyle w:val="2"/>
      </w:pPr>
    </w:p>
    <w:p>
      <w:pPr>
        <w:spacing w:line="600" w:lineRule="exact"/>
      </w:pPr>
      <w:r>
        <w:rPr>
          <w:rFonts w:hint="eastAsia"/>
        </w:rPr>
        <w:t>各街镇、部门，各物流企业：</w:t>
      </w:r>
    </w:p>
    <w:p>
      <w:pPr>
        <w:spacing w:line="600" w:lineRule="exact"/>
        <w:ind w:firstLine="640" w:firstLineChars="200"/>
        <w:rPr>
          <w:rFonts w:ascii="方正仿宋_GBK" w:hAnsi="方正仿宋_GBK" w:cs="方正仿宋_GBK"/>
          <w:szCs w:val="32"/>
          <w:lang w:bidi="ar"/>
        </w:rPr>
      </w:pPr>
      <w:r>
        <w:rPr>
          <w:rFonts w:hint="eastAsia"/>
        </w:rPr>
        <w:t>为深入贯彻落实全国、全市、全区稳住经济大盘工作会议精神，落实落细助企纾困举措，进一步强化物流支撑作用，全力保障产业链供应链循环畅通，助力我区经济持续健康稳定发展，</w:t>
      </w:r>
      <w:r>
        <w:rPr>
          <w:rFonts w:hint="eastAsia" w:ascii="方正仿宋_GBK" w:hAnsi="方正仿宋_GBK" w:cs="方正仿宋_GBK"/>
          <w:szCs w:val="32"/>
          <w:lang w:bidi="ar"/>
        </w:rPr>
        <w:t>按照《重庆市支持口岸物流高质量发展若干政策》</w:t>
      </w:r>
      <w:r>
        <w:rPr>
          <w:rFonts w:hint="eastAsia"/>
        </w:rPr>
        <w:t>《重庆市口岸物流支撑产业链供应链循环畅通若干政策措施》等文件</w:t>
      </w:r>
      <w:r>
        <w:rPr>
          <w:rFonts w:hint="eastAsia" w:ascii="方正仿宋_GBK" w:hAnsi="方正仿宋_GBK" w:cs="方正仿宋_GBK"/>
          <w:szCs w:val="32"/>
          <w:lang w:bidi="ar"/>
        </w:rPr>
        <w:t>，结合我区实际，现将《重庆市沙坪坝区贯彻落实重庆市物流支撑产业链供应链循环畅通政策措施》印发，请</w:t>
      </w:r>
      <w:r>
        <w:rPr>
          <w:rFonts w:hint="eastAsia" w:ascii="方正仿宋_GBK" w:hAnsi="方正仿宋_GBK" w:cs="方正仿宋_GBK"/>
          <w:szCs w:val="32"/>
          <w:lang w:val="en-US" w:eastAsia="zh-CN" w:bidi="ar"/>
        </w:rPr>
        <w:t>认真贯彻执行</w:t>
      </w:r>
      <w:r>
        <w:rPr>
          <w:rFonts w:hint="eastAsia" w:ascii="方正仿宋_GBK" w:hAnsi="方正仿宋_GBK" w:cs="方正仿宋_GBK"/>
          <w:szCs w:val="32"/>
          <w:lang w:bidi="ar"/>
        </w:rPr>
        <w:t>。</w:t>
      </w:r>
    </w:p>
    <w:p>
      <w:pPr>
        <w:pStyle w:val="2"/>
        <w:spacing w:line="600" w:lineRule="exact"/>
        <w:ind w:firstLine="640" w:firstLineChars="200"/>
      </w:pPr>
      <w:r>
        <w:rPr>
          <w:rFonts w:hint="eastAsia" w:ascii="方正仿宋_GBK" w:hAnsi="方正仿宋_GBK" w:cs="方正仿宋_GBK"/>
          <w:szCs w:val="32"/>
          <w:lang w:bidi="ar"/>
        </w:rPr>
        <w:t>特此通知。</w:t>
      </w:r>
    </w:p>
    <w:p>
      <w:pPr>
        <w:pStyle w:val="2"/>
        <w:spacing w:line="600" w:lineRule="exact"/>
        <w:rPr>
          <w:rFonts w:hint="eastAsia"/>
        </w:rPr>
      </w:pPr>
    </w:p>
    <w:p>
      <w:pPr>
        <w:pStyle w:val="2"/>
        <w:spacing w:line="600" w:lineRule="exact"/>
        <w:rPr>
          <w:rFonts w:hint="eastAsia"/>
        </w:rPr>
      </w:pPr>
      <w:r>
        <w:rPr>
          <w:rFonts w:hint="eastAsia"/>
        </w:rPr>
        <w:t>重庆市沙坪坝区物流办公室  重庆市沙坪坝区发展和改革委员会</w:t>
      </w:r>
    </w:p>
    <w:p>
      <w:pPr>
        <w:pStyle w:val="2"/>
        <w:spacing w:line="600" w:lineRule="exact"/>
        <w:rPr>
          <w:rFonts w:hint="eastAsia"/>
        </w:rPr>
      </w:pPr>
    </w:p>
    <w:p>
      <w:pPr>
        <w:pStyle w:val="2"/>
        <w:spacing w:line="600" w:lineRule="exact"/>
        <w:rPr>
          <w:rFonts w:hint="eastAsia"/>
        </w:rPr>
      </w:pPr>
    </w:p>
    <w:p>
      <w:pPr>
        <w:pStyle w:val="2"/>
        <w:spacing w:line="600" w:lineRule="exact"/>
        <w:rPr>
          <w:rFonts w:hint="eastAsia"/>
        </w:rPr>
      </w:pPr>
      <w:r>
        <w:rPr>
          <w:rFonts w:hint="eastAsia"/>
        </w:rPr>
        <w:t>重庆市沙坪坝区财政局       重庆市沙坪坝区商务委员会</w:t>
      </w:r>
    </w:p>
    <w:p>
      <w:pPr>
        <w:pStyle w:val="2"/>
        <w:spacing w:line="600" w:lineRule="exact"/>
        <w:jc w:val="right"/>
        <w:rPr>
          <w:rFonts w:hint="eastAsia"/>
        </w:rPr>
      </w:pPr>
    </w:p>
    <w:p>
      <w:pPr>
        <w:pStyle w:val="2"/>
        <w:spacing w:line="600" w:lineRule="exact"/>
        <w:jc w:val="right"/>
        <w:rPr>
          <w:rFonts w:hint="eastAsia"/>
        </w:rPr>
      </w:pPr>
    </w:p>
    <w:p>
      <w:pPr>
        <w:pStyle w:val="2"/>
        <w:spacing w:line="600" w:lineRule="exact"/>
        <w:jc w:val="right"/>
        <w:rPr>
          <w:rFonts w:hint="eastAsia"/>
        </w:rPr>
      </w:pPr>
      <w:r>
        <w:rPr>
          <w:rFonts w:hint="eastAsia"/>
        </w:rPr>
        <w:t xml:space="preserve">重庆市沙坪坝区交通局    国家税务总局重庆市沙坪坝区税务局                                </w:t>
      </w:r>
    </w:p>
    <w:p>
      <w:pPr>
        <w:pStyle w:val="2"/>
        <w:spacing w:line="600" w:lineRule="exact"/>
        <w:jc w:val="center"/>
      </w:pPr>
      <w:r>
        <w:rPr>
          <w:rFonts w:hint="eastAsia"/>
          <w:lang w:val="en-US" w:eastAsia="zh-CN"/>
        </w:rPr>
        <w:t xml:space="preserve">                       </w:t>
      </w:r>
      <w:r>
        <w:rPr>
          <w:rFonts w:hint="eastAsia"/>
        </w:rPr>
        <w:t>2022年</w:t>
      </w:r>
      <w:r>
        <w:rPr>
          <w:rFonts w:hint="eastAsia"/>
          <w:lang w:val="en-US" w:eastAsia="zh-CN"/>
        </w:rPr>
        <w:t>8</w:t>
      </w:r>
      <w:r>
        <w:rPr>
          <w:rFonts w:hint="eastAsia"/>
        </w:rPr>
        <w:t>月</w:t>
      </w:r>
      <w:r>
        <w:rPr>
          <w:rFonts w:hint="eastAsia"/>
          <w:lang w:val="en-US" w:eastAsia="zh-CN"/>
        </w:rPr>
        <w:t>4</w:t>
      </w:r>
      <w:r>
        <w:rPr>
          <w:rFonts w:hint="eastAsia"/>
        </w:rPr>
        <w:t>日</w:t>
      </w:r>
    </w:p>
    <w:p>
      <w:pPr>
        <w:pStyle w:val="9"/>
        <w:spacing w:line="600" w:lineRule="exact"/>
        <w:ind w:firstLine="320"/>
        <w:rPr>
          <w:rFonts w:ascii="方正楷体_GBK" w:hAnsi="方正楷体_GBK" w:eastAsia="方正楷体_GBK" w:cs="方正楷体_GBK"/>
          <w:snapToGrid w:val="0"/>
          <w:kern w:val="0"/>
          <w:sz w:val="32"/>
          <w:szCs w:val="32"/>
        </w:rPr>
      </w:pPr>
    </w:p>
    <w:p>
      <w:pPr>
        <w:pStyle w:val="9"/>
        <w:spacing w:line="600" w:lineRule="exact"/>
        <w:ind w:firstLine="320"/>
        <w:rPr>
          <w:rFonts w:ascii="方正楷体_GBK" w:hAnsi="方正楷体_GBK" w:eastAsia="方正楷体_GBK" w:cs="方正楷体_GBK"/>
          <w:snapToGrid w:val="0"/>
          <w:kern w:val="0"/>
          <w:sz w:val="32"/>
          <w:szCs w:val="32"/>
        </w:rPr>
      </w:pPr>
    </w:p>
    <w:p>
      <w:pPr>
        <w:pStyle w:val="9"/>
        <w:spacing w:line="600" w:lineRule="exact"/>
        <w:ind w:firstLine="320"/>
        <w:rPr>
          <w:rFonts w:ascii="方正楷体_GBK" w:hAnsi="方正楷体_GBK" w:eastAsia="方正楷体_GBK" w:cs="方正楷体_GBK"/>
          <w:snapToGrid w:val="0"/>
          <w:kern w:val="0"/>
          <w:sz w:val="32"/>
          <w:szCs w:val="32"/>
        </w:rPr>
      </w:pPr>
    </w:p>
    <w:p>
      <w:pPr>
        <w:pStyle w:val="9"/>
        <w:spacing w:line="600" w:lineRule="exact"/>
        <w:ind w:firstLine="320"/>
        <w:rPr>
          <w:rFonts w:ascii="方正楷体_GBK" w:hAnsi="方正楷体_GBK" w:eastAsia="方正楷体_GBK" w:cs="方正楷体_GBK"/>
          <w:snapToGrid w:val="0"/>
          <w:kern w:val="0"/>
          <w:sz w:val="32"/>
          <w:szCs w:val="32"/>
        </w:rPr>
      </w:pPr>
    </w:p>
    <w:p>
      <w:pPr>
        <w:pStyle w:val="9"/>
        <w:spacing w:line="600" w:lineRule="exact"/>
        <w:ind w:firstLine="320"/>
        <w:rPr>
          <w:rFonts w:ascii="方正楷体_GBK" w:hAnsi="方正楷体_GBK" w:eastAsia="方正楷体_GBK" w:cs="方正楷体_GBK"/>
          <w:snapToGrid w:val="0"/>
          <w:kern w:val="0"/>
          <w:sz w:val="32"/>
          <w:szCs w:val="32"/>
        </w:rPr>
      </w:pPr>
    </w:p>
    <w:p>
      <w:pPr>
        <w:pStyle w:val="9"/>
        <w:spacing w:line="600" w:lineRule="exact"/>
        <w:ind w:firstLine="320"/>
        <w:rPr>
          <w:rFonts w:ascii="方正楷体_GBK" w:hAnsi="方正楷体_GBK" w:eastAsia="方正楷体_GBK" w:cs="方正楷体_GBK"/>
          <w:snapToGrid w:val="0"/>
          <w:kern w:val="0"/>
          <w:sz w:val="32"/>
          <w:szCs w:val="32"/>
        </w:rPr>
      </w:pPr>
    </w:p>
    <w:p>
      <w:pPr>
        <w:pStyle w:val="9"/>
        <w:spacing w:line="600" w:lineRule="exact"/>
        <w:ind w:firstLine="320"/>
        <w:rPr>
          <w:rFonts w:ascii="方正楷体_GBK" w:hAnsi="方正楷体_GBK" w:eastAsia="方正楷体_GBK" w:cs="方正楷体_GBK"/>
          <w:snapToGrid w:val="0"/>
          <w:kern w:val="0"/>
          <w:sz w:val="32"/>
          <w:szCs w:val="32"/>
        </w:rPr>
      </w:pPr>
    </w:p>
    <w:p>
      <w:pPr>
        <w:pStyle w:val="9"/>
        <w:spacing w:line="600" w:lineRule="exact"/>
        <w:ind w:firstLine="320"/>
        <w:rPr>
          <w:rFonts w:ascii="方正楷体_GBK" w:hAnsi="方正楷体_GBK" w:eastAsia="方正楷体_GBK" w:cs="方正楷体_GBK"/>
          <w:snapToGrid w:val="0"/>
          <w:kern w:val="0"/>
          <w:sz w:val="32"/>
          <w:szCs w:val="32"/>
        </w:rPr>
      </w:pPr>
    </w:p>
    <w:p>
      <w:pPr>
        <w:spacing w:line="600" w:lineRule="exact"/>
        <w:jc w:val="center"/>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重庆市沙坪坝区贯彻落实重庆市</w:t>
      </w:r>
    </w:p>
    <w:p>
      <w:pPr>
        <w:pStyle w:val="9"/>
        <w:spacing w:line="600" w:lineRule="exact"/>
        <w:ind w:firstLine="440"/>
        <w:rPr>
          <w:rFonts w:ascii="方正楷体_GBK" w:hAnsi="方正楷体_GBK" w:eastAsia="方正楷体_GBK" w:cs="方正楷体_GBK"/>
          <w:snapToGrid w:val="0"/>
          <w:kern w:val="0"/>
          <w:sz w:val="32"/>
          <w:szCs w:val="32"/>
        </w:rPr>
      </w:pPr>
      <w:r>
        <w:rPr>
          <w:rFonts w:hint="eastAsia" w:ascii="方正小标宋_GBK" w:hAnsi="方正小标宋_GBK" w:eastAsia="方正小标宋_GBK" w:cs="方正小标宋_GBK"/>
          <w:sz w:val="44"/>
          <w:szCs w:val="44"/>
        </w:rPr>
        <w:t>物流支撑产业链供应链循环畅通政策</w:t>
      </w:r>
      <w:r>
        <w:rPr>
          <w:rFonts w:eastAsia="方正小标宋_GBK"/>
          <w:snapToGrid w:val="0"/>
          <w:kern w:val="0"/>
          <w:sz w:val="44"/>
          <w:szCs w:val="44"/>
        </w:rPr>
        <w:t>措施</w:t>
      </w:r>
    </w:p>
    <w:p>
      <w:pPr>
        <w:spacing w:line="600" w:lineRule="exact"/>
        <w:ind w:firstLine="640" w:firstLineChars="200"/>
        <w:rPr>
          <w:rFonts w:eastAsia="方正黑体_GBK" w:cs="方正黑体_GBK"/>
        </w:rPr>
      </w:pPr>
    </w:p>
    <w:p>
      <w:pPr>
        <w:spacing w:line="600" w:lineRule="exact"/>
        <w:ind w:firstLine="640" w:firstLineChars="200"/>
        <w:rPr>
          <w:rFonts w:eastAsia="方正黑体_GBK" w:cs="方正黑体_GBK"/>
        </w:rPr>
      </w:pPr>
      <w:r>
        <w:rPr>
          <w:rFonts w:hint="eastAsia" w:eastAsia="方正黑体_GBK" w:cs="方正黑体_GBK"/>
        </w:rPr>
        <w:t>一、推进既有政策落实，减轻企业运营压力</w:t>
      </w:r>
    </w:p>
    <w:p>
      <w:pPr>
        <w:numPr>
          <w:ilvl w:val="0"/>
          <w:numId w:val="1"/>
        </w:numPr>
        <w:spacing w:line="600" w:lineRule="exact"/>
        <w:ind w:firstLine="640" w:firstLineChars="200"/>
        <w:rPr>
          <w:rFonts w:eastAsia="方正楷体_GBK" w:cs="方正楷体_GBK"/>
        </w:rPr>
      </w:pPr>
      <w:r>
        <w:rPr>
          <w:rFonts w:hint="eastAsia" w:eastAsia="方正楷体_GBK" w:cs="方正楷体_GBK"/>
        </w:rPr>
        <w:t>助企申请重点项目。</w:t>
      </w:r>
      <w:r>
        <w:rPr>
          <w:rFonts w:hint="eastAsia" w:ascii="方正仿宋_GBK" w:hAnsi="方正仿宋_GBK" w:cs="方正仿宋_GBK"/>
          <w:szCs w:val="32"/>
          <w:lang w:bidi="ar"/>
        </w:rPr>
        <w:t>鼓励企业向市政府口岸物流办申报市级多式联运示范项目，建设项目通过市级多式联运示范工程项目验收后，不超过项目总投资的15%；最高不超过500万元。引导加</w:t>
      </w:r>
      <w:r>
        <w:rPr>
          <w:szCs w:val="32"/>
        </w:rPr>
        <w:t>快推进多式联运融合发展，降低综合货运成本。</w:t>
      </w:r>
      <w:r>
        <w:rPr>
          <w:rFonts w:hint="eastAsia"/>
          <w:szCs w:val="32"/>
        </w:rPr>
        <w:t>申报成功市级重点物流项目的企业可通过市政府口岸物流办减免城市基础设施配套费和防空地下室易地建设费。</w:t>
      </w:r>
      <w:r>
        <w:rPr>
          <w:rFonts w:hint="eastAsia" w:eastAsia="方正楷体_GBK" w:cs="方正楷体_GBK"/>
        </w:rPr>
        <w:t>（责任单位：区物流办）</w:t>
      </w:r>
    </w:p>
    <w:p>
      <w:pPr>
        <w:pStyle w:val="2"/>
        <w:numPr>
          <w:ilvl w:val="0"/>
          <w:numId w:val="1"/>
        </w:numPr>
        <w:spacing w:line="600" w:lineRule="exact"/>
        <w:ind w:firstLine="640" w:firstLineChars="200"/>
      </w:pPr>
      <w:r>
        <w:rPr>
          <w:rFonts w:hint="eastAsia" w:eastAsia="方正楷体_GBK" w:cs="方正楷体_GBK"/>
        </w:rPr>
        <w:t>助企申请政策奖励。</w:t>
      </w:r>
      <w:r>
        <w:rPr>
          <w:rFonts w:hint="eastAsia" w:ascii="方正仿宋_GBK" w:hAnsi="方正仿宋_GBK" w:cs="方正仿宋_GBK"/>
          <w:szCs w:val="32"/>
          <w:lang w:bidi="ar"/>
        </w:rPr>
        <w:t>鼓励企业签发多式联运提单，年度签发多式联运提单超过200单的单个独立法人企业可向市政府口岸物流办申请多式联运“一单制”签发奖励，年度奖励最高不超过50万元；市政府口岸物流办对企业利用多式联运提单融资的贷款利息，按不超过银行贷款一年期基准利率的30%贴息，单个企业每年贴息上限20万元。</w:t>
      </w:r>
      <w:r>
        <w:rPr>
          <w:rFonts w:hint="eastAsia" w:eastAsia="方正楷体_GBK" w:cs="方正楷体_GBK"/>
        </w:rPr>
        <w:t>（责任单位：区物流办）</w:t>
      </w:r>
    </w:p>
    <w:p>
      <w:pPr>
        <w:pStyle w:val="2"/>
        <w:numPr>
          <w:ilvl w:val="0"/>
          <w:numId w:val="1"/>
        </w:numPr>
        <w:spacing w:line="600" w:lineRule="exact"/>
        <w:ind w:firstLine="640" w:firstLineChars="200"/>
      </w:pPr>
      <w:r>
        <w:rPr>
          <w:rFonts w:hint="eastAsia" w:eastAsia="方正楷体_GBK" w:cs="方正楷体_GBK"/>
        </w:rPr>
        <w:t>做好资金督促管理。</w:t>
      </w:r>
      <w:r>
        <w:t>做好城乡冷链物流和国家物流枢纽建设中央预算内投资项目督促管理工作。</w:t>
      </w:r>
      <w:r>
        <w:rPr>
          <w:rFonts w:hint="eastAsia"/>
        </w:rPr>
        <w:t>积极争取中央政策资金支持。</w:t>
      </w:r>
      <w:r>
        <w:rPr>
          <w:rFonts w:hint="eastAsia" w:eastAsia="方正楷体_GBK" w:cs="方正楷体_GBK"/>
        </w:rPr>
        <w:t>（责任单位：区物流办、区发改委、区商务委）</w:t>
      </w:r>
    </w:p>
    <w:p>
      <w:pPr>
        <w:spacing w:line="600" w:lineRule="exact"/>
        <w:ind w:firstLine="640" w:firstLineChars="200"/>
        <w:rPr>
          <w:rFonts w:eastAsia="方正黑体_GBK" w:cs="方正黑体_GBK"/>
        </w:rPr>
      </w:pPr>
      <w:r>
        <w:rPr>
          <w:rFonts w:hint="eastAsia" w:ascii="方正黑体_GBK" w:hAnsi="方正黑体_GBK" w:eastAsia="方正黑体_GBK" w:cs="方正黑体_GBK"/>
        </w:rPr>
        <w:t>二、促进物流产业高质量发展，</w:t>
      </w:r>
      <w:r>
        <w:rPr>
          <w:rFonts w:hint="eastAsia" w:eastAsia="方正黑体_GBK" w:cs="方正黑体_GBK"/>
        </w:rPr>
        <w:t>提升物流运行质量</w:t>
      </w:r>
    </w:p>
    <w:p>
      <w:pPr>
        <w:spacing w:line="600" w:lineRule="exact"/>
        <w:ind w:firstLine="640" w:firstLineChars="200"/>
      </w:pPr>
      <w:r>
        <w:rPr>
          <w:rFonts w:hint="eastAsia" w:eastAsia="方正楷体_GBK"/>
        </w:rPr>
        <w:t>4. 培育冷链物流企业。</w:t>
      </w:r>
      <w:r>
        <w:rPr>
          <w:rFonts w:hint="eastAsia"/>
        </w:rPr>
        <w:t>区物流办负责鼓励国有、民营、外资等各类资本和生产、流通、平台等各类企业参与各级冷链物流节点建设，并指导企业向市政府口岸物流办申请冷链物流节点信息化改造奖励。区商务委负责向连锁商超、便利店经营企业宣传推广全程追溯冷链物流模式，鼓励改造建设冷链物流节点。奖励标准：一级节点每个项目（库容超过10万吨）30万元，二级节点每个项目（库容5000—10万吨）10万元。已享受市级财政补贴的项目不再重复享受。门店面积大于等于2000平方米的每店10万元、门店面积小于2000平方米大于等于1000平方米的每店5万元、门店面积小于1000平方米的每店1万元。</w:t>
      </w:r>
      <w:r>
        <w:rPr>
          <w:rFonts w:hint="eastAsia" w:eastAsia="方正楷体_GBK"/>
        </w:rPr>
        <w:t>（</w:t>
      </w:r>
      <w:r>
        <w:rPr>
          <w:rFonts w:hint="eastAsia" w:eastAsia="方正楷体_GBK" w:cs="方正楷体_GBK"/>
        </w:rPr>
        <w:t>责任单位：区物流办、区商务委</w:t>
      </w:r>
      <w:r>
        <w:rPr>
          <w:rFonts w:hint="eastAsia" w:eastAsia="方正楷体_GBK"/>
        </w:rPr>
        <w:t>）</w:t>
      </w:r>
    </w:p>
    <w:p>
      <w:pPr>
        <w:spacing w:line="600" w:lineRule="exact"/>
        <w:ind w:firstLine="640" w:firstLineChars="200"/>
        <w:rPr>
          <w:rFonts w:eastAsia="方正楷体_GBK" w:cs="方正楷体_GBK"/>
        </w:rPr>
      </w:pPr>
      <w:r>
        <w:rPr>
          <w:rFonts w:hint="eastAsia" w:eastAsia="方正楷体_GBK"/>
        </w:rPr>
        <w:t>5. 鼓励购置冷藏车。</w:t>
      </w:r>
      <w:r>
        <w:rPr>
          <w:rFonts w:hint="eastAsia"/>
        </w:rPr>
        <w:t>鼓励运输企业购置冷藏运输车辆和载具，提供规模化的冷链物流服务，引导企业向市政府口岸物流办申请新购置冷藏车辆奖励，每台最高不超过4万元；申请冷藏车辆信息化改造奖励，每台最高不超过2000元。申请方式同第四条。</w:t>
      </w:r>
      <w:r>
        <w:rPr>
          <w:rFonts w:hint="eastAsia" w:eastAsia="方正楷体_GBK" w:cs="方正楷体_GBK"/>
        </w:rPr>
        <w:t>（责任单位：区物流办、区交通局）</w:t>
      </w:r>
    </w:p>
    <w:p>
      <w:pPr>
        <w:pStyle w:val="2"/>
        <w:spacing w:line="600" w:lineRule="exact"/>
        <w:ind w:firstLine="640" w:firstLineChars="200"/>
        <w:rPr>
          <w:rFonts w:eastAsia="方正楷体_GBK" w:cs="方正楷体_GBK"/>
        </w:rPr>
      </w:pPr>
      <w:r>
        <w:rPr>
          <w:rFonts w:hint="eastAsia" w:eastAsia="方正楷体_GBK" w:cs="方正楷体_GBK"/>
        </w:rPr>
        <w:t>6. 支持交通物流体系建设</w:t>
      </w:r>
      <w:r>
        <w:rPr>
          <w:rFonts w:hint="eastAsia"/>
        </w:rPr>
        <w:t>。争取中央财政车辆购置税收入和市级财政资金补助地方资金，按政策落实区级财政资金，支持公路、水运和综合货运枢纽、集疏运体系建设等。</w:t>
      </w:r>
      <w:r>
        <w:rPr>
          <w:rFonts w:hint="eastAsia" w:eastAsia="方正楷体_GBK" w:cs="方正楷体_GBK"/>
        </w:rPr>
        <w:t>（责任单位：区交通局、区财政局）</w:t>
      </w:r>
    </w:p>
    <w:p>
      <w:pPr>
        <w:pStyle w:val="2"/>
        <w:spacing w:line="600" w:lineRule="exact"/>
        <w:ind w:firstLine="640" w:firstLineChars="200"/>
        <w:rPr>
          <w:rFonts w:eastAsia="方正黑体_GBK" w:cs="方正黑体_GBK"/>
        </w:rPr>
      </w:pPr>
      <w:r>
        <w:rPr>
          <w:rFonts w:hint="eastAsia" w:eastAsia="方正黑体_GBK" w:cs="方正黑体_GBK"/>
        </w:rPr>
        <w:t>三、加大税费减免力度，降低物流运行成本</w:t>
      </w:r>
    </w:p>
    <w:p>
      <w:pPr>
        <w:spacing w:line="600" w:lineRule="exact"/>
        <w:ind w:firstLine="640" w:firstLineChars="200"/>
      </w:pPr>
      <w:r>
        <w:rPr>
          <w:rFonts w:hint="eastAsia" w:eastAsia="方正楷体_GBK" w:cs="方正楷体_GBK"/>
        </w:rPr>
        <w:t>7．降低车辆通行费。</w:t>
      </w:r>
      <w:r>
        <w:rPr>
          <w:rFonts w:hint="eastAsia"/>
        </w:rPr>
        <w:t>落实高速公路相关配套政策，对运输特种物品车辆、集装箱车辆实行通行费优惠政策，对鲜活农产品车辆实行免费通行政策。对仅运输单一物品的4类、5类、6类特种货运车辆予以8.5折通行费优惠，对4类、5类、6类国际标准集装箱运输车辆统一按三类客车的收费标准优惠计收车辆通行费，并按照交通运输部相关规定安装特定ETC车载装置，预约优惠通行，提高高速公路网通行效率和服务水平，降低物流运输成本。暂停收取运输许可相关工本费。</w:t>
      </w:r>
      <w:r>
        <w:rPr>
          <w:rFonts w:hint="eastAsia" w:eastAsia="方正楷体_GBK" w:cs="方正楷体_GBK"/>
        </w:rPr>
        <w:t>（责任单位：区交通局）</w:t>
      </w:r>
    </w:p>
    <w:p>
      <w:pPr>
        <w:pStyle w:val="2"/>
        <w:spacing w:line="600" w:lineRule="exact"/>
        <w:rPr>
          <w:rFonts w:eastAsia="方正楷体_GBK" w:cs="方正楷体_GBK"/>
        </w:rPr>
      </w:pPr>
      <w:r>
        <w:rPr>
          <w:rFonts w:hint="eastAsia"/>
        </w:rPr>
        <w:t xml:space="preserve">    </w:t>
      </w:r>
      <w:r>
        <w:rPr>
          <w:rFonts w:hint="eastAsia" w:eastAsia="方正楷体_GBK" w:cs="方正楷体_GBK"/>
        </w:rPr>
        <w:t xml:space="preserve"> 8. 减免交通运输税费。</w:t>
      </w:r>
      <w:r>
        <w:rPr>
          <w:rFonts w:hint="eastAsia"/>
        </w:rPr>
        <w:t>2022年，暂停铁路运输企业预缴增值税一年，免征轮客渡、公交客运、地铁、城市轻轨、出租车、长途客运、班车等公共交通运输服务增值税，继续免征新能源汽车车船税、车辆购置税。</w:t>
      </w:r>
      <w:r>
        <w:rPr>
          <w:rFonts w:hint="eastAsia" w:eastAsia="方正楷体_GBK" w:cs="方正楷体_GBK"/>
        </w:rPr>
        <w:t>（责任单位：区税务局）</w:t>
      </w:r>
    </w:p>
    <w:p>
      <w:pPr>
        <w:pStyle w:val="2"/>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eastAsia="方正楷体_GBK" w:cs="方正楷体_GBK"/>
        </w:rPr>
      </w:pPr>
      <w:r>
        <w:rPr>
          <w:rFonts w:hint="eastAsia" w:eastAsia="方正楷体_GBK" w:cs="方正楷体_GBK"/>
        </w:rPr>
        <w:t>9. 加强道路水路运输业金融支持。</w:t>
      </w:r>
      <w:r>
        <w:rPr>
          <w:rFonts w:hint="eastAsia"/>
        </w:rPr>
        <w:t>鼓励金融机构创新符合道路水路运输企业特点的动产质押类贷款产品，盘活车辆、船舶等资产。鼓励金融机构按市场化原则对信用等级较高、承担疫情防控和应急运输任务较重的交通运输企业加大融资支持力度。</w:t>
      </w:r>
      <w:r>
        <w:rPr>
          <w:rFonts w:hint="eastAsia" w:eastAsia="方正楷体_GBK" w:cs="方正楷体_GBK"/>
        </w:rPr>
        <w:t>（责任单位：区财政局、区交通局、区物流办）</w:t>
      </w:r>
    </w:p>
    <w:p>
      <w:pPr>
        <w:pStyle w:val="2"/>
        <w:spacing w:line="600" w:lineRule="exact"/>
        <w:ind w:firstLine="640"/>
        <w:rPr>
          <w:rFonts w:hint="eastAsia" w:eastAsia="方正楷体_GBK" w:cs="方正楷体_GBK"/>
        </w:rPr>
      </w:pPr>
    </w:p>
    <w:p>
      <w:pPr>
        <w:pStyle w:val="2"/>
        <w:spacing w:line="600" w:lineRule="exact"/>
        <w:ind w:firstLine="640"/>
        <w:rPr>
          <w:rFonts w:hint="eastAsia" w:eastAsia="方正楷体_GBK" w:cs="方正楷体_GBK"/>
        </w:rPr>
      </w:pPr>
    </w:p>
    <w:p>
      <w:pPr>
        <w:pStyle w:val="2"/>
        <w:spacing w:line="600" w:lineRule="exact"/>
        <w:ind w:firstLine="640"/>
        <w:rPr>
          <w:rFonts w:hint="eastAsia" w:eastAsia="方正楷体_GBK" w:cs="方正楷体_GBK"/>
        </w:rPr>
      </w:pPr>
    </w:p>
    <w:p>
      <w:pPr>
        <w:pStyle w:val="2"/>
        <w:spacing w:line="600" w:lineRule="exact"/>
        <w:ind w:firstLine="640"/>
        <w:rPr>
          <w:rFonts w:hint="eastAsia" w:eastAsia="方正楷体_GBK" w:cs="方正楷体_GBK"/>
        </w:rPr>
      </w:pPr>
    </w:p>
    <w:p>
      <w:pPr>
        <w:pStyle w:val="2"/>
        <w:spacing w:line="600" w:lineRule="exact"/>
        <w:ind w:firstLine="640"/>
        <w:rPr>
          <w:rFonts w:hint="eastAsia" w:eastAsia="方正楷体_GBK" w:cs="方正楷体_GBK"/>
        </w:rPr>
      </w:pPr>
    </w:p>
    <w:p>
      <w:pPr>
        <w:pStyle w:val="2"/>
        <w:spacing w:line="600" w:lineRule="exact"/>
        <w:ind w:firstLine="640"/>
        <w:rPr>
          <w:rFonts w:hint="eastAsia" w:eastAsia="方正楷体_GBK" w:cs="方正楷体_GBK"/>
        </w:rPr>
      </w:pPr>
    </w:p>
    <w:p>
      <w:pPr>
        <w:pStyle w:val="2"/>
        <w:spacing w:line="600" w:lineRule="exact"/>
        <w:ind w:firstLine="640"/>
        <w:rPr>
          <w:rFonts w:hint="eastAsia" w:eastAsia="方正楷体_GBK" w:cs="方正楷体_GBK"/>
        </w:rPr>
      </w:pPr>
    </w:p>
    <w:p>
      <w:pPr>
        <w:pStyle w:val="2"/>
        <w:spacing w:line="600" w:lineRule="exact"/>
        <w:ind w:firstLine="640"/>
        <w:rPr>
          <w:rFonts w:hint="eastAsia" w:eastAsia="方正楷体_GBK" w:cs="方正楷体_GBK"/>
        </w:rPr>
      </w:pPr>
    </w:p>
    <w:p>
      <w:pPr>
        <w:pStyle w:val="2"/>
        <w:spacing w:line="600" w:lineRule="exact"/>
        <w:ind w:firstLine="640"/>
        <w:rPr>
          <w:rFonts w:hint="eastAsia" w:eastAsia="方正楷体_GBK" w:cs="方正楷体_GBK"/>
        </w:rPr>
      </w:pPr>
    </w:p>
    <w:p>
      <w:pPr>
        <w:pStyle w:val="2"/>
        <w:spacing w:line="600" w:lineRule="exact"/>
        <w:ind w:firstLine="640"/>
        <w:rPr>
          <w:rFonts w:hint="eastAsia" w:eastAsia="方正楷体_GBK" w:cs="方正楷体_GBK"/>
        </w:rPr>
      </w:pPr>
    </w:p>
    <w:p>
      <w:pPr>
        <w:pStyle w:val="2"/>
        <w:spacing w:line="600" w:lineRule="exact"/>
        <w:ind w:firstLine="640"/>
        <w:rPr>
          <w:rFonts w:hint="eastAsia" w:eastAsia="方正楷体_GBK" w:cs="方正楷体_GBK"/>
        </w:rPr>
      </w:pPr>
    </w:p>
    <w:p>
      <w:pPr>
        <w:pStyle w:val="2"/>
        <w:spacing w:line="600" w:lineRule="exact"/>
        <w:ind w:firstLine="640"/>
        <w:rPr>
          <w:rFonts w:hint="eastAsia" w:eastAsia="方正楷体_GBK" w:cs="方正楷体_GBK"/>
        </w:rPr>
      </w:pPr>
    </w:p>
    <w:p>
      <w:pPr>
        <w:pStyle w:val="2"/>
        <w:spacing w:line="600" w:lineRule="exact"/>
        <w:ind w:firstLine="640"/>
        <w:rPr>
          <w:rFonts w:hint="eastAsia" w:eastAsia="方正楷体_GBK" w:cs="方正楷体_GBK"/>
        </w:rPr>
      </w:pPr>
    </w:p>
    <w:p>
      <w:pPr>
        <w:pStyle w:val="2"/>
        <w:spacing w:line="600" w:lineRule="exact"/>
        <w:ind w:firstLine="640"/>
        <w:rPr>
          <w:rFonts w:hint="eastAsia" w:eastAsia="方正楷体_GBK" w:cs="方正楷体_GBK"/>
        </w:rPr>
      </w:pPr>
    </w:p>
    <w:p>
      <w:pPr>
        <w:pStyle w:val="2"/>
        <w:spacing w:line="600" w:lineRule="exact"/>
        <w:ind w:firstLine="640"/>
        <w:rPr>
          <w:rFonts w:hint="eastAsia" w:eastAsia="方正楷体_GBK" w:cs="方正楷体_GBK"/>
        </w:rPr>
      </w:pPr>
    </w:p>
    <w:p>
      <w:pPr>
        <w:pStyle w:val="2"/>
        <w:spacing w:line="600" w:lineRule="exact"/>
        <w:ind w:firstLine="640"/>
        <w:rPr>
          <w:rFonts w:hint="eastAsia" w:eastAsia="方正楷体_GBK" w:cs="方正楷体_GBK"/>
        </w:rPr>
      </w:pPr>
    </w:p>
    <w:p>
      <w:pPr>
        <w:pStyle w:val="2"/>
        <w:spacing w:line="600" w:lineRule="exact"/>
        <w:ind w:firstLine="640"/>
        <w:rPr>
          <w:rFonts w:hint="eastAsia" w:eastAsia="方正楷体_GBK" w:cs="方正楷体_GBK"/>
        </w:rPr>
      </w:pPr>
    </w:p>
    <w:p>
      <w:pPr>
        <w:pStyle w:val="2"/>
        <w:spacing w:line="600" w:lineRule="exact"/>
        <w:ind w:firstLine="640"/>
        <w:rPr>
          <w:rFonts w:hint="eastAsia" w:eastAsia="方正楷体_GBK" w:cs="方正楷体_GBK"/>
        </w:rPr>
      </w:pPr>
    </w:p>
    <w:p>
      <w:pPr>
        <w:pStyle w:val="2"/>
        <w:spacing w:line="600" w:lineRule="exact"/>
        <w:rPr>
          <w:rFonts w:hint="eastAsia" w:eastAsia="方正楷体_GBK" w:cs="方正楷体_GBK"/>
        </w:rPr>
      </w:pPr>
    </w:p>
    <w:p>
      <w:pPr>
        <w:pStyle w:val="2"/>
        <w:spacing w:line="600" w:lineRule="exact"/>
        <w:rPr>
          <w:rFonts w:hint="eastAsia" w:eastAsia="方正楷体_GBK" w:cs="方正楷体_GBK"/>
        </w:rPr>
      </w:pPr>
    </w:p>
    <w:p>
      <w:pPr>
        <w:pStyle w:val="2"/>
        <w:rPr>
          <w:lang w:val="en-US" w:eastAsia="zh-CN"/>
        </w:rPr>
      </w:pPr>
    </w:p>
    <w:p>
      <w:pPr>
        <w:widowControl/>
        <w:pBdr>
          <w:top w:val="single" w:color="auto" w:sz="12" w:space="1"/>
          <w:bottom w:val="single" w:color="auto" w:sz="12" w:space="1"/>
        </w:pBdr>
        <w:kinsoku w:val="0"/>
        <w:autoSpaceDE w:val="0"/>
        <w:autoSpaceDN w:val="0"/>
        <w:adjustRightInd w:val="0"/>
        <w:snapToGrid w:val="0"/>
        <w:jc w:val="left"/>
        <w:textAlignment w:val="baseline"/>
        <w:rPr>
          <w:rFonts w:hint="eastAsia" w:eastAsia="方正楷体_GBK" w:cs="方正楷体_GBK"/>
        </w:rPr>
      </w:pPr>
      <w:r>
        <w:rPr>
          <w:rFonts w:ascii="Times New Roman" w:hAnsi="Times New Roman" w:eastAsia="Arial" w:cs="Times New Roman"/>
          <w:snapToGrid w:val="0"/>
          <w:color w:val="000000"/>
          <w:kern w:val="0"/>
          <w:sz w:val="28"/>
          <w:szCs w:val="28"/>
        </w:rPr>
        <w:t xml:space="preserve">  </w:t>
      </w:r>
      <w:r>
        <w:rPr>
          <w:rFonts w:hint="eastAsia" w:ascii="方正仿宋_GBK" w:hAnsi="方正仿宋_GBK" w:eastAsia="方正仿宋_GBK" w:cs="方正仿宋_GBK"/>
          <w:snapToGrid w:val="0"/>
          <w:color w:val="000000"/>
          <w:kern w:val="0"/>
          <w:sz w:val="32"/>
          <w:szCs w:val="32"/>
        </w:rPr>
        <w:t>重庆市沙坪坝区</w:t>
      </w:r>
      <w:r>
        <w:rPr>
          <w:rFonts w:hint="eastAsia" w:ascii="方正仿宋_GBK" w:hAnsi="方正仿宋_GBK" w:eastAsia="方正仿宋_GBK" w:cs="方正仿宋_GBK"/>
          <w:snapToGrid w:val="0"/>
          <w:color w:val="000000"/>
          <w:kern w:val="0"/>
          <w:sz w:val="32"/>
          <w:szCs w:val="32"/>
          <w:lang w:val="en-US" w:eastAsia="zh-CN"/>
        </w:rPr>
        <w:t>物流</w:t>
      </w:r>
      <w:r>
        <w:rPr>
          <w:rFonts w:hint="eastAsia" w:ascii="方正仿宋_GBK" w:hAnsi="方正仿宋_GBK" w:eastAsia="方正仿宋_GBK" w:cs="方正仿宋_GBK"/>
          <w:snapToGrid w:val="0"/>
          <w:color w:val="000000"/>
          <w:kern w:val="0"/>
          <w:sz w:val="32"/>
          <w:szCs w:val="32"/>
        </w:rPr>
        <w:t>办公室</w:t>
      </w:r>
      <w:r>
        <w:rPr>
          <w:rFonts w:hint="eastAsia" w:ascii="方正仿宋_GBK" w:hAnsi="方正仿宋_GBK" w:eastAsia="方正仿宋_GBK" w:cs="方正仿宋_GBK"/>
          <w:snapToGrid w:val="0"/>
          <w:color w:val="000000"/>
          <w:kern w:val="0"/>
          <w:sz w:val="32"/>
          <w:szCs w:val="32"/>
          <w:lang w:val="en-US" w:eastAsia="zh-CN"/>
        </w:rPr>
        <w:t>综合科</w:t>
      </w:r>
      <w:r>
        <w:rPr>
          <w:rFonts w:hint="eastAsia" w:ascii="方正仿宋_GBK" w:hAnsi="方正仿宋_GBK" w:eastAsia="方正仿宋_GBK" w:cs="方正仿宋_GBK"/>
          <w:snapToGrid w:val="0"/>
          <w:color w:val="000000"/>
          <w:kern w:val="0"/>
          <w:sz w:val="32"/>
          <w:szCs w:val="32"/>
        </w:rPr>
        <w:t xml:space="preserve">    </w:t>
      </w:r>
      <w:r>
        <w:rPr>
          <w:rFonts w:hint="eastAsia" w:ascii="方正仿宋_GBK" w:hAnsi="方正仿宋_GBK" w:eastAsia="方正仿宋_GBK" w:cs="方正仿宋_GBK"/>
          <w:snapToGrid w:val="0"/>
          <w:color w:val="000000"/>
          <w:kern w:val="0"/>
          <w:sz w:val="32"/>
          <w:szCs w:val="32"/>
          <w:lang w:val="en-US" w:eastAsia="zh-CN"/>
        </w:rPr>
        <w:t xml:space="preserve"> </w:t>
      </w:r>
      <w:r>
        <w:rPr>
          <w:rFonts w:hint="eastAsia" w:ascii="方正仿宋_GBK" w:hAnsi="方正仿宋_GBK" w:eastAsia="方正仿宋_GBK" w:cs="方正仿宋_GBK"/>
          <w:snapToGrid w:val="0"/>
          <w:color w:val="000000"/>
          <w:kern w:val="0"/>
          <w:sz w:val="32"/>
          <w:szCs w:val="32"/>
        </w:rPr>
        <w:t xml:space="preserve"> 2022年</w:t>
      </w:r>
      <w:r>
        <w:rPr>
          <w:rFonts w:hint="eastAsia" w:ascii="方正仿宋_GBK" w:hAnsi="方正仿宋_GBK" w:eastAsia="方正仿宋_GBK" w:cs="方正仿宋_GBK"/>
          <w:snapToGrid w:val="0"/>
          <w:color w:val="000000"/>
          <w:kern w:val="0"/>
          <w:sz w:val="32"/>
          <w:szCs w:val="32"/>
          <w:lang w:val="en-US" w:eastAsia="zh-CN"/>
        </w:rPr>
        <w:t>8</w:t>
      </w:r>
      <w:r>
        <w:rPr>
          <w:rFonts w:hint="eastAsia" w:ascii="方正仿宋_GBK" w:hAnsi="方正仿宋_GBK" w:eastAsia="方正仿宋_GBK" w:cs="方正仿宋_GBK"/>
          <w:snapToGrid w:val="0"/>
          <w:color w:val="000000"/>
          <w:kern w:val="0"/>
          <w:sz w:val="32"/>
          <w:szCs w:val="32"/>
        </w:rPr>
        <w:t>月</w:t>
      </w:r>
      <w:r>
        <w:rPr>
          <w:rFonts w:hint="eastAsia" w:ascii="方正仿宋_GBK" w:hAnsi="方正仿宋_GBK" w:eastAsia="方正仿宋_GBK" w:cs="方正仿宋_GBK"/>
          <w:snapToGrid w:val="0"/>
          <w:color w:val="000000"/>
          <w:kern w:val="0"/>
          <w:sz w:val="32"/>
          <w:szCs w:val="32"/>
          <w:lang w:val="en-US" w:eastAsia="zh-CN"/>
        </w:rPr>
        <w:t>4</w:t>
      </w:r>
      <w:r>
        <w:rPr>
          <w:rFonts w:hint="eastAsia" w:ascii="方正仿宋_GBK" w:hAnsi="方正仿宋_GBK" w:eastAsia="方正仿宋_GBK" w:cs="方正仿宋_GBK"/>
          <w:snapToGrid w:val="0"/>
          <w:color w:val="000000"/>
          <w:kern w:val="0"/>
          <w:sz w:val="32"/>
          <w:szCs w:val="32"/>
        </w:rPr>
        <w:t xml:space="preserve">日印发 </w:t>
      </w:r>
      <w:r>
        <w:rPr>
          <w:rFonts w:ascii="Times New Roman" w:hAnsi="Times New Roman" w:eastAsia="方正仿宋_GBK" w:cs="Times New Roman"/>
          <w:snapToGrid w:val="0"/>
          <w:color w:val="000000"/>
          <w:kern w:val="0"/>
          <w:sz w:val="28"/>
          <w:szCs w:val="28"/>
        </w:rPr>
        <w:t xml:space="preserve"> </w:t>
      </w:r>
    </w:p>
    <w:sectPr>
      <w:headerReference r:id="rId3" w:type="default"/>
      <w:footerReference r:id="rId4" w:type="default"/>
      <w:pgSz w:w="11906" w:h="16838"/>
      <w:pgMar w:top="1984" w:right="1446" w:bottom="1644" w:left="1446"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_GBK">
    <w:altName w:val="Arial Unicode MS"/>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B63C1D"/>
    <w:multiLevelType w:val="singleLevel"/>
    <w:tmpl w:val="0AB63C1D"/>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223"/>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YyM2I1NDMyYjZjNzgzN2RkZTBiYmI5MWRhNDY2OTIifQ=="/>
  </w:docVars>
  <w:rsids>
    <w:rsidRoot w:val="706D6C53"/>
    <w:rsid w:val="001B77C0"/>
    <w:rsid w:val="00264715"/>
    <w:rsid w:val="00343FBB"/>
    <w:rsid w:val="00402FA5"/>
    <w:rsid w:val="005574FC"/>
    <w:rsid w:val="008943FA"/>
    <w:rsid w:val="008B0E25"/>
    <w:rsid w:val="00A25B25"/>
    <w:rsid w:val="00A928D2"/>
    <w:rsid w:val="00D935D4"/>
    <w:rsid w:val="00E156FB"/>
    <w:rsid w:val="00E82405"/>
    <w:rsid w:val="00E93436"/>
    <w:rsid w:val="02026E1F"/>
    <w:rsid w:val="0229101C"/>
    <w:rsid w:val="024929EE"/>
    <w:rsid w:val="02DF2F1D"/>
    <w:rsid w:val="03407427"/>
    <w:rsid w:val="03D530EF"/>
    <w:rsid w:val="04307AE9"/>
    <w:rsid w:val="04CD04F0"/>
    <w:rsid w:val="06EA49A4"/>
    <w:rsid w:val="07504EC1"/>
    <w:rsid w:val="088F1A65"/>
    <w:rsid w:val="0B937B81"/>
    <w:rsid w:val="0BC419DA"/>
    <w:rsid w:val="0BE01BDD"/>
    <w:rsid w:val="0ED62867"/>
    <w:rsid w:val="0F16079E"/>
    <w:rsid w:val="0F806F1D"/>
    <w:rsid w:val="0FA712D3"/>
    <w:rsid w:val="106F63B8"/>
    <w:rsid w:val="1089408D"/>
    <w:rsid w:val="10D7749B"/>
    <w:rsid w:val="111365EE"/>
    <w:rsid w:val="11CC6919"/>
    <w:rsid w:val="11E37F55"/>
    <w:rsid w:val="14BB78A8"/>
    <w:rsid w:val="15125C0F"/>
    <w:rsid w:val="1588038F"/>
    <w:rsid w:val="16E80C72"/>
    <w:rsid w:val="17242614"/>
    <w:rsid w:val="1782529E"/>
    <w:rsid w:val="17B438BA"/>
    <w:rsid w:val="17E94CA2"/>
    <w:rsid w:val="18092BFC"/>
    <w:rsid w:val="180B10BC"/>
    <w:rsid w:val="18194E5B"/>
    <w:rsid w:val="186D55EC"/>
    <w:rsid w:val="191C0587"/>
    <w:rsid w:val="1B4072CF"/>
    <w:rsid w:val="1B5776CB"/>
    <w:rsid w:val="1BFD095D"/>
    <w:rsid w:val="1D7A639C"/>
    <w:rsid w:val="1EE12B77"/>
    <w:rsid w:val="1F3473B5"/>
    <w:rsid w:val="1F43738D"/>
    <w:rsid w:val="1FB817C9"/>
    <w:rsid w:val="1FD2426D"/>
    <w:rsid w:val="212338EF"/>
    <w:rsid w:val="21652ED5"/>
    <w:rsid w:val="21E87D78"/>
    <w:rsid w:val="2255003C"/>
    <w:rsid w:val="233C53E7"/>
    <w:rsid w:val="23753192"/>
    <w:rsid w:val="23B05F88"/>
    <w:rsid w:val="249B5576"/>
    <w:rsid w:val="24E46F1D"/>
    <w:rsid w:val="27084C7D"/>
    <w:rsid w:val="28A60032"/>
    <w:rsid w:val="2A366EF8"/>
    <w:rsid w:val="2A4445C9"/>
    <w:rsid w:val="2AD92954"/>
    <w:rsid w:val="2B3109E2"/>
    <w:rsid w:val="2C2E09A7"/>
    <w:rsid w:val="2C434750"/>
    <w:rsid w:val="2D92328E"/>
    <w:rsid w:val="2DB66F7C"/>
    <w:rsid w:val="2E6E7857"/>
    <w:rsid w:val="2ED94E7D"/>
    <w:rsid w:val="2EEE2746"/>
    <w:rsid w:val="2F915CE5"/>
    <w:rsid w:val="2FD54F9B"/>
    <w:rsid w:val="3021231F"/>
    <w:rsid w:val="307C3897"/>
    <w:rsid w:val="30DF2C8E"/>
    <w:rsid w:val="324B7C8E"/>
    <w:rsid w:val="347E456C"/>
    <w:rsid w:val="34AE4E51"/>
    <w:rsid w:val="351C03B3"/>
    <w:rsid w:val="35270097"/>
    <w:rsid w:val="35E120F0"/>
    <w:rsid w:val="361502FC"/>
    <w:rsid w:val="365D3F21"/>
    <w:rsid w:val="377A101B"/>
    <w:rsid w:val="378123A9"/>
    <w:rsid w:val="381A0E63"/>
    <w:rsid w:val="38797F1B"/>
    <w:rsid w:val="389D51EB"/>
    <w:rsid w:val="39170469"/>
    <w:rsid w:val="3B5E6E75"/>
    <w:rsid w:val="3B7A10AA"/>
    <w:rsid w:val="3BEB0739"/>
    <w:rsid w:val="3C8A1D00"/>
    <w:rsid w:val="3CAD1E92"/>
    <w:rsid w:val="3E0F771B"/>
    <w:rsid w:val="3E1321C9"/>
    <w:rsid w:val="3E1C3664"/>
    <w:rsid w:val="401F30A7"/>
    <w:rsid w:val="403E221C"/>
    <w:rsid w:val="40A82311"/>
    <w:rsid w:val="40F9630B"/>
    <w:rsid w:val="42B530EB"/>
    <w:rsid w:val="42DC702D"/>
    <w:rsid w:val="435A5E1C"/>
    <w:rsid w:val="439547D0"/>
    <w:rsid w:val="43AF029E"/>
    <w:rsid w:val="43FD36FF"/>
    <w:rsid w:val="443818AD"/>
    <w:rsid w:val="461A0A10"/>
    <w:rsid w:val="47FB6ADF"/>
    <w:rsid w:val="48877A3B"/>
    <w:rsid w:val="48D3130D"/>
    <w:rsid w:val="48DD58AD"/>
    <w:rsid w:val="49214B3A"/>
    <w:rsid w:val="493069CE"/>
    <w:rsid w:val="49B715A8"/>
    <w:rsid w:val="4B26353C"/>
    <w:rsid w:val="4C870569"/>
    <w:rsid w:val="50B9275C"/>
    <w:rsid w:val="51246D02"/>
    <w:rsid w:val="515D0FE2"/>
    <w:rsid w:val="519D2BD3"/>
    <w:rsid w:val="52116147"/>
    <w:rsid w:val="52B61649"/>
    <w:rsid w:val="53073C53"/>
    <w:rsid w:val="535A6478"/>
    <w:rsid w:val="539F391C"/>
    <w:rsid w:val="53CC09F8"/>
    <w:rsid w:val="53DF5896"/>
    <w:rsid w:val="54A86D6F"/>
    <w:rsid w:val="54EA1E81"/>
    <w:rsid w:val="55464416"/>
    <w:rsid w:val="555055CB"/>
    <w:rsid w:val="5637484F"/>
    <w:rsid w:val="563A7E9B"/>
    <w:rsid w:val="567809C3"/>
    <w:rsid w:val="56794251"/>
    <w:rsid w:val="585A69C8"/>
    <w:rsid w:val="585F1E3B"/>
    <w:rsid w:val="587F428B"/>
    <w:rsid w:val="58A43CF2"/>
    <w:rsid w:val="58C61199"/>
    <w:rsid w:val="58D319F6"/>
    <w:rsid w:val="594A0DB6"/>
    <w:rsid w:val="5A0F3C61"/>
    <w:rsid w:val="5A3F54C6"/>
    <w:rsid w:val="5A836A9E"/>
    <w:rsid w:val="5B4D241F"/>
    <w:rsid w:val="5B6F69AA"/>
    <w:rsid w:val="5B791466"/>
    <w:rsid w:val="5BBC75A4"/>
    <w:rsid w:val="5C64723B"/>
    <w:rsid w:val="5DC6470A"/>
    <w:rsid w:val="5DE637F3"/>
    <w:rsid w:val="5E4F4700"/>
    <w:rsid w:val="5F2166A1"/>
    <w:rsid w:val="5F3A715E"/>
    <w:rsid w:val="5FAA6092"/>
    <w:rsid w:val="60695F4D"/>
    <w:rsid w:val="60DD4245"/>
    <w:rsid w:val="615250DA"/>
    <w:rsid w:val="61E12E07"/>
    <w:rsid w:val="639037F0"/>
    <w:rsid w:val="63BD210C"/>
    <w:rsid w:val="64F4626C"/>
    <w:rsid w:val="65AE016F"/>
    <w:rsid w:val="65C16DA0"/>
    <w:rsid w:val="65D4319C"/>
    <w:rsid w:val="66893BE0"/>
    <w:rsid w:val="670A6F4B"/>
    <w:rsid w:val="67386679"/>
    <w:rsid w:val="674F1BEB"/>
    <w:rsid w:val="68132EF5"/>
    <w:rsid w:val="68556DB7"/>
    <w:rsid w:val="688B226D"/>
    <w:rsid w:val="69275C54"/>
    <w:rsid w:val="692C5A97"/>
    <w:rsid w:val="696D283E"/>
    <w:rsid w:val="69BE4811"/>
    <w:rsid w:val="69FC2086"/>
    <w:rsid w:val="6A4966BB"/>
    <w:rsid w:val="6A554E4C"/>
    <w:rsid w:val="6AA63769"/>
    <w:rsid w:val="6B783FE3"/>
    <w:rsid w:val="6BCE4EB6"/>
    <w:rsid w:val="6C3F7B62"/>
    <w:rsid w:val="6C875753"/>
    <w:rsid w:val="6CD97D2D"/>
    <w:rsid w:val="6D033285"/>
    <w:rsid w:val="6D4573FA"/>
    <w:rsid w:val="6DE44E65"/>
    <w:rsid w:val="6E5518BE"/>
    <w:rsid w:val="704610D7"/>
    <w:rsid w:val="704A1FC3"/>
    <w:rsid w:val="706D6C53"/>
    <w:rsid w:val="7082146C"/>
    <w:rsid w:val="70F9732E"/>
    <w:rsid w:val="72A9188A"/>
    <w:rsid w:val="72EC6569"/>
    <w:rsid w:val="737E770B"/>
    <w:rsid w:val="73C86FF9"/>
    <w:rsid w:val="75B6497C"/>
    <w:rsid w:val="75C72046"/>
    <w:rsid w:val="75CB06B8"/>
    <w:rsid w:val="76037EB7"/>
    <w:rsid w:val="77040325"/>
    <w:rsid w:val="774A4354"/>
    <w:rsid w:val="77752FD1"/>
    <w:rsid w:val="77D870BC"/>
    <w:rsid w:val="788E2650"/>
    <w:rsid w:val="78D948BC"/>
    <w:rsid w:val="790E0FDD"/>
    <w:rsid w:val="79667075"/>
    <w:rsid w:val="7B95779E"/>
    <w:rsid w:val="7C025299"/>
    <w:rsid w:val="7D8537D2"/>
    <w:rsid w:val="7DDD71DA"/>
    <w:rsid w:val="7ED00A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annotation text"/>
    <w:basedOn w:val="1"/>
    <w:qFormat/>
    <w:uiPriority w:val="0"/>
    <w:pPr>
      <w:jc w:val="left"/>
    </w:pPr>
  </w:style>
  <w:style w:type="paragraph" w:styleId="4">
    <w:name w:val="Balloon Text"/>
    <w:basedOn w:val="1"/>
    <w:link w:val="14"/>
    <w:qFormat/>
    <w:uiPriority w:val="0"/>
    <w:rPr>
      <w:sz w:val="18"/>
      <w:szCs w:val="18"/>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kern w:val="0"/>
      <w:sz w:val="24"/>
      <w:szCs w:val="24"/>
    </w:rPr>
  </w:style>
  <w:style w:type="paragraph" w:styleId="8">
    <w:name w:val="Normal (Web)"/>
    <w:basedOn w:val="1"/>
    <w:next w:val="5"/>
    <w:qFormat/>
    <w:uiPriority w:val="0"/>
    <w:pPr>
      <w:spacing w:before="100" w:beforeAutospacing="1" w:after="100" w:afterAutospacing="1"/>
    </w:pPr>
    <w:rPr>
      <w:rFonts w:ascii="宋体" w:eastAsia="宋体" w:cs="宋体"/>
      <w:sz w:val="24"/>
      <w:szCs w:val="24"/>
    </w:rPr>
  </w:style>
  <w:style w:type="paragraph" w:styleId="9">
    <w:name w:val="Body Text First Indent"/>
    <w:basedOn w:val="2"/>
    <w:qFormat/>
    <w:uiPriority w:val="0"/>
    <w:pPr>
      <w:ind w:firstLine="420" w:firstLineChars="100"/>
    </w:pPr>
    <w:rPr>
      <w:sz w:val="21"/>
    </w:rPr>
  </w:style>
  <w:style w:type="character" w:styleId="12">
    <w:name w:val="Strong"/>
    <w:basedOn w:val="11"/>
    <w:qFormat/>
    <w:uiPriority w:val="0"/>
    <w:rPr>
      <w:b/>
    </w:rPr>
  </w:style>
  <w:style w:type="character" w:styleId="13">
    <w:name w:val="annotation reference"/>
    <w:basedOn w:val="11"/>
    <w:qFormat/>
    <w:uiPriority w:val="0"/>
    <w:rPr>
      <w:sz w:val="21"/>
      <w:szCs w:val="21"/>
    </w:rPr>
  </w:style>
  <w:style w:type="character" w:customStyle="1" w:styleId="14">
    <w:name w:val="批注框文本 Char"/>
    <w:basedOn w:val="11"/>
    <w:link w:val="4"/>
    <w:qFormat/>
    <w:uiPriority w:val="0"/>
    <w:rPr>
      <w:rFonts w:eastAsia="方正仿宋_GBK"/>
      <w:kern w:val="2"/>
      <w:sz w:val="18"/>
      <w:szCs w:val="18"/>
    </w:rPr>
  </w:style>
  <w:style w:type="paragraph" w:customStyle="1" w:styleId="15">
    <w:name w:val="正文首行缩进1"/>
    <w:basedOn w:val="1"/>
    <w:next w:val="6"/>
    <w:qFormat/>
    <w:uiPriority w:val="0"/>
    <w:pPr>
      <w:widowControl w:val="0"/>
      <w:kinsoku/>
      <w:autoSpaceDE/>
      <w:autoSpaceDN/>
      <w:adjustRightInd/>
      <w:snapToGrid/>
      <w:spacing w:after="120"/>
      <w:ind w:firstLine="420" w:firstLineChars="100"/>
      <w:jc w:val="both"/>
      <w:textAlignment w:val="auto"/>
    </w:pPr>
    <w:rPr>
      <w:rFonts w:ascii="Calibri" w:hAnsi="Calibri" w:eastAsia="宋体" w:cs="黑体"/>
      <w:snapToGrid/>
      <w:color w:val="auto"/>
      <w:kern w:val="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1866</Words>
  <Characters>1920</Characters>
  <Lines>14</Lines>
  <Paragraphs>3</Paragraphs>
  <TotalTime>1</TotalTime>
  <ScaleCrop>false</ScaleCrop>
  <LinksUpToDate>false</LinksUpToDate>
  <CharactersWithSpaces>2009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2022-06-30T07:15:00Z</dcterms:created>
  <dc:creator>曾珍</dc:creator>
  <cp:lastModifiedBy>asus</cp:lastModifiedBy>
  <cp:lastPrinted>2022-07-14T07:21:00Z</cp:lastPrinted>
  <dcterms:modified xsi:type="dcterms:W3CDTF">2022-09-08T23:41:48Z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F597C267CF714A81916CB1DC822DDCA0</vt:lpwstr>
  </property>
</Properties>
</file>