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hint="eastAsia"/>
          <w:color w:val="auto"/>
        </w:rPr>
      </w:pPr>
      <w:r>
        <w:rPr>
          <w:rFonts w:hint="eastAsia"/>
          <w:color w:val="auto"/>
        </w:rPr>
        <w:t>重庆市沙坪坝区人民政府办公室</w:t>
      </w:r>
    </w:p>
    <w:p>
      <w:pPr>
        <w:pStyle w:val="2"/>
        <w:rPr>
          <w:rFonts w:hint="eastAsia"/>
          <w:color w:val="auto"/>
        </w:rPr>
      </w:pPr>
      <w:r>
        <w:rPr>
          <w:rFonts w:hint="eastAsia"/>
          <w:color w:val="auto"/>
        </w:rPr>
        <w:t>关于公布区级文物保护单位保护范围</w:t>
      </w:r>
    </w:p>
    <w:p>
      <w:pPr>
        <w:pStyle w:val="2"/>
        <w:rPr>
          <w:color w:val="auto"/>
        </w:rPr>
      </w:pPr>
      <w:r>
        <w:rPr>
          <w:rFonts w:hint="eastAsia"/>
          <w:color w:val="auto"/>
        </w:rPr>
        <w:t>和建设控制地带的通知</w:t>
      </w:r>
    </w:p>
    <w:p>
      <w:pPr>
        <w:pStyle w:val="19"/>
        <w:rPr>
          <w:color w:val="auto"/>
          <w:shd w:val="clear" w:color="auto" w:fill="FFFFFF"/>
        </w:rPr>
      </w:pPr>
      <w:r>
        <w:rPr>
          <w:rFonts w:hint="eastAsia"/>
          <w:color w:val="auto"/>
          <w:shd w:val="clear" w:color="auto" w:fill="FFFFFF"/>
        </w:rPr>
        <w:t>沙府办发〔2022〕39号</w:t>
      </w:r>
    </w:p>
    <w:p>
      <w:pPr>
        <w:spacing w:line="600" w:lineRule="atLeast"/>
        <w:jc w:val="center"/>
        <w:rPr>
          <w:rFonts w:ascii="宋体" w:hAnsi="宋体" w:eastAsia="宋体" w:cs="宋体"/>
          <w:color w:val="auto"/>
          <w:sz w:val="44"/>
          <w:szCs w:val="44"/>
          <w:shd w:val="clear" w:color="auto" w:fill="FFFFFF"/>
        </w:rPr>
      </w:pPr>
    </w:p>
    <w:p>
      <w:pPr>
        <w:pStyle w:val="21"/>
        <w:rPr>
          <w:color w:val="auto"/>
        </w:rPr>
      </w:pPr>
      <w:r>
        <w:rPr>
          <w:rFonts w:hint="eastAsia"/>
          <w:color w:val="auto"/>
        </w:rPr>
        <w:t>各镇人民政府、街道办事处，区政府各部门，有关单位：</w:t>
      </w:r>
    </w:p>
    <w:p>
      <w:pPr>
        <w:widowControl w:val="0"/>
        <w:spacing w:line="600" w:lineRule="exact"/>
        <w:ind w:firstLine="640" w:firstLineChars="200"/>
        <w:jc w:val="both"/>
        <w:rPr>
          <w:rFonts w:hint="eastAsia" w:ascii="Times New Roman" w:hAnsi="Times New Roman" w:eastAsia="方正仿宋_GBK" w:cs="方正仿宋_GBK"/>
          <w:color w:val="auto"/>
          <w:sz w:val="32"/>
          <w:szCs w:val="32"/>
          <w:shd w:val="clear" w:color="auto" w:fill="FFFFFF"/>
          <w:lang w:val="en-US" w:eastAsia="zh-CN" w:bidi="ar-SA"/>
        </w:rPr>
      </w:pPr>
      <w:r>
        <w:rPr>
          <w:rFonts w:hint="eastAsia" w:ascii="Times New Roman" w:hAnsi="Times New Roman" w:eastAsia="方正仿宋_GBK" w:cs="方正仿宋_GBK"/>
          <w:color w:val="auto"/>
          <w:sz w:val="32"/>
          <w:szCs w:val="32"/>
          <w:shd w:val="clear" w:color="auto" w:fill="FFFFFF"/>
          <w:lang w:val="en-US" w:eastAsia="zh-CN" w:bidi="ar-SA"/>
        </w:rPr>
        <w:t>依法划定文物保护单位保护范围及建设控制地带是一项重要的文物保护基础工作。根据《中华人民共和国文物保护法》《中华人民共和国文物保护法实施条例》相关规定，经区第</w:t>
      </w:r>
      <w:bookmarkStart w:id="0" w:name="_GoBack"/>
      <w:bookmarkEnd w:id="0"/>
      <w:r>
        <w:rPr>
          <w:rFonts w:hint="eastAsia" w:ascii="Times New Roman" w:hAnsi="Times New Roman" w:eastAsia="方正仿宋_GBK" w:cs="方正仿宋_GBK"/>
          <w:color w:val="auto"/>
          <w:sz w:val="32"/>
          <w:szCs w:val="32"/>
          <w:shd w:val="clear" w:color="auto" w:fill="FFFFFF"/>
          <w:lang w:val="en-US" w:eastAsia="zh-CN" w:bidi="ar-SA"/>
        </w:rPr>
        <w:t>十九届人民政府第五次常务会议审议通过，现将我区9处区级文物保护单位保护范围和建设控制地带予以公布。请各单位严格按照有关要求，进一步贯彻“保护为主、抢救第一、合理利用、加强管理”的工作方针，认真做好文物保护管理和利用工作，切实加强对文物保护单位保护范围及建设控制地带内建设工程的监督管理，确保文物安全。</w:t>
      </w:r>
    </w:p>
    <w:p>
      <w:pPr>
        <w:widowControl w:val="0"/>
        <w:spacing w:line="600" w:lineRule="exact"/>
        <w:ind w:firstLine="640" w:firstLineChars="200"/>
        <w:jc w:val="both"/>
        <w:rPr>
          <w:rFonts w:hint="eastAsia" w:ascii="Times New Roman" w:hAnsi="Times New Roman" w:eastAsia="方正仿宋_GBK" w:cs="方正仿宋_GBK"/>
          <w:color w:val="auto"/>
          <w:sz w:val="32"/>
          <w:szCs w:val="32"/>
          <w:shd w:val="clear" w:color="auto" w:fill="FFFFFF"/>
          <w:lang w:val="en-US" w:eastAsia="zh-CN" w:bidi="ar-SA"/>
        </w:rPr>
      </w:pPr>
    </w:p>
    <w:p>
      <w:pPr>
        <w:widowControl w:val="0"/>
        <w:spacing w:line="600" w:lineRule="exact"/>
        <w:ind w:firstLine="640" w:firstLineChars="200"/>
        <w:jc w:val="both"/>
        <w:rPr>
          <w:rFonts w:hint="eastAsia" w:ascii="Times New Roman" w:hAnsi="Times New Roman" w:eastAsia="方正仿宋_GBK" w:cs="方正仿宋_GBK"/>
          <w:color w:val="auto"/>
          <w:sz w:val="32"/>
          <w:szCs w:val="32"/>
          <w:shd w:val="clear" w:color="auto" w:fill="FFFFFF"/>
          <w:lang w:val="en-US" w:eastAsia="zh-CN" w:bidi="ar-SA"/>
        </w:rPr>
      </w:pPr>
      <w:r>
        <w:rPr>
          <w:rFonts w:hint="eastAsia" w:ascii="Times New Roman" w:hAnsi="Times New Roman" w:eastAsia="方正仿宋_GBK" w:cs="方正仿宋_GBK"/>
          <w:color w:val="auto"/>
          <w:sz w:val="32"/>
          <w:szCs w:val="32"/>
          <w:shd w:val="clear" w:color="auto" w:fill="FFFFFF"/>
          <w:lang w:val="en-US" w:eastAsia="zh-CN" w:bidi="ar-SA"/>
        </w:rPr>
        <w:t>附件：</w:t>
      </w:r>
    </w:p>
    <w:p>
      <w:pPr>
        <w:widowControl w:val="0"/>
        <w:spacing w:line="600" w:lineRule="exact"/>
        <w:ind w:firstLine="640" w:firstLineChars="200"/>
        <w:jc w:val="both"/>
        <w:rPr>
          <w:rFonts w:hint="eastAsia" w:ascii="Times New Roman" w:hAnsi="Times New Roman" w:eastAsia="方正仿宋_GBK" w:cs="方正仿宋_GBK"/>
          <w:color w:val="auto"/>
          <w:sz w:val="32"/>
          <w:szCs w:val="32"/>
          <w:shd w:val="clear" w:color="auto" w:fill="FFFFFF"/>
          <w:lang w:val="en-US" w:eastAsia="zh-CN" w:bidi="ar-SA"/>
        </w:rPr>
      </w:pPr>
      <w:r>
        <w:rPr>
          <w:rFonts w:hint="eastAsia" w:ascii="Times New Roman" w:hAnsi="Times New Roman" w:eastAsia="方正仿宋_GBK" w:cs="方正仿宋_GBK"/>
          <w:color w:val="auto"/>
          <w:sz w:val="32"/>
          <w:szCs w:val="32"/>
          <w:shd w:val="clear" w:color="auto" w:fill="FFFFFF"/>
          <w:lang w:val="en-US" w:eastAsia="zh-CN" w:bidi="ar-SA"/>
        </w:rPr>
        <w:t>1. 沙坪坝区级文物保护单位保护范围和建设控制地带汇总表（9处）</w:t>
      </w:r>
    </w:p>
    <w:p>
      <w:pPr>
        <w:widowControl w:val="0"/>
        <w:spacing w:line="600" w:lineRule="exact"/>
        <w:ind w:firstLine="640" w:firstLineChars="200"/>
        <w:jc w:val="both"/>
        <w:rPr>
          <w:rFonts w:hint="eastAsia" w:ascii="Times New Roman" w:hAnsi="Times New Roman" w:eastAsia="方正仿宋_GBK" w:cs="方正仿宋_GBK"/>
          <w:color w:val="auto"/>
          <w:sz w:val="32"/>
          <w:szCs w:val="32"/>
          <w:shd w:val="clear" w:color="auto" w:fill="FFFFFF"/>
          <w:lang w:val="en-US" w:eastAsia="zh-CN" w:bidi="ar-SA"/>
        </w:rPr>
      </w:pPr>
      <w:r>
        <w:rPr>
          <w:rFonts w:hint="eastAsia" w:ascii="Times New Roman" w:hAnsi="Times New Roman" w:eastAsia="方正仿宋_GBK" w:cs="方正仿宋_GBK"/>
          <w:color w:val="auto"/>
          <w:sz w:val="32"/>
          <w:szCs w:val="32"/>
          <w:shd w:val="clear" w:color="auto" w:fill="FFFFFF"/>
          <w:lang w:val="en-US" w:eastAsia="zh-CN" w:bidi="ar-SA"/>
        </w:rPr>
        <w:t>2. 沙坪坝区级文物保护单位保护范围和建设控制地带图则</w:t>
      </w:r>
    </w:p>
    <w:p>
      <w:pPr>
        <w:pStyle w:val="15"/>
        <w:bidi w:val="0"/>
      </w:pPr>
    </w:p>
    <w:p>
      <w:pPr>
        <w:pStyle w:val="15"/>
        <w:bidi w:val="0"/>
      </w:pPr>
    </w:p>
    <w:p>
      <w:pPr>
        <w:pStyle w:val="15"/>
        <w:bidi w:val="0"/>
      </w:pPr>
    </w:p>
    <w:p>
      <w:pPr>
        <w:pStyle w:val="23"/>
        <w:wordWrap w:val="0"/>
        <w:bidi w:val="0"/>
        <w:rPr>
          <w:rFonts w:hint="default" w:eastAsia="方正仿宋_GBK"/>
          <w:lang w:val="en-US" w:eastAsia="zh-CN"/>
        </w:rPr>
      </w:pPr>
      <w:r>
        <w:rPr>
          <w:rFonts w:hint="eastAsia"/>
        </w:rPr>
        <w:t>重庆市沙坪坝区人民政府办公室</w:t>
      </w:r>
      <w:r>
        <w:rPr>
          <w:rFonts w:hint="eastAsia"/>
          <w:lang w:val="en-US" w:eastAsia="zh-CN"/>
        </w:rPr>
        <w:t xml:space="preserve">    </w:t>
      </w:r>
    </w:p>
    <w:p>
      <w:pPr>
        <w:pStyle w:val="23"/>
        <w:wordWrap w:val="0"/>
        <w:bidi w:val="0"/>
        <w:rPr>
          <w:rFonts w:hint="default" w:eastAsia="方正仿宋_GBK"/>
          <w:lang w:val="en-US" w:eastAsia="zh-CN"/>
        </w:rPr>
      </w:pPr>
      <w:r>
        <w:rPr>
          <w:rFonts w:hint="eastAsia"/>
        </w:rPr>
        <w:t>2022年4月7日</w:t>
      </w:r>
      <w:r>
        <w:rPr>
          <w:rFonts w:hint="eastAsia"/>
          <w:lang w:val="en-US" w:eastAsia="zh-CN"/>
        </w:rPr>
        <w:t xml:space="preserve">          </w:t>
      </w:r>
    </w:p>
    <w:p>
      <w:pPr>
        <w:pStyle w:val="15"/>
        <w:bidi w:val="0"/>
      </w:pPr>
      <w:r>
        <w:rPr>
          <w:rFonts w:hint="eastAsia"/>
        </w:rPr>
        <w:t>（此件公开发布）</w:t>
      </w:r>
    </w:p>
    <w:p>
      <w:pPr>
        <w:rPr>
          <w:rFonts w:hint="eastAsia"/>
        </w:rPr>
      </w:pPr>
    </w:p>
    <w:p>
      <w:pPr>
        <w:rPr>
          <w:rFonts w:hint="eastAsia"/>
        </w:rPr>
        <w:sectPr>
          <w:pgSz w:w="11906" w:h="16838"/>
          <w:pgMar w:top="1962" w:right="1474" w:bottom="1848" w:left="1588" w:header="851" w:footer="992" w:gutter="0"/>
          <w:pgNumType w:fmt="numberInDash"/>
          <w:cols w:space="0" w:num="1"/>
          <w:docGrid w:type="lines" w:linePitch="316" w:charSpace="0"/>
        </w:sectPr>
      </w:pPr>
    </w:p>
    <w:p>
      <w:pPr>
        <w:pStyle w:val="25"/>
      </w:pPr>
      <w:r>
        <w:rPr>
          <w:rFonts w:hint="eastAsia"/>
        </w:rPr>
        <w:t>附件1</w:t>
      </w:r>
    </w:p>
    <w:p>
      <w:pPr>
        <w:pStyle w:val="35"/>
        <w:rPr>
          <w:rFonts w:hint="eastAsia"/>
        </w:rPr>
      </w:pPr>
    </w:p>
    <w:p>
      <w:pPr>
        <w:pStyle w:val="35"/>
        <w:rPr>
          <w:rFonts w:hint="eastAsia"/>
        </w:rPr>
      </w:pPr>
      <w:r>
        <w:rPr>
          <w:rFonts w:hint="eastAsia"/>
        </w:rPr>
        <w:t>沙坪坝区级文物保护单位保护范围和建设控制地带汇总表（9处）</w:t>
      </w:r>
    </w:p>
    <w:p>
      <w:pPr>
        <w:pStyle w:val="35"/>
        <w:rPr>
          <w:rFonts w:hint="eastAsia"/>
        </w:rPr>
      </w:pP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13" w:type="dxa"/>
          <w:left w:w="108" w:type="dxa"/>
          <w:bottom w:w="113" w:type="dxa"/>
          <w:right w:w="108" w:type="dxa"/>
        </w:tblCellMar>
      </w:tblPr>
      <w:tblGrid>
        <w:gridCol w:w="837"/>
        <w:gridCol w:w="1137"/>
        <w:gridCol w:w="1092"/>
        <w:gridCol w:w="1546"/>
        <w:gridCol w:w="1123"/>
        <w:gridCol w:w="896"/>
        <w:gridCol w:w="3856"/>
        <w:gridCol w:w="3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299" w:type="pct"/>
            <w:vAlign w:val="center"/>
          </w:tcPr>
          <w:p>
            <w:pPr>
              <w:pStyle w:val="39"/>
              <w:keepNext w:val="0"/>
              <w:keepLines w:val="0"/>
              <w:widowControl/>
              <w:suppressLineNumbers w:val="0"/>
              <w:spacing w:before="0" w:beforeAutospacing="0" w:after="0" w:afterAutospacing="0"/>
              <w:ind w:left="0" w:right="0"/>
              <w:jc w:val="center"/>
              <w:rPr>
                <w:rFonts w:hint="default"/>
              </w:rPr>
            </w:pPr>
            <w:r>
              <w:rPr>
                <w:rFonts w:hint="eastAsia"/>
              </w:rPr>
              <w:t>序号</w:t>
            </w:r>
          </w:p>
        </w:tc>
        <w:tc>
          <w:tcPr>
            <w:tcW w:w="796" w:type="pct"/>
            <w:gridSpan w:val="2"/>
            <w:vAlign w:val="center"/>
          </w:tcPr>
          <w:p>
            <w:pPr>
              <w:pStyle w:val="39"/>
              <w:keepNext w:val="0"/>
              <w:keepLines w:val="0"/>
              <w:widowControl/>
              <w:suppressLineNumbers w:val="0"/>
              <w:spacing w:before="0" w:beforeAutospacing="0" w:after="0" w:afterAutospacing="0"/>
              <w:ind w:left="0" w:right="0"/>
              <w:jc w:val="center"/>
              <w:rPr>
                <w:rFonts w:hint="default"/>
              </w:rPr>
            </w:pPr>
            <w:r>
              <w:rPr>
                <w:rFonts w:hint="eastAsia"/>
              </w:rPr>
              <w:t>名称</w:t>
            </w:r>
          </w:p>
        </w:tc>
        <w:tc>
          <w:tcPr>
            <w:tcW w:w="552" w:type="pct"/>
            <w:vAlign w:val="center"/>
          </w:tcPr>
          <w:p>
            <w:pPr>
              <w:pStyle w:val="39"/>
              <w:keepNext w:val="0"/>
              <w:keepLines w:val="0"/>
              <w:widowControl/>
              <w:suppressLineNumbers w:val="0"/>
              <w:spacing w:before="0" w:beforeAutospacing="0" w:after="0" w:afterAutospacing="0"/>
              <w:ind w:left="0" w:right="0"/>
              <w:jc w:val="center"/>
              <w:rPr>
                <w:rFonts w:hint="default"/>
              </w:rPr>
            </w:pPr>
            <w:r>
              <w:rPr>
                <w:rFonts w:hint="eastAsia"/>
              </w:rPr>
              <w:t>地址</w:t>
            </w:r>
          </w:p>
        </w:tc>
        <w:tc>
          <w:tcPr>
            <w:tcW w:w="401" w:type="pct"/>
            <w:vAlign w:val="center"/>
          </w:tcPr>
          <w:p>
            <w:pPr>
              <w:pStyle w:val="39"/>
              <w:keepNext w:val="0"/>
              <w:keepLines w:val="0"/>
              <w:widowControl/>
              <w:suppressLineNumbers w:val="0"/>
              <w:spacing w:before="0" w:beforeAutospacing="0" w:after="0" w:afterAutospacing="0"/>
              <w:ind w:left="0" w:right="0"/>
              <w:jc w:val="center"/>
              <w:rPr>
                <w:rFonts w:hint="default"/>
              </w:rPr>
            </w:pPr>
            <w:r>
              <w:rPr>
                <w:rFonts w:hint="eastAsia"/>
              </w:rPr>
              <w:t>类别</w:t>
            </w:r>
          </w:p>
        </w:tc>
        <w:tc>
          <w:tcPr>
            <w:tcW w:w="320" w:type="pct"/>
            <w:vAlign w:val="center"/>
          </w:tcPr>
          <w:p>
            <w:pPr>
              <w:pStyle w:val="39"/>
              <w:keepNext w:val="0"/>
              <w:keepLines w:val="0"/>
              <w:widowControl/>
              <w:suppressLineNumbers w:val="0"/>
              <w:spacing w:before="0" w:beforeAutospacing="0" w:after="0" w:afterAutospacing="0"/>
              <w:ind w:left="0" w:right="0"/>
              <w:jc w:val="center"/>
              <w:rPr>
                <w:rFonts w:hint="default"/>
              </w:rPr>
            </w:pPr>
            <w:r>
              <w:rPr>
                <w:rFonts w:hint="eastAsia"/>
              </w:rPr>
              <w:t>级别</w:t>
            </w:r>
          </w:p>
        </w:tc>
        <w:tc>
          <w:tcPr>
            <w:tcW w:w="1377" w:type="pct"/>
            <w:vAlign w:val="center"/>
          </w:tcPr>
          <w:p>
            <w:pPr>
              <w:pStyle w:val="39"/>
              <w:keepNext w:val="0"/>
              <w:keepLines w:val="0"/>
              <w:widowControl/>
              <w:suppressLineNumbers w:val="0"/>
              <w:spacing w:before="0" w:beforeAutospacing="0" w:after="0" w:afterAutospacing="0"/>
              <w:ind w:left="0" w:right="0"/>
              <w:jc w:val="center"/>
              <w:rPr>
                <w:rFonts w:hint="default"/>
              </w:rPr>
            </w:pPr>
            <w:r>
              <w:rPr>
                <w:rFonts w:hint="eastAsia"/>
              </w:rPr>
              <w:t>保护范围</w:t>
            </w:r>
          </w:p>
        </w:tc>
        <w:tc>
          <w:tcPr>
            <w:tcW w:w="1252" w:type="pct"/>
            <w:vAlign w:val="center"/>
          </w:tcPr>
          <w:p>
            <w:pPr>
              <w:pStyle w:val="39"/>
              <w:keepNext w:val="0"/>
              <w:keepLines w:val="0"/>
              <w:widowControl/>
              <w:suppressLineNumbers w:val="0"/>
              <w:spacing w:before="0" w:beforeAutospacing="0" w:after="0" w:afterAutospacing="0"/>
              <w:ind w:left="0" w:right="0"/>
              <w:jc w:val="center"/>
              <w:rPr>
                <w:rFonts w:hint="default"/>
              </w:rPr>
            </w:pPr>
            <w:r>
              <w:rPr>
                <w:rFonts w:hint="eastAsia"/>
              </w:rPr>
              <w:t>建设控制地带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299" w:type="pct"/>
            <w:vAlign w:val="center"/>
          </w:tcPr>
          <w:p>
            <w:pPr>
              <w:pStyle w:val="39"/>
              <w:keepNext w:val="0"/>
              <w:keepLines w:val="0"/>
              <w:widowControl/>
              <w:suppressLineNumbers w:val="0"/>
              <w:spacing w:before="0" w:beforeAutospacing="0" w:after="0" w:afterAutospacing="0"/>
              <w:ind w:left="0" w:right="0"/>
              <w:jc w:val="center"/>
              <w:rPr>
                <w:rFonts w:hint="default"/>
              </w:rPr>
            </w:pPr>
            <w:r>
              <w:rPr>
                <w:rFonts w:hint="default"/>
              </w:rPr>
              <w:t>1</w:t>
            </w:r>
          </w:p>
        </w:tc>
        <w:tc>
          <w:tcPr>
            <w:tcW w:w="796" w:type="pct"/>
            <w:gridSpan w:val="2"/>
            <w:vAlign w:val="center"/>
          </w:tcPr>
          <w:p>
            <w:pPr>
              <w:pStyle w:val="39"/>
              <w:keepNext w:val="0"/>
              <w:keepLines w:val="0"/>
              <w:widowControl/>
              <w:suppressLineNumbers w:val="0"/>
              <w:spacing w:before="0" w:beforeAutospacing="0" w:after="0" w:afterAutospacing="0"/>
              <w:ind w:left="0" w:right="0"/>
              <w:jc w:val="center"/>
              <w:rPr>
                <w:rFonts w:hint="default"/>
              </w:rPr>
            </w:pPr>
            <w:r>
              <w:rPr>
                <w:rFonts w:hint="default"/>
              </w:rPr>
              <w:t>灵感寺</w:t>
            </w:r>
          </w:p>
        </w:tc>
        <w:tc>
          <w:tcPr>
            <w:tcW w:w="552"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沙坪坝区回龙坝镇五云山村踏水桥</w:t>
            </w:r>
          </w:p>
        </w:tc>
        <w:tc>
          <w:tcPr>
            <w:tcW w:w="401"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古建筑</w:t>
            </w:r>
          </w:p>
        </w:tc>
        <w:tc>
          <w:tcPr>
            <w:tcW w:w="320" w:type="pct"/>
            <w:vAlign w:val="center"/>
          </w:tcPr>
          <w:p>
            <w:pPr>
              <w:pStyle w:val="39"/>
              <w:keepNext w:val="0"/>
              <w:keepLines w:val="0"/>
              <w:widowControl/>
              <w:suppressLineNumbers w:val="0"/>
              <w:spacing w:before="0" w:beforeAutospacing="0" w:after="0" w:afterAutospacing="0"/>
              <w:ind w:left="0" w:right="0"/>
              <w:jc w:val="center"/>
              <w:rPr>
                <w:rFonts w:hint="default"/>
              </w:rPr>
            </w:pPr>
            <w:r>
              <w:rPr>
                <w:rFonts w:hint="default"/>
              </w:rPr>
              <w:t>区保</w:t>
            </w:r>
          </w:p>
        </w:tc>
        <w:tc>
          <w:tcPr>
            <w:tcW w:w="1377"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东至文物建筑东侧外墙20米；南至文物南侧外墙6.5米；西至文物建筑西侧外墙17.4米；北至文物建筑北侧外墙13.8米。</w:t>
            </w:r>
          </w:p>
        </w:tc>
        <w:tc>
          <w:tcPr>
            <w:tcW w:w="1252"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东至保护范围线外14米；南至梁滩河边线20.6米；西至保护范围线外8.4米；北至保护范围线外10.1米。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299" w:type="pct"/>
            <w:vAlign w:val="center"/>
          </w:tcPr>
          <w:p>
            <w:pPr>
              <w:pStyle w:val="39"/>
              <w:keepNext w:val="0"/>
              <w:keepLines w:val="0"/>
              <w:widowControl/>
              <w:suppressLineNumbers w:val="0"/>
              <w:spacing w:before="0" w:beforeAutospacing="0" w:after="0" w:afterAutospacing="0"/>
              <w:ind w:left="0" w:right="0"/>
              <w:jc w:val="center"/>
              <w:rPr>
                <w:rFonts w:hint="default"/>
              </w:rPr>
            </w:pPr>
            <w:r>
              <w:rPr>
                <w:rFonts w:hint="default"/>
              </w:rPr>
              <w:t>2</w:t>
            </w:r>
          </w:p>
        </w:tc>
        <w:tc>
          <w:tcPr>
            <w:tcW w:w="796" w:type="pct"/>
            <w:gridSpan w:val="2"/>
            <w:vAlign w:val="center"/>
          </w:tcPr>
          <w:p>
            <w:pPr>
              <w:pStyle w:val="39"/>
              <w:keepNext w:val="0"/>
              <w:keepLines w:val="0"/>
              <w:widowControl/>
              <w:suppressLineNumbers w:val="0"/>
              <w:spacing w:before="0" w:beforeAutospacing="0" w:after="0" w:afterAutospacing="0"/>
              <w:ind w:left="0" w:right="0"/>
              <w:jc w:val="center"/>
              <w:rPr>
                <w:rFonts w:hint="default"/>
              </w:rPr>
            </w:pPr>
            <w:r>
              <w:rPr>
                <w:rFonts w:hint="default"/>
              </w:rPr>
              <w:t>《涵园记》题刻</w:t>
            </w:r>
          </w:p>
        </w:tc>
        <w:tc>
          <w:tcPr>
            <w:tcW w:w="552"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沙坪坝区覃家岗街道平顶山龙泉1号背后崖壁上</w:t>
            </w:r>
          </w:p>
        </w:tc>
        <w:tc>
          <w:tcPr>
            <w:tcW w:w="401" w:type="pct"/>
            <w:vAlign w:val="center"/>
          </w:tcPr>
          <w:p>
            <w:pPr>
              <w:pStyle w:val="39"/>
              <w:bidi w:val="0"/>
              <w:rPr>
                <w:rFonts w:hint="default"/>
              </w:rPr>
            </w:pPr>
            <w:r>
              <w:rPr>
                <w:rFonts w:hint="default"/>
              </w:rPr>
              <w:t>近现代重要史迹及代表性建筑</w:t>
            </w:r>
          </w:p>
        </w:tc>
        <w:tc>
          <w:tcPr>
            <w:tcW w:w="320" w:type="pct"/>
            <w:vAlign w:val="center"/>
          </w:tcPr>
          <w:p>
            <w:pPr>
              <w:pStyle w:val="39"/>
              <w:keepNext w:val="0"/>
              <w:keepLines w:val="0"/>
              <w:widowControl/>
              <w:suppressLineNumbers w:val="0"/>
              <w:spacing w:before="0" w:beforeAutospacing="0" w:after="0" w:afterAutospacing="0"/>
              <w:ind w:left="0" w:right="0"/>
              <w:jc w:val="center"/>
              <w:rPr>
                <w:rFonts w:hint="default"/>
              </w:rPr>
            </w:pPr>
            <w:r>
              <w:rPr>
                <w:rFonts w:hint="default"/>
              </w:rPr>
              <w:t>区保</w:t>
            </w:r>
          </w:p>
        </w:tc>
        <w:tc>
          <w:tcPr>
            <w:tcW w:w="1377"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东至堡坎；南至堡坎；西至保护范围线9米；北至建筑南侧。</w:t>
            </w:r>
          </w:p>
        </w:tc>
        <w:tc>
          <w:tcPr>
            <w:tcW w:w="1252"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东至保护范围东界向东外扩18米；南至堡坎北侧22.3米；西至保护范围西界向西外扩18米；北至建筑南侧20.2米。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9" w:type="pct"/>
            <w:vAlign w:val="center"/>
          </w:tcPr>
          <w:p>
            <w:pPr>
              <w:pStyle w:val="39"/>
              <w:keepNext w:val="0"/>
              <w:keepLines w:val="0"/>
              <w:widowControl/>
              <w:suppressLineNumbers w:val="0"/>
              <w:spacing w:before="0" w:beforeAutospacing="0" w:after="0" w:afterAutospacing="0"/>
              <w:ind w:left="0" w:right="0"/>
              <w:jc w:val="center"/>
              <w:rPr>
                <w:rFonts w:hint="default"/>
              </w:rPr>
            </w:pPr>
            <w:r>
              <w:rPr>
                <w:rFonts w:hint="default"/>
              </w:rPr>
              <w:t>3</w:t>
            </w:r>
          </w:p>
        </w:tc>
        <w:tc>
          <w:tcPr>
            <w:tcW w:w="796" w:type="pct"/>
            <w:gridSpan w:val="2"/>
            <w:vAlign w:val="center"/>
          </w:tcPr>
          <w:p>
            <w:pPr>
              <w:pStyle w:val="39"/>
              <w:keepNext w:val="0"/>
              <w:keepLines w:val="0"/>
              <w:widowControl/>
              <w:suppressLineNumbers w:val="0"/>
              <w:spacing w:before="0" w:beforeAutospacing="0" w:after="0" w:afterAutospacing="0"/>
              <w:ind w:left="0" w:right="0"/>
              <w:jc w:val="center"/>
              <w:rPr>
                <w:rFonts w:hint="default"/>
              </w:rPr>
            </w:pPr>
            <w:r>
              <w:rPr>
                <w:rFonts w:hint="default"/>
              </w:rPr>
              <w:t>四川省立教育学院旧址</w:t>
            </w:r>
          </w:p>
        </w:tc>
        <w:tc>
          <w:tcPr>
            <w:tcW w:w="552"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沙坪坝区磁器口街道金沙正街社区，重庆二十八中内</w:t>
            </w:r>
          </w:p>
        </w:tc>
        <w:tc>
          <w:tcPr>
            <w:tcW w:w="401"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近现代重要史迹及代表性建筑</w:t>
            </w:r>
          </w:p>
        </w:tc>
        <w:tc>
          <w:tcPr>
            <w:tcW w:w="320" w:type="pct"/>
            <w:vAlign w:val="center"/>
          </w:tcPr>
          <w:p>
            <w:pPr>
              <w:pStyle w:val="39"/>
              <w:keepNext w:val="0"/>
              <w:keepLines w:val="0"/>
              <w:widowControl/>
              <w:suppressLineNumbers w:val="0"/>
              <w:spacing w:before="0" w:beforeAutospacing="0" w:after="0" w:afterAutospacing="0"/>
              <w:ind w:left="0" w:right="0"/>
              <w:jc w:val="center"/>
              <w:rPr>
                <w:rFonts w:hint="default"/>
              </w:rPr>
            </w:pPr>
            <w:r>
              <w:rPr>
                <w:rFonts w:hint="default"/>
              </w:rPr>
              <w:t>区保</w:t>
            </w:r>
          </w:p>
        </w:tc>
        <w:tc>
          <w:tcPr>
            <w:tcW w:w="1377"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东至相邻建筑西侧外墙线；南至文物建筑本体10米；西至相邻建筑东侧外墙线；北至篮球场南侧边线。</w:t>
            </w:r>
          </w:p>
        </w:tc>
        <w:tc>
          <w:tcPr>
            <w:tcW w:w="1252"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东至中小学用地地块边线；南至中小学用地地块边线；西至相邻建筑西侧外墙线；北至篮球场北侧外边线。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299" w:type="pct"/>
            <w:vMerge w:val="restart"/>
            <w:vAlign w:val="center"/>
          </w:tcPr>
          <w:p>
            <w:pPr>
              <w:pStyle w:val="39"/>
              <w:keepNext w:val="0"/>
              <w:keepLines w:val="0"/>
              <w:widowControl/>
              <w:suppressLineNumbers w:val="0"/>
              <w:spacing w:before="0" w:beforeAutospacing="0" w:after="0" w:afterAutospacing="0"/>
              <w:ind w:left="0" w:right="0"/>
              <w:jc w:val="center"/>
              <w:rPr>
                <w:rFonts w:hint="default"/>
              </w:rPr>
            </w:pPr>
            <w:r>
              <w:rPr>
                <w:rFonts w:hint="default"/>
              </w:rPr>
              <w:t>4</w:t>
            </w:r>
          </w:p>
        </w:tc>
        <w:tc>
          <w:tcPr>
            <w:tcW w:w="406" w:type="pct"/>
            <w:vMerge w:val="restar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重庆市第二机械工业学校旧址</w:t>
            </w:r>
          </w:p>
        </w:tc>
        <w:tc>
          <w:tcPr>
            <w:tcW w:w="390"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教学楼</w:t>
            </w:r>
          </w:p>
        </w:tc>
        <w:tc>
          <w:tcPr>
            <w:tcW w:w="552" w:type="pct"/>
            <w:vMerge w:val="restar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沙坪坝区井口街道柏杨社区先锋街柏杨67号</w:t>
            </w:r>
          </w:p>
        </w:tc>
        <w:tc>
          <w:tcPr>
            <w:tcW w:w="401" w:type="pct"/>
            <w:vMerge w:val="restar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近现代重要史迹及代表性建筑</w:t>
            </w:r>
          </w:p>
        </w:tc>
        <w:tc>
          <w:tcPr>
            <w:tcW w:w="320" w:type="pct"/>
            <w:vMerge w:val="restart"/>
            <w:vAlign w:val="center"/>
          </w:tcPr>
          <w:p>
            <w:pPr>
              <w:pStyle w:val="39"/>
              <w:keepNext w:val="0"/>
              <w:keepLines w:val="0"/>
              <w:widowControl/>
              <w:suppressLineNumbers w:val="0"/>
              <w:spacing w:before="0" w:beforeAutospacing="0" w:after="0" w:afterAutospacing="0"/>
              <w:ind w:left="0" w:right="0"/>
              <w:jc w:val="center"/>
              <w:rPr>
                <w:rFonts w:hint="default"/>
              </w:rPr>
            </w:pPr>
            <w:r>
              <w:rPr>
                <w:rFonts w:hint="default"/>
              </w:rPr>
              <w:t>区保</w:t>
            </w:r>
          </w:p>
        </w:tc>
        <w:tc>
          <w:tcPr>
            <w:tcW w:w="1377"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东至坝子9米；南至花台北侧边线10.3米；西至堡坎9.1米；北至人行步道6.9米。</w:t>
            </w:r>
          </w:p>
        </w:tc>
        <w:tc>
          <w:tcPr>
            <w:tcW w:w="1252" w:type="pct"/>
            <w:vMerge w:val="restar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东至东侧建筑边线11.2米；南至球场边线12米；西至教学楼东侧边线4.4米；北至堡坎20.8米。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299" w:type="pct"/>
            <w:vMerge w:val="continue"/>
            <w:vAlign w:val="center"/>
          </w:tcPr>
          <w:p>
            <w:pPr>
              <w:pStyle w:val="39"/>
              <w:keepNext w:val="0"/>
              <w:keepLines w:val="0"/>
              <w:widowControl/>
              <w:suppressLineNumbers w:val="0"/>
              <w:spacing w:before="0" w:beforeAutospacing="0" w:after="0" w:afterAutospacing="0"/>
              <w:ind w:left="0" w:right="0"/>
              <w:jc w:val="center"/>
              <w:rPr>
                <w:rFonts w:hint="default"/>
              </w:rPr>
            </w:pPr>
          </w:p>
        </w:tc>
        <w:tc>
          <w:tcPr>
            <w:tcW w:w="406" w:type="pct"/>
            <w:vMerge w:val="continue"/>
            <w:vAlign w:val="center"/>
          </w:tcPr>
          <w:p>
            <w:pPr>
              <w:pStyle w:val="39"/>
              <w:keepNext w:val="0"/>
              <w:keepLines w:val="0"/>
              <w:widowControl/>
              <w:suppressLineNumbers w:val="0"/>
              <w:spacing w:before="0" w:beforeAutospacing="0" w:after="0" w:afterAutospacing="0"/>
              <w:ind w:left="0" w:right="0"/>
              <w:rPr>
                <w:rFonts w:hint="default"/>
              </w:rPr>
            </w:pPr>
          </w:p>
        </w:tc>
        <w:tc>
          <w:tcPr>
            <w:tcW w:w="390"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办公楼</w:t>
            </w:r>
          </w:p>
        </w:tc>
        <w:tc>
          <w:tcPr>
            <w:tcW w:w="552" w:type="pct"/>
            <w:vMerge w:val="continue"/>
            <w:vAlign w:val="center"/>
          </w:tcPr>
          <w:p>
            <w:pPr>
              <w:pStyle w:val="39"/>
              <w:keepNext w:val="0"/>
              <w:keepLines w:val="0"/>
              <w:widowControl/>
              <w:suppressLineNumbers w:val="0"/>
              <w:spacing w:before="0" w:beforeAutospacing="0" w:after="0" w:afterAutospacing="0"/>
              <w:ind w:left="0" w:right="0"/>
              <w:rPr>
                <w:rFonts w:hint="default"/>
              </w:rPr>
            </w:pPr>
          </w:p>
        </w:tc>
        <w:tc>
          <w:tcPr>
            <w:tcW w:w="401" w:type="pct"/>
            <w:vMerge w:val="continue"/>
            <w:vAlign w:val="center"/>
          </w:tcPr>
          <w:p>
            <w:pPr>
              <w:pStyle w:val="39"/>
              <w:keepNext w:val="0"/>
              <w:keepLines w:val="0"/>
              <w:widowControl/>
              <w:suppressLineNumbers w:val="0"/>
              <w:spacing w:before="0" w:beforeAutospacing="0" w:after="0" w:afterAutospacing="0"/>
              <w:ind w:left="0" w:right="0"/>
              <w:rPr>
                <w:rFonts w:hint="default"/>
              </w:rPr>
            </w:pPr>
          </w:p>
        </w:tc>
        <w:tc>
          <w:tcPr>
            <w:tcW w:w="320" w:type="pct"/>
            <w:vMerge w:val="continue"/>
            <w:vAlign w:val="center"/>
          </w:tcPr>
          <w:p>
            <w:pPr>
              <w:pStyle w:val="39"/>
              <w:keepNext w:val="0"/>
              <w:keepLines w:val="0"/>
              <w:widowControl/>
              <w:suppressLineNumbers w:val="0"/>
              <w:spacing w:before="0" w:beforeAutospacing="0" w:after="0" w:afterAutospacing="0"/>
              <w:ind w:left="0" w:right="0"/>
              <w:jc w:val="center"/>
              <w:rPr>
                <w:rFonts w:hint="default"/>
              </w:rPr>
            </w:pPr>
          </w:p>
        </w:tc>
        <w:tc>
          <w:tcPr>
            <w:tcW w:w="1377"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东至建筑西侧边线14.3米；南至道路边线6.9米；西至花台东侧边线5.1米；北至厕所南侧边线6.1米。</w:t>
            </w:r>
          </w:p>
        </w:tc>
        <w:tc>
          <w:tcPr>
            <w:tcW w:w="1252" w:type="pct"/>
            <w:vMerge w:val="continue"/>
            <w:vAlign w:val="center"/>
          </w:tcPr>
          <w:p>
            <w:pPr>
              <w:pStyle w:val="39"/>
              <w:keepNext w:val="0"/>
              <w:keepLines w:val="0"/>
              <w:widowControl/>
              <w:suppressLineNumbers w:val="0"/>
              <w:spacing w:before="0" w:beforeAutospacing="0" w:after="0" w:afterAutospacing="0"/>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299" w:type="pct"/>
            <w:vAlign w:val="center"/>
          </w:tcPr>
          <w:p>
            <w:pPr>
              <w:pStyle w:val="39"/>
              <w:keepNext w:val="0"/>
              <w:keepLines w:val="0"/>
              <w:widowControl/>
              <w:suppressLineNumbers w:val="0"/>
              <w:spacing w:before="0" w:beforeAutospacing="0" w:after="0" w:afterAutospacing="0"/>
              <w:ind w:left="0" w:right="0"/>
              <w:jc w:val="center"/>
              <w:rPr>
                <w:rFonts w:hint="default"/>
              </w:rPr>
            </w:pPr>
            <w:r>
              <w:rPr>
                <w:rFonts w:hint="default"/>
              </w:rPr>
              <w:t>5</w:t>
            </w:r>
          </w:p>
        </w:tc>
        <w:tc>
          <w:tcPr>
            <w:tcW w:w="796" w:type="pct"/>
            <w:gridSpan w:val="2"/>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松堡美国教会学校美方教师住宅旧址</w:t>
            </w:r>
          </w:p>
        </w:tc>
        <w:tc>
          <w:tcPr>
            <w:tcW w:w="552"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沙坪坝区井口街道松堡社区，重庆地质仪器厂区内</w:t>
            </w:r>
          </w:p>
        </w:tc>
        <w:tc>
          <w:tcPr>
            <w:tcW w:w="401"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近现代重要史迹及代表性建筑</w:t>
            </w:r>
          </w:p>
        </w:tc>
        <w:tc>
          <w:tcPr>
            <w:tcW w:w="320" w:type="pct"/>
            <w:vAlign w:val="center"/>
          </w:tcPr>
          <w:p>
            <w:pPr>
              <w:pStyle w:val="39"/>
              <w:keepNext w:val="0"/>
              <w:keepLines w:val="0"/>
              <w:widowControl/>
              <w:suppressLineNumbers w:val="0"/>
              <w:spacing w:before="0" w:beforeAutospacing="0" w:after="0" w:afterAutospacing="0"/>
              <w:ind w:left="0" w:right="0"/>
              <w:jc w:val="center"/>
              <w:rPr>
                <w:rFonts w:hint="default"/>
              </w:rPr>
            </w:pPr>
            <w:r>
              <w:rPr>
                <w:rFonts w:hint="default"/>
              </w:rPr>
              <w:t>区保</w:t>
            </w:r>
          </w:p>
        </w:tc>
        <w:tc>
          <w:tcPr>
            <w:tcW w:w="1377"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东至文物建筑东侧外墙9米；南至文物建筑南侧外墙9米；西至文物建筑西侧外墙9米；北至文物建筑北侧外墙9米。（此保护范围包括松堡美国教会学校旧址四栋建筑：中方校长住宅新址、女生宿舍新址、美方校长住宅新址、美方教师</w:t>
            </w:r>
            <w:r>
              <w:rPr>
                <w:rFonts w:hint="eastAsia"/>
              </w:rPr>
              <w:t>住宅</w:t>
            </w:r>
            <w:r>
              <w:rPr>
                <w:rFonts w:hint="default"/>
              </w:rPr>
              <w:t>旧址）</w:t>
            </w:r>
          </w:p>
        </w:tc>
        <w:tc>
          <w:tcPr>
            <w:tcW w:w="1252"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东至规划道路西侧边线7.2米；南至保护范围线外18米；西至保护范围线外18米；北至保护范围线外18米。（此建设控制地带包括松堡美国教会学校旧址四栋建筑：中方校长住宅新址、女生宿舍新址、美方校长住宅新址、美方教师</w:t>
            </w:r>
            <w:r>
              <w:rPr>
                <w:rFonts w:hint="eastAsia"/>
              </w:rPr>
              <w:t>住宅</w:t>
            </w:r>
            <w:r>
              <w:rPr>
                <w:rFonts w:hint="default"/>
              </w:rPr>
              <w:t>旧址）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9" w:type="pct"/>
            <w:vAlign w:val="center"/>
          </w:tcPr>
          <w:p>
            <w:pPr>
              <w:pStyle w:val="39"/>
              <w:keepNext w:val="0"/>
              <w:keepLines w:val="0"/>
              <w:widowControl/>
              <w:suppressLineNumbers w:val="0"/>
              <w:spacing w:before="0" w:beforeAutospacing="0" w:after="0" w:afterAutospacing="0"/>
              <w:ind w:left="0" w:right="0"/>
              <w:jc w:val="center"/>
              <w:rPr>
                <w:rFonts w:hint="default"/>
              </w:rPr>
            </w:pPr>
            <w:r>
              <w:rPr>
                <w:rFonts w:hint="default"/>
              </w:rPr>
              <w:t>6</w:t>
            </w:r>
          </w:p>
        </w:tc>
        <w:tc>
          <w:tcPr>
            <w:tcW w:w="796" w:type="pct"/>
            <w:gridSpan w:val="2"/>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于右任监察院办公室</w:t>
            </w:r>
          </w:p>
        </w:tc>
        <w:tc>
          <w:tcPr>
            <w:tcW w:w="552"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沙坪坝区歌乐山街道金刚村金刚坡1号</w:t>
            </w:r>
          </w:p>
        </w:tc>
        <w:tc>
          <w:tcPr>
            <w:tcW w:w="401"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近现代重要史迹及代表性建筑</w:t>
            </w:r>
          </w:p>
        </w:tc>
        <w:tc>
          <w:tcPr>
            <w:tcW w:w="320" w:type="pct"/>
            <w:vAlign w:val="center"/>
          </w:tcPr>
          <w:p>
            <w:pPr>
              <w:pStyle w:val="39"/>
              <w:keepNext w:val="0"/>
              <w:keepLines w:val="0"/>
              <w:widowControl/>
              <w:suppressLineNumbers w:val="0"/>
              <w:spacing w:before="0" w:beforeAutospacing="0" w:after="0" w:afterAutospacing="0"/>
              <w:ind w:left="0" w:right="0"/>
              <w:jc w:val="center"/>
              <w:rPr>
                <w:rFonts w:hint="default"/>
              </w:rPr>
            </w:pPr>
            <w:r>
              <w:rPr>
                <w:rFonts w:hint="default"/>
              </w:rPr>
              <w:t>区保</w:t>
            </w:r>
          </w:p>
        </w:tc>
        <w:tc>
          <w:tcPr>
            <w:tcW w:w="1377"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东至院坝东侧边线11.7米；南至土房子南侧7米；西至文物建筑西侧边线10米；北至等高线489.09米。</w:t>
            </w:r>
          </w:p>
        </w:tc>
        <w:tc>
          <w:tcPr>
            <w:tcW w:w="1252"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东至建筑东侧边线22.4米；南至等高线498.18米；西至保护范围西界向西外扩18米；北至保护范围北界向北外扩19米。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299" w:type="pct"/>
            <w:vAlign w:val="center"/>
          </w:tcPr>
          <w:p>
            <w:pPr>
              <w:pStyle w:val="39"/>
              <w:keepNext w:val="0"/>
              <w:keepLines w:val="0"/>
              <w:widowControl/>
              <w:suppressLineNumbers w:val="0"/>
              <w:spacing w:before="0" w:beforeAutospacing="0" w:after="0" w:afterAutospacing="0"/>
              <w:ind w:left="0" w:right="0"/>
              <w:jc w:val="center"/>
              <w:rPr>
                <w:rFonts w:hint="default"/>
              </w:rPr>
            </w:pPr>
            <w:r>
              <w:rPr>
                <w:rFonts w:hint="default"/>
              </w:rPr>
              <w:t>7</w:t>
            </w:r>
          </w:p>
        </w:tc>
        <w:tc>
          <w:tcPr>
            <w:tcW w:w="796" w:type="pct"/>
            <w:gridSpan w:val="2"/>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重庆市政府驻郊区办事处</w:t>
            </w:r>
          </w:p>
        </w:tc>
        <w:tc>
          <w:tcPr>
            <w:tcW w:w="552"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沙坪坝区山洞街道山洞社区山洞路17号</w:t>
            </w:r>
          </w:p>
        </w:tc>
        <w:tc>
          <w:tcPr>
            <w:tcW w:w="401"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近现代重要史迹及代表性建筑</w:t>
            </w:r>
          </w:p>
        </w:tc>
        <w:tc>
          <w:tcPr>
            <w:tcW w:w="320" w:type="pct"/>
            <w:vAlign w:val="center"/>
          </w:tcPr>
          <w:p>
            <w:pPr>
              <w:pStyle w:val="39"/>
              <w:keepNext w:val="0"/>
              <w:keepLines w:val="0"/>
              <w:widowControl/>
              <w:suppressLineNumbers w:val="0"/>
              <w:spacing w:before="0" w:beforeAutospacing="0" w:after="0" w:afterAutospacing="0"/>
              <w:ind w:left="0" w:right="0"/>
              <w:jc w:val="center"/>
              <w:rPr>
                <w:rFonts w:hint="default"/>
              </w:rPr>
            </w:pPr>
            <w:r>
              <w:rPr>
                <w:rFonts w:hint="default"/>
              </w:rPr>
              <w:t>区保</w:t>
            </w:r>
          </w:p>
        </w:tc>
        <w:tc>
          <w:tcPr>
            <w:tcW w:w="1377"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东至建筑东侧边线9米；南至文物建筑南侧边线10米；西至道路8米；北至道路10米。</w:t>
            </w:r>
          </w:p>
        </w:tc>
        <w:tc>
          <w:tcPr>
            <w:tcW w:w="1252"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东至保护范围东界向东外扩22米；南至建筑北侧12米；西至道路东侧12米；北至保护范围北界向北外扩18米。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299" w:type="pct"/>
            <w:vMerge w:val="restart"/>
            <w:vAlign w:val="center"/>
          </w:tcPr>
          <w:p>
            <w:pPr>
              <w:pStyle w:val="39"/>
              <w:keepNext w:val="0"/>
              <w:keepLines w:val="0"/>
              <w:widowControl/>
              <w:suppressLineNumbers w:val="0"/>
              <w:spacing w:before="0" w:beforeAutospacing="0" w:after="0" w:afterAutospacing="0"/>
              <w:ind w:left="0" w:right="0"/>
              <w:jc w:val="center"/>
              <w:rPr>
                <w:rFonts w:hint="default"/>
              </w:rPr>
            </w:pPr>
            <w:r>
              <w:rPr>
                <w:rFonts w:hint="default"/>
              </w:rPr>
              <w:t>8</w:t>
            </w:r>
          </w:p>
        </w:tc>
        <w:tc>
          <w:tcPr>
            <w:tcW w:w="406" w:type="pct"/>
            <w:vMerge w:val="restart"/>
            <w:vAlign w:val="center"/>
          </w:tcPr>
          <w:p>
            <w:pPr>
              <w:pStyle w:val="39"/>
              <w:keepNext w:val="0"/>
              <w:keepLines w:val="0"/>
              <w:widowControl/>
              <w:suppressLineNumbers w:val="0"/>
              <w:spacing w:before="0" w:beforeAutospacing="0" w:after="0" w:afterAutospacing="0"/>
              <w:ind w:left="0" w:right="0"/>
              <w:jc w:val="both"/>
              <w:rPr>
                <w:rFonts w:hint="default"/>
              </w:rPr>
            </w:pPr>
            <w:r>
              <w:rPr>
                <w:rFonts w:hint="default"/>
              </w:rPr>
              <w:t>磁器口古建筑群</w:t>
            </w:r>
          </w:p>
        </w:tc>
        <w:tc>
          <w:tcPr>
            <w:tcW w:w="390"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文昌宫寨门</w:t>
            </w:r>
          </w:p>
        </w:tc>
        <w:tc>
          <w:tcPr>
            <w:tcW w:w="552"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沙坪坝区磁器口街道工人新村5号旁</w:t>
            </w:r>
          </w:p>
        </w:tc>
        <w:tc>
          <w:tcPr>
            <w:tcW w:w="401"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古遗址</w:t>
            </w:r>
          </w:p>
        </w:tc>
        <w:tc>
          <w:tcPr>
            <w:tcW w:w="320" w:type="pct"/>
            <w:vMerge w:val="restart"/>
            <w:vAlign w:val="center"/>
          </w:tcPr>
          <w:p>
            <w:pPr>
              <w:pStyle w:val="39"/>
              <w:keepNext w:val="0"/>
              <w:keepLines w:val="0"/>
              <w:widowControl/>
              <w:suppressLineNumbers w:val="0"/>
              <w:spacing w:before="0" w:beforeAutospacing="0" w:after="0" w:afterAutospacing="0"/>
              <w:ind w:left="0" w:right="0"/>
              <w:jc w:val="center"/>
              <w:rPr>
                <w:rFonts w:hint="default"/>
              </w:rPr>
            </w:pPr>
            <w:r>
              <w:rPr>
                <w:rFonts w:hint="default"/>
              </w:rPr>
              <w:t>区保</w:t>
            </w:r>
          </w:p>
        </w:tc>
        <w:tc>
          <w:tcPr>
            <w:tcW w:w="1377"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东至院坝边线；南至堡坎8.9米；西至文物本体西侧5.9米；北至院坝10米。</w:t>
            </w:r>
          </w:p>
        </w:tc>
        <w:tc>
          <w:tcPr>
            <w:tcW w:w="1252"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东至等高线170.42米；南至等高线172.51米；西至堡坎15.4米；北至保护范围北界向北外扩20.8米。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299" w:type="pct"/>
            <w:vMerge w:val="continue"/>
            <w:vAlign w:val="center"/>
          </w:tcPr>
          <w:p>
            <w:pPr>
              <w:pStyle w:val="39"/>
              <w:keepNext w:val="0"/>
              <w:keepLines w:val="0"/>
              <w:widowControl/>
              <w:suppressLineNumbers w:val="0"/>
              <w:spacing w:before="0" w:beforeAutospacing="0" w:after="0" w:afterAutospacing="0"/>
              <w:ind w:left="0" w:right="0"/>
              <w:rPr>
                <w:rFonts w:hint="default"/>
              </w:rPr>
            </w:pPr>
          </w:p>
        </w:tc>
        <w:tc>
          <w:tcPr>
            <w:tcW w:w="406" w:type="pct"/>
            <w:vMerge w:val="continue"/>
            <w:vAlign w:val="center"/>
          </w:tcPr>
          <w:p>
            <w:pPr>
              <w:pStyle w:val="39"/>
              <w:keepNext w:val="0"/>
              <w:keepLines w:val="0"/>
              <w:widowControl/>
              <w:suppressLineNumbers w:val="0"/>
              <w:spacing w:before="0" w:beforeAutospacing="0" w:after="0" w:afterAutospacing="0"/>
              <w:ind w:left="0" w:right="0"/>
              <w:rPr>
                <w:rFonts w:hint="default"/>
              </w:rPr>
            </w:pPr>
          </w:p>
        </w:tc>
        <w:tc>
          <w:tcPr>
            <w:tcW w:w="390"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架高来石刻</w:t>
            </w:r>
          </w:p>
        </w:tc>
        <w:tc>
          <w:tcPr>
            <w:tcW w:w="552"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沙坪坝区磁器口街道工人新村嘉陵江边旁</w:t>
            </w:r>
          </w:p>
        </w:tc>
        <w:tc>
          <w:tcPr>
            <w:tcW w:w="401"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石窟寺及石刻</w:t>
            </w:r>
          </w:p>
        </w:tc>
        <w:tc>
          <w:tcPr>
            <w:tcW w:w="320" w:type="pct"/>
            <w:vMerge w:val="continue"/>
            <w:vAlign w:val="center"/>
          </w:tcPr>
          <w:p>
            <w:pPr>
              <w:pStyle w:val="39"/>
              <w:keepNext w:val="0"/>
              <w:keepLines w:val="0"/>
              <w:widowControl/>
              <w:suppressLineNumbers w:val="0"/>
              <w:spacing w:before="0" w:beforeAutospacing="0" w:after="0" w:afterAutospacing="0"/>
              <w:ind w:left="0" w:right="0"/>
              <w:jc w:val="center"/>
              <w:rPr>
                <w:rFonts w:hint="default"/>
              </w:rPr>
            </w:pPr>
          </w:p>
        </w:tc>
        <w:tc>
          <w:tcPr>
            <w:tcW w:w="1377"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东至文物建筑东侧边线10.1米；南至建筑北侧边线；西至堡坎10.9米；北至文物建筑北侧边线9.9米。（此保护范围包括架高来石刻、江防碉堡）</w:t>
            </w:r>
          </w:p>
        </w:tc>
        <w:tc>
          <w:tcPr>
            <w:tcW w:w="1252"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东至等高线170.33米；南至保护范围线外19.5米；西至院坝17.8米；北至保护范围线外17.3米。（此建设控制地带包括架高来石刻、江防碉堡）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9" w:type="pct"/>
            <w:vMerge w:val="continue"/>
            <w:vAlign w:val="center"/>
          </w:tcPr>
          <w:p>
            <w:pPr>
              <w:pStyle w:val="39"/>
              <w:keepNext w:val="0"/>
              <w:keepLines w:val="0"/>
              <w:widowControl/>
              <w:suppressLineNumbers w:val="0"/>
              <w:spacing w:before="0" w:beforeAutospacing="0" w:after="0" w:afterAutospacing="0"/>
              <w:ind w:left="0" w:right="0"/>
              <w:rPr>
                <w:rFonts w:hint="default"/>
              </w:rPr>
            </w:pPr>
          </w:p>
        </w:tc>
        <w:tc>
          <w:tcPr>
            <w:tcW w:w="406" w:type="pct"/>
            <w:vMerge w:val="continue"/>
            <w:vAlign w:val="center"/>
          </w:tcPr>
          <w:p>
            <w:pPr>
              <w:pStyle w:val="39"/>
              <w:keepNext w:val="0"/>
              <w:keepLines w:val="0"/>
              <w:widowControl/>
              <w:suppressLineNumbers w:val="0"/>
              <w:spacing w:before="0" w:beforeAutospacing="0" w:after="0" w:afterAutospacing="0"/>
              <w:ind w:left="0" w:right="0"/>
              <w:rPr>
                <w:rFonts w:hint="default"/>
              </w:rPr>
            </w:pPr>
          </w:p>
        </w:tc>
        <w:tc>
          <w:tcPr>
            <w:tcW w:w="390"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幸福街7号民居</w:t>
            </w:r>
          </w:p>
        </w:tc>
        <w:tc>
          <w:tcPr>
            <w:tcW w:w="552"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沙坪坝区磁器口街道幸福街7号</w:t>
            </w:r>
          </w:p>
        </w:tc>
        <w:tc>
          <w:tcPr>
            <w:tcW w:w="401"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古建筑</w:t>
            </w:r>
          </w:p>
        </w:tc>
        <w:tc>
          <w:tcPr>
            <w:tcW w:w="320" w:type="pct"/>
            <w:vMerge w:val="continue"/>
            <w:vAlign w:val="center"/>
          </w:tcPr>
          <w:p>
            <w:pPr>
              <w:pStyle w:val="39"/>
              <w:keepNext w:val="0"/>
              <w:keepLines w:val="0"/>
              <w:widowControl/>
              <w:suppressLineNumbers w:val="0"/>
              <w:spacing w:before="0" w:beforeAutospacing="0" w:after="0" w:afterAutospacing="0"/>
              <w:ind w:left="0" w:right="0"/>
              <w:jc w:val="center"/>
              <w:rPr>
                <w:rFonts w:hint="default"/>
              </w:rPr>
            </w:pPr>
          </w:p>
        </w:tc>
        <w:tc>
          <w:tcPr>
            <w:tcW w:w="1377"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东至建筑东侧边线；南至人行步道；西至建筑西侧边线；北至堡坎顶部。</w:t>
            </w:r>
          </w:p>
        </w:tc>
        <w:tc>
          <w:tcPr>
            <w:tcW w:w="1252"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 xml:space="preserve">位于磁器口历史文化街区核心保护范围内，不另行划定建设控制地带，以历史文化街区建设控制地带要求为准。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299" w:type="pct"/>
            <w:vMerge w:val="continue"/>
            <w:vAlign w:val="center"/>
          </w:tcPr>
          <w:p>
            <w:pPr>
              <w:pStyle w:val="39"/>
              <w:keepNext w:val="0"/>
              <w:keepLines w:val="0"/>
              <w:widowControl/>
              <w:suppressLineNumbers w:val="0"/>
              <w:spacing w:before="0" w:beforeAutospacing="0" w:after="0" w:afterAutospacing="0"/>
              <w:ind w:left="0" w:right="0"/>
              <w:rPr>
                <w:rFonts w:hint="default"/>
              </w:rPr>
            </w:pPr>
          </w:p>
        </w:tc>
        <w:tc>
          <w:tcPr>
            <w:tcW w:w="406" w:type="pct"/>
            <w:vMerge w:val="continue"/>
            <w:vAlign w:val="center"/>
          </w:tcPr>
          <w:p>
            <w:pPr>
              <w:pStyle w:val="39"/>
              <w:keepNext w:val="0"/>
              <w:keepLines w:val="0"/>
              <w:widowControl/>
              <w:suppressLineNumbers w:val="0"/>
              <w:spacing w:before="0" w:beforeAutospacing="0" w:after="0" w:afterAutospacing="0"/>
              <w:ind w:left="0" w:right="0"/>
              <w:rPr>
                <w:rFonts w:hint="default"/>
              </w:rPr>
            </w:pPr>
          </w:p>
        </w:tc>
        <w:tc>
          <w:tcPr>
            <w:tcW w:w="390"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幸福街21、39、55号民居</w:t>
            </w:r>
          </w:p>
        </w:tc>
        <w:tc>
          <w:tcPr>
            <w:tcW w:w="552"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沙坪坝区磁器口街道幸福街21号、39号、55号</w:t>
            </w:r>
          </w:p>
        </w:tc>
        <w:tc>
          <w:tcPr>
            <w:tcW w:w="401"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古建筑</w:t>
            </w:r>
          </w:p>
        </w:tc>
        <w:tc>
          <w:tcPr>
            <w:tcW w:w="320" w:type="pct"/>
            <w:vMerge w:val="continue"/>
            <w:vAlign w:val="center"/>
          </w:tcPr>
          <w:p>
            <w:pPr>
              <w:pStyle w:val="39"/>
              <w:keepNext w:val="0"/>
              <w:keepLines w:val="0"/>
              <w:widowControl/>
              <w:suppressLineNumbers w:val="0"/>
              <w:spacing w:before="0" w:beforeAutospacing="0" w:after="0" w:afterAutospacing="0"/>
              <w:ind w:left="0" w:right="0"/>
              <w:jc w:val="center"/>
              <w:rPr>
                <w:rFonts w:hint="default"/>
              </w:rPr>
            </w:pPr>
          </w:p>
        </w:tc>
        <w:tc>
          <w:tcPr>
            <w:tcW w:w="1377"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东至人行步道；南至建筑北侧外墙线；西至砖墙外墙线；北至砖3建筑北侧外墙线。</w:t>
            </w:r>
          </w:p>
        </w:tc>
        <w:tc>
          <w:tcPr>
            <w:tcW w:w="1252"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位于磁器口历史文化街区核心保护范围内，以历史文化街区建设控制地带要求为准。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299" w:type="pct"/>
            <w:vMerge w:val="continue"/>
            <w:vAlign w:val="center"/>
          </w:tcPr>
          <w:p>
            <w:pPr>
              <w:pStyle w:val="39"/>
              <w:keepNext w:val="0"/>
              <w:keepLines w:val="0"/>
              <w:widowControl/>
              <w:suppressLineNumbers w:val="0"/>
              <w:spacing w:before="0" w:beforeAutospacing="0" w:after="0" w:afterAutospacing="0"/>
              <w:ind w:left="0" w:right="0"/>
              <w:rPr>
                <w:rFonts w:hint="default"/>
              </w:rPr>
            </w:pPr>
          </w:p>
        </w:tc>
        <w:tc>
          <w:tcPr>
            <w:tcW w:w="406" w:type="pct"/>
            <w:vMerge w:val="continue"/>
            <w:vAlign w:val="center"/>
          </w:tcPr>
          <w:p>
            <w:pPr>
              <w:pStyle w:val="39"/>
              <w:keepNext w:val="0"/>
              <w:keepLines w:val="0"/>
              <w:widowControl/>
              <w:suppressLineNumbers w:val="0"/>
              <w:spacing w:before="0" w:beforeAutospacing="0" w:after="0" w:afterAutospacing="0"/>
              <w:ind w:left="0" w:right="0"/>
              <w:rPr>
                <w:rFonts w:hint="default"/>
              </w:rPr>
            </w:pPr>
          </w:p>
        </w:tc>
        <w:tc>
          <w:tcPr>
            <w:tcW w:w="390"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金蓉桥</w:t>
            </w:r>
          </w:p>
        </w:tc>
        <w:tc>
          <w:tcPr>
            <w:tcW w:w="552"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沙坪坝区磁器口江边东林停车场旁</w:t>
            </w:r>
          </w:p>
        </w:tc>
        <w:tc>
          <w:tcPr>
            <w:tcW w:w="401"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古建筑</w:t>
            </w:r>
          </w:p>
        </w:tc>
        <w:tc>
          <w:tcPr>
            <w:tcW w:w="320" w:type="pct"/>
            <w:vMerge w:val="continue"/>
            <w:vAlign w:val="center"/>
          </w:tcPr>
          <w:p>
            <w:pPr>
              <w:pStyle w:val="39"/>
              <w:keepNext w:val="0"/>
              <w:keepLines w:val="0"/>
              <w:widowControl/>
              <w:suppressLineNumbers w:val="0"/>
              <w:spacing w:before="0" w:beforeAutospacing="0" w:after="0" w:afterAutospacing="0"/>
              <w:ind w:left="0" w:right="0"/>
              <w:jc w:val="center"/>
              <w:rPr>
                <w:rFonts w:hint="default"/>
              </w:rPr>
            </w:pPr>
          </w:p>
        </w:tc>
        <w:tc>
          <w:tcPr>
            <w:tcW w:w="1377"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东至人行步道9米；南至文物本体北侧9.1米；西至堡坎顶部；北至文物本体北侧10.6米。</w:t>
            </w:r>
          </w:p>
        </w:tc>
        <w:tc>
          <w:tcPr>
            <w:tcW w:w="1252"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位于磁器口历史文化街区核心保护范围内，以历史文化街区建设控制地带要求为准。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299" w:type="pct"/>
            <w:vMerge w:val="continue"/>
            <w:vAlign w:val="center"/>
          </w:tcPr>
          <w:p>
            <w:pPr>
              <w:pStyle w:val="39"/>
              <w:keepNext w:val="0"/>
              <w:keepLines w:val="0"/>
              <w:widowControl/>
              <w:suppressLineNumbers w:val="0"/>
              <w:spacing w:before="0" w:beforeAutospacing="0" w:after="0" w:afterAutospacing="0"/>
              <w:ind w:left="0" w:right="0"/>
              <w:rPr>
                <w:rFonts w:hint="default"/>
              </w:rPr>
            </w:pPr>
          </w:p>
        </w:tc>
        <w:tc>
          <w:tcPr>
            <w:tcW w:w="406" w:type="pct"/>
            <w:vMerge w:val="continue"/>
            <w:vAlign w:val="center"/>
          </w:tcPr>
          <w:p>
            <w:pPr>
              <w:pStyle w:val="39"/>
              <w:keepNext w:val="0"/>
              <w:keepLines w:val="0"/>
              <w:widowControl/>
              <w:suppressLineNumbers w:val="0"/>
              <w:spacing w:before="0" w:beforeAutospacing="0" w:after="0" w:afterAutospacing="0"/>
              <w:ind w:left="0" w:right="0"/>
              <w:rPr>
                <w:rFonts w:hint="default"/>
              </w:rPr>
            </w:pPr>
          </w:p>
        </w:tc>
        <w:tc>
          <w:tcPr>
            <w:tcW w:w="390"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仁寿桥</w:t>
            </w:r>
          </w:p>
        </w:tc>
        <w:tc>
          <w:tcPr>
            <w:tcW w:w="552"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沙坪坝区磁器口街道七中B区后门</w:t>
            </w:r>
          </w:p>
        </w:tc>
        <w:tc>
          <w:tcPr>
            <w:tcW w:w="401"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古建筑</w:t>
            </w:r>
          </w:p>
        </w:tc>
        <w:tc>
          <w:tcPr>
            <w:tcW w:w="320" w:type="pct"/>
            <w:vMerge w:val="continue"/>
            <w:vAlign w:val="center"/>
          </w:tcPr>
          <w:p>
            <w:pPr>
              <w:pStyle w:val="39"/>
              <w:keepNext w:val="0"/>
              <w:keepLines w:val="0"/>
              <w:widowControl/>
              <w:suppressLineNumbers w:val="0"/>
              <w:spacing w:before="0" w:beforeAutospacing="0" w:after="0" w:afterAutospacing="0"/>
              <w:ind w:left="0" w:right="0"/>
              <w:jc w:val="center"/>
              <w:rPr>
                <w:rFonts w:hint="default"/>
              </w:rPr>
            </w:pPr>
          </w:p>
        </w:tc>
        <w:tc>
          <w:tcPr>
            <w:tcW w:w="1377"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东至仁寿桥西侧道路边线7.6米；南至人行步道8.6米；西至文物本体西侧9.2米；北至坡底平地南侧边线。</w:t>
            </w:r>
          </w:p>
        </w:tc>
        <w:tc>
          <w:tcPr>
            <w:tcW w:w="1252"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东至保护范围东界向东外扩20.1米；南至道路18.7米；西至保护范围西界向西外扩18米；北至堡坎顶部。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9" w:type="pct"/>
            <w:vMerge w:val="continue"/>
            <w:vAlign w:val="center"/>
          </w:tcPr>
          <w:p>
            <w:pPr>
              <w:pStyle w:val="39"/>
              <w:keepNext w:val="0"/>
              <w:keepLines w:val="0"/>
              <w:widowControl/>
              <w:suppressLineNumbers w:val="0"/>
              <w:spacing w:before="0" w:beforeAutospacing="0" w:after="0" w:afterAutospacing="0"/>
              <w:ind w:left="0" w:right="0"/>
              <w:rPr>
                <w:rFonts w:hint="default"/>
              </w:rPr>
            </w:pPr>
          </w:p>
        </w:tc>
        <w:tc>
          <w:tcPr>
            <w:tcW w:w="406" w:type="pct"/>
            <w:vMerge w:val="continue"/>
            <w:vAlign w:val="center"/>
          </w:tcPr>
          <w:p>
            <w:pPr>
              <w:pStyle w:val="39"/>
              <w:keepNext w:val="0"/>
              <w:keepLines w:val="0"/>
              <w:widowControl/>
              <w:suppressLineNumbers w:val="0"/>
              <w:spacing w:before="0" w:beforeAutospacing="0" w:after="0" w:afterAutospacing="0"/>
              <w:ind w:left="0" w:right="0"/>
              <w:rPr>
                <w:rFonts w:hint="default"/>
              </w:rPr>
            </w:pPr>
          </w:p>
        </w:tc>
        <w:tc>
          <w:tcPr>
            <w:tcW w:w="390"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宝善宫</w:t>
            </w:r>
          </w:p>
        </w:tc>
        <w:tc>
          <w:tcPr>
            <w:tcW w:w="552"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沙坪坝区磁器口正街128号</w:t>
            </w:r>
          </w:p>
        </w:tc>
        <w:tc>
          <w:tcPr>
            <w:tcW w:w="401"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古建筑</w:t>
            </w:r>
          </w:p>
        </w:tc>
        <w:tc>
          <w:tcPr>
            <w:tcW w:w="320" w:type="pct"/>
            <w:vMerge w:val="continue"/>
            <w:vAlign w:val="center"/>
          </w:tcPr>
          <w:p>
            <w:pPr>
              <w:pStyle w:val="39"/>
              <w:keepNext w:val="0"/>
              <w:keepLines w:val="0"/>
              <w:widowControl/>
              <w:suppressLineNumbers w:val="0"/>
              <w:spacing w:before="0" w:beforeAutospacing="0" w:after="0" w:afterAutospacing="0"/>
              <w:ind w:left="0" w:right="0"/>
              <w:jc w:val="center"/>
              <w:rPr>
                <w:rFonts w:hint="default"/>
              </w:rPr>
            </w:pPr>
          </w:p>
        </w:tc>
        <w:tc>
          <w:tcPr>
            <w:tcW w:w="1377"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东至道路东侧边线14.1米；南至建筑南侧边线12米；西至商业用地东侧边线4.5米；北至木房子北侧建筑边线22.2米。</w:t>
            </w:r>
          </w:p>
        </w:tc>
        <w:tc>
          <w:tcPr>
            <w:tcW w:w="1252"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位于磁器口历史文化街区核心保护范围内，不另行划定建设控制地带，以历史文化街区建设控制地带要求为准。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299" w:type="pct"/>
            <w:vMerge w:val="continue"/>
            <w:vAlign w:val="center"/>
          </w:tcPr>
          <w:p>
            <w:pPr>
              <w:pStyle w:val="39"/>
              <w:keepNext w:val="0"/>
              <w:keepLines w:val="0"/>
              <w:widowControl/>
              <w:suppressLineNumbers w:val="0"/>
              <w:spacing w:before="0" w:beforeAutospacing="0" w:after="0" w:afterAutospacing="0"/>
              <w:ind w:left="0" w:right="0"/>
              <w:rPr>
                <w:rFonts w:hint="default"/>
              </w:rPr>
            </w:pPr>
          </w:p>
        </w:tc>
        <w:tc>
          <w:tcPr>
            <w:tcW w:w="406" w:type="pct"/>
            <w:vMerge w:val="continue"/>
            <w:vAlign w:val="center"/>
          </w:tcPr>
          <w:p>
            <w:pPr>
              <w:pStyle w:val="39"/>
              <w:keepNext w:val="0"/>
              <w:keepLines w:val="0"/>
              <w:widowControl/>
              <w:suppressLineNumbers w:val="0"/>
              <w:spacing w:before="0" w:beforeAutospacing="0" w:after="0" w:afterAutospacing="0"/>
              <w:ind w:left="0" w:right="0"/>
              <w:rPr>
                <w:rFonts w:hint="default"/>
              </w:rPr>
            </w:pPr>
          </w:p>
        </w:tc>
        <w:tc>
          <w:tcPr>
            <w:tcW w:w="390"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钟家院</w:t>
            </w:r>
          </w:p>
        </w:tc>
        <w:tc>
          <w:tcPr>
            <w:tcW w:w="552"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沙坪坝区磁器口黄桷坪一巷</w:t>
            </w:r>
          </w:p>
        </w:tc>
        <w:tc>
          <w:tcPr>
            <w:tcW w:w="401"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古建筑</w:t>
            </w:r>
          </w:p>
        </w:tc>
        <w:tc>
          <w:tcPr>
            <w:tcW w:w="320" w:type="pct"/>
            <w:vMerge w:val="continue"/>
            <w:vAlign w:val="center"/>
          </w:tcPr>
          <w:p>
            <w:pPr>
              <w:pStyle w:val="39"/>
              <w:keepNext w:val="0"/>
              <w:keepLines w:val="0"/>
              <w:widowControl/>
              <w:suppressLineNumbers w:val="0"/>
              <w:spacing w:before="0" w:beforeAutospacing="0" w:after="0" w:afterAutospacing="0"/>
              <w:ind w:left="0" w:right="0"/>
              <w:jc w:val="center"/>
              <w:rPr>
                <w:rFonts w:hint="default"/>
              </w:rPr>
            </w:pPr>
          </w:p>
        </w:tc>
        <w:tc>
          <w:tcPr>
            <w:tcW w:w="1377"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东至道路11.1米；南至院坝12.3米；西至建筑西侧边线20.4米；北至规划商业用地地块边线。</w:t>
            </w:r>
          </w:p>
        </w:tc>
        <w:tc>
          <w:tcPr>
            <w:tcW w:w="1252"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位于磁器口历史文化街区核心保护范围内，不另行划定建设控制地带，以历史文化街区建设控制地带要求为准。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299" w:type="pct"/>
            <w:vAlign w:val="center"/>
          </w:tcPr>
          <w:p>
            <w:pPr>
              <w:pStyle w:val="39"/>
              <w:keepNext w:val="0"/>
              <w:keepLines w:val="0"/>
              <w:widowControl/>
              <w:suppressLineNumbers w:val="0"/>
              <w:spacing w:before="0" w:beforeAutospacing="0" w:after="0" w:afterAutospacing="0"/>
              <w:ind w:left="0" w:right="0"/>
              <w:jc w:val="center"/>
              <w:rPr>
                <w:rFonts w:hint="default"/>
              </w:rPr>
            </w:pPr>
            <w:r>
              <w:rPr>
                <w:rFonts w:hint="default"/>
              </w:rPr>
              <w:t>9</w:t>
            </w:r>
          </w:p>
        </w:tc>
        <w:tc>
          <w:tcPr>
            <w:tcW w:w="796" w:type="pct"/>
            <w:gridSpan w:val="2"/>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项家院</w:t>
            </w:r>
          </w:p>
        </w:tc>
        <w:tc>
          <w:tcPr>
            <w:tcW w:w="552"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沙坪坝区渝碚路街道汉渝路社区重庆一中校园内</w:t>
            </w:r>
          </w:p>
        </w:tc>
        <w:tc>
          <w:tcPr>
            <w:tcW w:w="401"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近现代重要史迹及代表性建筑</w:t>
            </w:r>
          </w:p>
        </w:tc>
        <w:tc>
          <w:tcPr>
            <w:tcW w:w="320" w:type="pct"/>
            <w:vAlign w:val="center"/>
          </w:tcPr>
          <w:p>
            <w:pPr>
              <w:pStyle w:val="39"/>
              <w:keepNext w:val="0"/>
              <w:keepLines w:val="0"/>
              <w:widowControl/>
              <w:suppressLineNumbers w:val="0"/>
              <w:spacing w:before="0" w:beforeAutospacing="0" w:after="0" w:afterAutospacing="0"/>
              <w:ind w:left="0" w:right="0"/>
              <w:jc w:val="center"/>
              <w:rPr>
                <w:rFonts w:hint="default"/>
              </w:rPr>
            </w:pPr>
            <w:r>
              <w:rPr>
                <w:rFonts w:hint="default"/>
              </w:rPr>
              <w:t>区保</w:t>
            </w:r>
          </w:p>
        </w:tc>
        <w:tc>
          <w:tcPr>
            <w:tcW w:w="1377"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东至花台16米；南至道路边线6米；西至网球场西侧边线22米；北至砼7南侧边线8米。</w:t>
            </w:r>
          </w:p>
        </w:tc>
        <w:tc>
          <w:tcPr>
            <w:tcW w:w="1252" w:type="pct"/>
            <w:vAlign w:val="center"/>
          </w:tcPr>
          <w:p>
            <w:pPr>
              <w:pStyle w:val="39"/>
              <w:keepNext w:val="0"/>
              <w:keepLines w:val="0"/>
              <w:widowControl/>
              <w:suppressLineNumbers w:val="0"/>
              <w:spacing w:before="0" w:beforeAutospacing="0" w:after="0" w:afterAutospacing="0"/>
              <w:ind w:left="0" w:right="0"/>
              <w:rPr>
                <w:rFonts w:hint="default"/>
              </w:rPr>
            </w:pPr>
            <w:r>
              <w:rPr>
                <w:rFonts w:hint="default"/>
              </w:rPr>
              <w:t>东至道路东侧边线11米；南至保护范围南界向南外扩17米；西至道路边线14米；北至保护范围北界向北外扩18米。</w:t>
            </w:r>
          </w:p>
        </w:tc>
      </w:tr>
    </w:tbl>
    <w:p>
      <w:pPr>
        <w:pStyle w:val="25"/>
      </w:pPr>
      <w:r>
        <w:rPr>
          <w:rFonts w:hint="eastAsia"/>
        </w:rPr>
        <w:t>附件2</w:t>
      </w:r>
    </w:p>
    <w:p>
      <w:pPr>
        <w:jc w:val="center"/>
      </w:pPr>
      <w:r>
        <w:rPr>
          <w:rFonts w:hint="eastAsia" w:ascii="方正黑体_GBK" w:eastAsia="方正黑体_GBK"/>
          <w:color w:val="000000"/>
          <w:sz w:val="32"/>
          <w:szCs w:val="32"/>
        </w:rPr>
        <w:drawing>
          <wp:inline distT="0" distB="0" distL="114300" distR="114300">
            <wp:extent cx="6452870" cy="4591050"/>
            <wp:effectExtent l="0" t="0" r="5080" b="0"/>
            <wp:docPr id="17"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true"/>
                    </pic:cNvPicPr>
                  </pic:nvPicPr>
                  <pic:blipFill>
                    <a:blip r:embed="rId6"/>
                    <a:srcRect l="6588" t="4794" r="3674" b="4944"/>
                    <a:stretch>
                      <a:fillRect/>
                    </a:stretch>
                  </pic:blipFill>
                  <pic:spPr>
                    <a:xfrm>
                      <a:off x="0" y="0"/>
                      <a:ext cx="6452870" cy="4591050"/>
                    </a:xfrm>
                    <a:prstGeom prst="rect">
                      <a:avLst/>
                    </a:prstGeom>
                    <a:noFill/>
                    <a:ln>
                      <a:noFill/>
                    </a:ln>
                  </pic:spPr>
                </pic:pic>
              </a:graphicData>
            </a:graphic>
          </wp:inline>
        </w:drawing>
      </w:r>
    </w:p>
    <w:p>
      <w:pPr>
        <w:jc w:val="center"/>
      </w:pPr>
      <w:r>
        <w:rPr>
          <w:color w:val="000000"/>
        </w:rPr>
        <w:drawing>
          <wp:inline distT="0" distB="0" distL="114300" distR="114300">
            <wp:extent cx="6711315" cy="4787900"/>
            <wp:effectExtent l="0" t="0" r="13335" b="12700"/>
            <wp:docPr id="18" name="图片 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31"/>
                    <pic:cNvPicPr>
                      <a:picLocks noChangeAspect="true"/>
                    </pic:cNvPicPr>
                  </pic:nvPicPr>
                  <pic:blipFill>
                    <a:blip r:embed="rId7"/>
                    <a:srcRect l="6859" t="4656" r="3200" b="4632"/>
                    <a:stretch>
                      <a:fillRect/>
                    </a:stretch>
                  </pic:blipFill>
                  <pic:spPr>
                    <a:xfrm>
                      <a:off x="0" y="0"/>
                      <a:ext cx="6711315" cy="4787900"/>
                    </a:xfrm>
                    <a:prstGeom prst="rect">
                      <a:avLst/>
                    </a:prstGeom>
                    <a:noFill/>
                    <a:ln>
                      <a:noFill/>
                    </a:ln>
                  </pic:spPr>
                </pic:pic>
              </a:graphicData>
            </a:graphic>
          </wp:inline>
        </w:drawing>
      </w:r>
    </w:p>
    <w:p>
      <w:pPr>
        <w:jc w:val="center"/>
      </w:pPr>
      <w:r>
        <w:rPr>
          <w:rFonts w:ascii="方正仿宋_GBK" w:eastAsia="方正仿宋_GBK"/>
          <w:color w:val="000000"/>
          <w:sz w:val="32"/>
          <w:szCs w:val="32"/>
        </w:rPr>
        <w:drawing>
          <wp:inline distT="0" distB="0" distL="114300" distR="114300">
            <wp:extent cx="6728460" cy="4796790"/>
            <wp:effectExtent l="0" t="0" r="15240" b="3810"/>
            <wp:docPr id="19" name="图片 4" descr="11四川省立教育学院旧址_看图王"/>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4" descr="11四川省立教育学院旧址_看图王"/>
                    <pic:cNvPicPr>
                      <a:picLocks noChangeAspect="true"/>
                    </pic:cNvPicPr>
                  </pic:nvPicPr>
                  <pic:blipFill>
                    <a:blip r:embed="rId8"/>
                    <a:srcRect l="6582" t="4454" r="3193" b="4611"/>
                    <a:stretch>
                      <a:fillRect/>
                    </a:stretch>
                  </pic:blipFill>
                  <pic:spPr>
                    <a:xfrm>
                      <a:off x="0" y="0"/>
                      <a:ext cx="6728460" cy="4796790"/>
                    </a:xfrm>
                    <a:prstGeom prst="rect">
                      <a:avLst/>
                    </a:prstGeom>
                    <a:noFill/>
                    <a:ln>
                      <a:noFill/>
                    </a:ln>
                  </pic:spPr>
                </pic:pic>
              </a:graphicData>
            </a:graphic>
          </wp:inline>
        </w:drawing>
      </w:r>
    </w:p>
    <w:p>
      <w:pPr>
        <w:jc w:val="center"/>
      </w:pPr>
      <w:r>
        <w:rPr>
          <w:color w:val="000000"/>
        </w:rPr>
        <w:drawing>
          <wp:inline distT="0" distB="0" distL="114300" distR="114300">
            <wp:extent cx="6730365" cy="4813935"/>
            <wp:effectExtent l="0" t="0" r="13335" b="5715"/>
            <wp:docPr id="20" name="图片 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33"/>
                    <pic:cNvPicPr>
                      <a:picLocks noChangeAspect="true"/>
                    </pic:cNvPicPr>
                  </pic:nvPicPr>
                  <pic:blipFill>
                    <a:blip r:embed="rId9"/>
                    <a:srcRect l="6714" t="4548" r="3089" b="4247"/>
                    <a:stretch>
                      <a:fillRect/>
                    </a:stretch>
                  </pic:blipFill>
                  <pic:spPr>
                    <a:xfrm>
                      <a:off x="0" y="0"/>
                      <a:ext cx="6730365" cy="4813935"/>
                    </a:xfrm>
                    <a:prstGeom prst="rect">
                      <a:avLst/>
                    </a:prstGeom>
                    <a:noFill/>
                    <a:ln>
                      <a:noFill/>
                    </a:ln>
                  </pic:spPr>
                </pic:pic>
              </a:graphicData>
            </a:graphic>
          </wp:inline>
        </w:drawing>
      </w:r>
    </w:p>
    <w:p>
      <w:pPr>
        <w:jc w:val="center"/>
      </w:pPr>
      <w:r>
        <w:rPr>
          <w:rFonts w:ascii="方正仿宋_GBK" w:eastAsia="方正仿宋_GBK"/>
          <w:color w:val="000000"/>
          <w:sz w:val="32"/>
          <w:szCs w:val="32"/>
        </w:rPr>
        <w:drawing>
          <wp:inline distT="0" distB="0" distL="114300" distR="114300">
            <wp:extent cx="6701790" cy="4805680"/>
            <wp:effectExtent l="0" t="0" r="3810" b="13970"/>
            <wp:docPr id="21" name="图片 6" descr="14松堡美国教会学_看图王(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6" descr="14松堡美国教会学_看图王(1)"/>
                    <pic:cNvPicPr>
                      <a:picLocks noChangeAspect="true"/>
                    </pic:cNvPicPr>
                  </pic:nvPicPr>
                  <pic:blipFill>
                    <a:blip r:embed="rId10"/>
                    <a:srcRect l="6982" t="4611" r="3151" b="4286"/>
                    <a:stretch>
                      <a:fillRect/>
                    </a:stretch>
                  </pic:blipFill>
                  <pic:spPr>
                    <a:xfrm>
                      <a:off x="0" y="0"/>
                      <a:ext cx="6701790" cy="4805680"/>
                    </a:xfrm>
                    <a:prstGeom prst="rect">
                      <a:avLst/>
                    </a:prstGeom>
                    <a:noFill/>
                    <a:ln>
                      <a:noFill/>
                    </a:ln>
                  </pic:spPr>
                </pic:pic>
              </a:graphicData>
            </a:graphic>
          </wp:inline>
        </w:drawing>
      </w:r>
    </w:p>
    <w:p>
      <w:pPr>
        <w:jc w:val="center"/>
      </w:pPr>
      <w:r>
        <w:rPr>
          <w:color w:val="000000"/>
        </w:rPr>
        <w:drawing>
          <wp:inline distT="0" distB="0" distL="114300" distR="114300">
            <wp:extent cx="6710680" cy="4805680"/>
            <wp:effectExtent l="0" t="0" r="13970" b="13970"/>
            <wp:docPr id="22" name="图片 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35"/>
                    <pic:cNvPicPr>
                      <a:picLocks noChangeAspect="true"/>
                    </pic:cNvPicPr>
                  </pic:nvPicPr>
                  <pic:blipFill>
                    <a:blip r:embed="rId11"/>
                    <a:srcRect l="6868" t="4548" r="3200" b="4403"/>
                    <a:stretch>
                      <a:fillRect/>
                    </a:stretch>
                  </pic:blipFill>
                  <pic:spPr>
                    <a:xfrm>
                      <a:off x="0" y="0"/>
                      <a:ext cx="6710680" cy="4805680"/>
                    </a:xfrm>
                    <a:prstGeom prst="rect">
                      <a:avLst/>
                    </a:prstGeom>
                    <a:noFill/>
                    <a:ln>
                      <a:noFill/>
                    </a:ln>
                  </pic:spPr>
                </pic:pic>
              </a:graphicData>
            </a:graphic>
          </wp:inline>
        </w:drawing>
      </w:r>
    </w:p>
    <w:p>
      <w:pPr>
        <w:jc w:val="center"/>
      </w:pPr>
      <w:r>
        <w:rPr>
          <w:color w:val="000000"/>
        </w:rPr>
        <w:drawing>
          <wp:inline distT="0" distB="0" distL="114300" distR="114300">
            <wp:extent cx="6728460" cy="4796790"/>
            <wp:effectExtent l="0" t="0" r="15240" b="3810"/>
            <wp:docPr id="23" name="图片 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37"/>
                    <pic:cNvPicPr>
                      <a:picLocks noChangeAspect="true"/>
                    </pic:cNvPicPr>
                  </pic:nvPicPr>
                  <pic:blipFill>
                    <a:blip r:embed="rId12"/>
                    <a:srcRect l="6731" t="4536" r="3098" b="4584"/>
                    <a:stretch>
                      <a:fillRect/>
                    </a:stretch>
                  </pic:blipFill>
                  <pic:spPr>
                    <a:xfrm>
                      <a:off x="0" y="0"/>
                      <a:ext cx="6728460" cy="4796790"/>
                    </a:xfrm>
                    <a:prstGeom prst="rect">
                      <a:avLst/>
                    </a:prstGeom>
                    <a:noFill/>
                    <a:ln>
                      <a:noFill/>
                    </a:ln>
                  </pic:spPr>
                </pic:pic>
              </a:graphicData>
            </a:graphic>
          </wp:inline>
        </w:drawing>
      </w:r>
    </w:p>
    <w:p>
      <w:pPr>
        <w:jc w:val="center"/>
      </w:pPr>
      <w:r>
        <w:rPr>
          <w:color w:val="000000"/>
        </w:rPr>
        <w:drawing>
          <wp:inline distT="0" distB="0" distL="114300" distR="114300">
            <wp:extent cx="6719570" cy="4796790"/>
            <wp:effectExtent l="0" t="0" r="5080" b="3810"/>
            <wp:docPr id="24" name="图片 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38"/>
                    <pic:cNvPicPr>
                      <a:picLocks noChangeAspect="true"/>
                    </pic:cNvPicPr>
                  </pic:nvPicPr>
                  <pic:blipFill>
                    <a:blip r:embed="rId13"/>
                    <a:srcRect l="6740" t="4692" r="3208" b="4427"/>
                    <a:stretch>
                      <a:fillRect/>
                    </a:stretch>
                  </pic:blipFill>
                  <pic:spPr>
                    <a:xfrm>
                      <a:off x="0" y="0"/>
                      <a:ext cx="6719570" cy="4796790"/>
                    </a:xfrm>
                    <a:prstGeom prst="rect">
                      <a:avLst/>
                    </a:prstGeom>
                    <a:noFill/>
                    <a:ln>
                      <a:noFill/>
                    </a:ln>
                  </pic:spPr>
                </pic:pic>
              </a:graphicData>
            </a:graphic>
          </wp:inline>
        </w:drawing>
      </w:r>
    </w:p>
    <w:p>
      <w:pPr>
        <w:jc w:val="center"/>
      </w:pPr>
      <w:r>
        <w:rPr>
          <w:color w:val="000000"/>
        </w:rPr>
        <w:drawing>
          <wp:inline distT="0" distB="0" distL="114300" distR="114300">
            <wp:extent cx="6719570" cy="4788535"/>
            <wp:effectExtent l="0" t="0" r="5080" b="12065"/>
            <wp:docPr id="25" name="图片 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40"/>
                    <pic:cNvPicPr>
                      <a:picLocks noChangeAspect="true"/>
                    </pic:cNvPicPr>
                  </pic:nvPicPr>
                  <pic:blipFill>
                    <a:blip r:embed="rId14"/>
                    <a:srcRect l="6748" t="4548" r="3200" b="4728"/>
                    <a:stretch>
                      <a:fillRect/>
                    </a:stretch>
                  </pic:blipFill>
                  <pic:spPr>
                    <a:xfrm>
                      <a:off x="0" y="0"/>
                      <a:ext cx="6719570" cy="4788535"/>
                    </a:xfrm>
                    <a:prstGeom prst="rect">
                      <a:avLst/>
                    </a:prstGeom>
                    <a:noFill/>
                    <a:ln>
                      <a:noFill/>
                    </a:ln>
                  </pic:spPr>
                </pic:pic>
              </a:graphicData>
            </a:graphic>
          </wp:inline>
        </w:drawing>
      </w:r>
    </w:p>
    <w:p>
      <w:pPr>
        <w:jc w:val="center"/>
      </w:pPr>
      <w:r>
        <w:rPr>
          <w:color w:val="000000"/>
        </w:rPr>
        <w:drawing>
          <wp:inline distT="0" distB="0" distL="114300" distR="114300">
            <wp:extent cx="6710680" cy="4788535"/>
            <wp:effectExtent l="0" t="0" r="13970" b="12065"/>
            <wp:docPr id="26" name="图片 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41"/>
                    <pic:cNvPicPr>
                      <a:picLocks noChangeAspect="true"/>
                    </pic:cNvPicPr>
                  </pic:nvPicPr>
                  <pic:blipFill>
                    <a:blip r:embed="rId15"/>
                    <a:srcRect l="6850" t="4812" r="3217" b="4463"/>
                    <a:stretch>
                      <a:fillRect/>
                    </a:stretch>
                  </pic:blipFill>
                  <pic:spPr>
                    <a:xfrm>
                      <a:off x="0" y="0"/>
                      <a:ext cx="6710680" cy="4788535"/>
                    </a:xfrm>
                    <a:prstGeom prst="rect">
                      <a:avLst/>
                    </a:prstGeom>
                    <a:noFill/>
                    <a:ln>
                      <a:noFill/>
                    </a:ln>
                  </pic:spPr>
                </pic:pic>
              </a:graphicData>
            </a:graphic>
          </wp:inline>
        </w:drawing>
      </w:r>
    </w:p>
    <w:p>
      <w:pPr>
        <w:jc w:val="center"/>
      </w:pPr>
      <w:r>
        <w:rPr>
          <w:color w:val="000000"/>
        </w:rPr>
        <w:drawing>
          <wp:inline distT="0" distB="0" distL="114300" distR="114300">
            <wp:extent cx="6728460" cy="4779645"/>
            <wp:effectExtent l="0" t="0" r="15240" b="1905"/>
            <wp:docPr id="27" name="图片 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42"/>
                    <pic:cNvPicPr>
                      <a:picLocks noChangeAspect="true"/>
                    </pic:cNvPicPr>
                  </pic:nvPicPr>
                  <pic:blipFill>
                    <a:blip r:embed="rId16"/>
                    <a:srcRect l="6740" t="4764" r="3089" b="4680"/>
                    <a:stretch>
                      <a:fillRect/>
                    </a:stretch>
                  </pic:blipFill>
                  <pic:spPr>
                    <a:xfrm>
                      <a:off x="0" y="0"/>
                      <a:ext cx="6728460" cy="4779645"/>
                    </a:xfrm>
                    <a:prstGeom prst="rect">
                      <a:avLst/>
                    </a:prstGeom>
                    <a:noFill/>
                    <a:ln>
                      <a:noFill/>
                    </a:ln>
                  </pic:spPr>
                </pic:pic>
              </a:graphicData>
            </a:graphic>
          </wp:inline>
        </w:drawing>
      </w:r>
    </w:p>
    <w:p>
      <w:pPr>
        <w:jc w:val="center"/>
      </w:pPr>
      <w:r>
        <w:rPr>
          <w:color w:val="000000"/>
        </w:rPr>
        <w:drawing>
          <wp:inline distT="0" distB="0" distL="114300" distR="114300">
            <wp:extent cx="6744970" cy="4831715"/>
            <wp:effectExtent l="0" t="0" r="17780" b="6985"/>
            <wp:docPr id="28" name="图片 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43"/>
                    <pic:cNvPicPr>
                      <a:picLocks noChangeAspect="true"/>
                    </pic:cNvPicPr>
                  </pic:nvPicPr>
                  <pic:blipFill>
                    <a:blip r:embed="rId17"/>
                    <a:srcRect l="6629" t="4259" r="2978" b="4199"/>
                    <a:stretch>
                      <a:fillRect/>
                    </a:stretch>
                  </pic:blipFill>
                  <pic:spPr>
                    <a:xfrm>
                      <a:off x="0" y="0"/>
                      <a:ext cx="6744970" cy="4831715"/>
                    </a:xfrm>
                    <a:prstGeom prst="rect">
                      <a:avLst/>
                    </a:prstGeom>
                    <a:noFill/>
                    <a:ln>
                      <a:noFill/>
                    </a:ln>
                  </pic:spPr>
                </pic:pic>
              </a:graphicData>
            </a:graphic>
          </wp:inline>
        </w:drawing>
      </w:r>
    </w:p>
    <w:p>
      <w:pPr>
        <w:jc w:val="center"/>
      </w:pPr>
      <w:r>
        <w:rPr>
          <w:color w:val="000000"/>
        </w:rPr>
        <w:drawing>
          <wp:inline distT="0" distB="0" distL="114300" distR="114300">
            <wp:extent cx="6736715" cy="4831715"/>
            <wp:effectExtent l="0" t="0" r="6985" b="6985"/>
            <wp:docPr id="29" name="图片 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44"/>
                    <pic:cNvPicPr>
                      <a:picLocks noChangeAspect="true"/>
                    </pic:cNvPicPr>
                  </pic:nvPicPr>
                  <pic:blipFill>
                    <a:blip r:embed="rId18"/>
                    <a:srcRect l="6621" t="4307" r="3098" b="4151"/>
                    <a:stretch>
                      <a:fillRect/>
                    </a:stretch>
                  </pic:blipFill>
                  <pic:spPr>
                    <a:xfrm>
                      <a:off x="0" y="0"/>
                      <a:ext cx="6736715" cy="4831715"/>
                    </a:xfrm>
                    <a:prstGeom prst="rect">
                      <a:avLst/>
                    </a:prstGeom>
                    <a:noFill/>
                    <a:ln>
                      <a:noFill/>
                    </a:ln>
                  </pic:spPr>
                </pic:pic>
              </a:graphicData>
            </a:graphic>
          </wp:inline>
        </w:drawing>
      </w:r>
    </w:p>
    <w:p>
      <w:pPr>
        <w:jc w:val="center"/>
      </w:pPr>
      <w:r>
        <w:rPr>
          <w:color w:val="000000"/>
        </w:rPr>
        <w:drawing>
          <wp:inline distT="0" distB="0" distL="114300" distR="114300">
            <wp:extent cx="6736715" cy="4814570"/>
            <wp:effectExtent l="0" t="0" r="6985" b="5080"/>
            <wp:docPr id="30" name="图片 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51"/>
                    <pic:cNvPicPr>
                      <a:picLocks noChangeAspect="true"/>
                    </pic:cNvPicPr>
                  </pic:nvPicPr>
                  <pic:blipFill>
                    <a:blip r:embed="rId19"/>
                    <a:srcRect l="6629" t="4427" r="3089" b="4355"/>
                    <a:stretch>
                      <a:fillRect/>
                    </a:stretch>
                  </pic:blipFill>
                  <pic:spPr>
                    <a:xfrm>
                      <a:off x="0" y="0"/>
                      <a:ext cx="6736715" cy="4814570"/>
                    </a:xfrm>
                    <a:prstGeom prst="rect">
                      <a:avLst/>
                    </a:prstGeom>
                    <a:noFill/>
                    <a:ln>
                      <a:noFill/>
                    </a:ln>
                  </pic:spPr>
                </pic:pic>
              </a:graphicData>
            </a:graphic>
          </wp:inline>
        </w:drawing>
      </w:r>
    </w:p>
    <w:p>
      <w:pPr>
        <w:jc w:val="center"/>
      </w:pPr>
      <w:r>
        <w:rPr>
          <w:color w:val="000000"/>
        </w:rPr>
        <w:drawing>
          <wp:inline distT="0" distB="0" distL="114300" distR="114300">
            <wp:extent cx="6736715" cy="4814570"/>
            <wp:effectExtent l="0" t="0" r="6985" b="5080"/>
            <wp:docPr id="31" name="图片 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45"/>
                    <pic:cNvPicPr>
                      <a:picLocks noChangeAspect="true"/>
                    </pic:cNvPicPr>
                  </pic:nvPicPr>
                  <pic:blipFill>
                    <a:blip r:embed="rId20"/>
                    <a:srcRect l="6629" t="4319" r="3089" b="4463"/>
                    <a:stretch>
                      <a:fillRect/>
                    </a:stretch>
                  </pic:blipFill>
                  <pic:spPr>
                    <a:xfrm>
                      <a:off x="0" y="0"/>
                      <a:ext cx="6736715" cy="4814570"/>
                    </a:xfrm>
                    <a:prstGeom prst="rect">
                      <a:avLst/>
                    </a:prstGeom>
                    <a:noFill/>
                    <a:ln>
                      <a:noFill/>
                    </a:ln>
                  </pic:spPr>
                </pic:pic>
              </a:graphicData>
            </a:graphic>
          </wp:inline>
        </w:drawing>
      </w:r>
    </w:p>
    <w:p>
      <w:pPr>
        <w:jc w:val="center"/>
      </w:pPr>
      <w:r>
        <w:rPr>
          <w:color w:val="000000"/>
        </w:rPr>
        <w:drawing>
          <wp:inline distT="0" distB="0" distL="114300" distR="114300">
            <wp:extent cx="6736715" cy="4797425"/>
            <wp:effectExtent l="0" t="0" r="6985" b="3175"/>
            <wp:docPr id="32" name="图片 4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46"/>
                    <pic:cNvPicPr>
                      <a:picLocks noChangeAspect="true"/>
                    </pic:cNvPicPr>
                  </pic:nvPicPr>
                  <pic:blipFill>
                    <a:blip r:embed="rId21"/>
                    <a:srcRect l="6629" t="4692" r="3089" b="4415"/>
                    <a:stretch>
                      <a:fillRect/>
                    </a:stretch>
                  </pic:blipFill>
                  <pic:spPr>
                    <a:xfrm>
                      <a:off x="0" y="0"/>
                      <a:ext cx="6736715" cy="4797425"/>
                    </a:xfrm>
                    <a:prstGeom prst="rect">
                      <a:avLst/>
                    </a:prstGeom>
                    <a:noFill/>
                    <a:ln>
                      <a:noFill/>
                    </a:ln>
                  </pic:spPr>
                </pic:pic>
              </a:graphicData>
            </a:graphic>
          </wp:inline>
        </w:drawing>
      </w:r>
    </w:p>
    <w:p>
      <w:pPr>
        <w:jc w:val="center"/>
      </w:pPr>
      <w:r>
        <w:rPr>
          <w:color w:val="000000"/>
        </w:rPr>
        <w:drawing>
          <wp:inline distT="0" distB="0" distL="114300" distR="114300">
            <wp:extent cx="6667500" cy="4736465"/>
            <wp:effectExtent l="0" t="0" r="0" b="6985"/>
            <wp:docPr id="33" name="图片 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47"/>
                    <pic:cNvPicPr>
                      <a:picLocks noChangeAspect="true"/>
                    </pic:cNvPicPr>
                  </pic:nvPicPr>
                  <pic:blipFill>
                    <a:blip r:embed="rId22"/>
                    <a:srcRect l="5350" t="5185" r="5350" b="5077"/>
                    <a:stretch>
                      <a:fillRect/>
                    </a:stretch>
                  </pic:blipFill>
                  <pic:spPr>
                    <a:xfrm>
                      <a:off x="0" y="0"/>
                      <a:ext cx="6667500" cy="4736465"/>
                    </a:xfrm>
                    <a:prstGeom prst="rect">
                      <a:avLst/>
                    </a:prstGeom>
                    <a:noFill/>
                    <a:ln>
                      <a:noFill/>
                    </a:ln>
                  </pic:spPr>
                </pic:pic>
              </a:graphicData>
            </a:graphic>
          </wp:inline>
        </w:drawing>
      </w:r>
    </w:p>
    <w:p>
      <w:pPr>
        <w:jc w:val="center"/>
      </w:pPr>
      <w:r>
        <w:rPr>
          <w:color w:val="000000"/>
        </w:rPr>
        <w:drawing>
          <wp:inline distT="0" distB="0" distL="114300" distR="114300">
            <wp:extent cx="6658610" cy="4728210"/>
            <wp:effectExtent l="0" t="0" r="8890" b="15240"/>
            <wp:docPr id="34" name="图片 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48"/>
                    <pic:cNvPicPr>
                      <a:picLocks noChangeAspect="true"/>
                    </pic:cNvPicPr>
                  </pic:nvPicPr>
                  <pic:blipFill>
                    <a:blip r:embed="rId23"/>
                    <a:srcRect l="5341" t="4981" r="5477" b="5438"/>
                    <a:stretch>
                      <a:fillRect/>
                    </a:stretch>
                  </pic:blipFill>
                  <pic:spPr>
                    <a:xfrm>
                      <a:off x="0" y="0"/>
                      <a:ext cx="6658610" cy="4728210"/>
                    </a:xfrm>
                    <a:prstGeom prst="rect">
                      <a:avLst/>
                    </a:prstGeom>
                    <a:noFill/>
                    <a:ln>
                      <a:noFill/>
                    </a:ln>
                  </pic:spPr>
                </pic:pic>
              </a:graphicData>
            </a:graphic>
          </wp:inline>
        </w:drawing>
      </w:r>
    </w:p>
    <w:p>
      <w:pPr>
        <w:jc w:val="center"/>
      </w:pPr>
      <w:r>
        <w:rPr>
          <w:color w:val="000000"/>
        </w:rPr>
        <w:drawing>
          <wp:inline distT="0" distB="0" distL="114300" distR="114300">
            <wp:extent cx="6650355" cy="4753610"/>
            <wp:effectExtent l="0" t="0" r="17145" b="8890"/>
            <wp:docPr id="35" name="图片 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49"/>
                    <pic:cNvPicPr>
                      <a:picLocks noChangeAspect="true"/>
                    </pic:cNvPicPr>
                  </pic:nvPicPr>
                  <pic:blipFill>
                    <a:blip r:embed="rId24"/>
                    <a:srcRect l="5341" t="5029" r="5588" b="4909"/>
                    <a:stretch>
                      <a:fillRect/>
                    </a:stretch>
                  </pic:blipFill>
                  <pic:spPr>
                    <a:xfrm>
                      <a:off x="0" y="0"/>
                      <a:ext cx="6650355" cy="4753610"/>
                    </a:xfrm>
                    <a:prstGeom prst="rect">
                      <a:avLst/>
                    </a:prstGeom>
                    <a:noFill/>
                    <a:ln>
                      <a:noFill/>
                    </a:ln>
                  </pic:spPr>
                </pic:pic>
              </a:graphicData>
            </a:graphic>
          </wp:inline>
        </w:drawing>
      </w:r>
    </w:p>
    <w:p>
      <w:pPr>
        <w:jc w:val="center"/>
      </w:pPr>
      <w:r>
        <w:rPr>
          <w:color w:val="000000"/>
        </w:rPr>
        <w:drawing>
          <wp:inline distT="0" distB="0" distL="114300" distR="114300">
            <wp:extent cx="6649720" cy="4762500"/>
            <wp:effectExtent l="0" t="0" r="17780" b="0"/>
            <wp:docPr id="36" name="图片 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50"/>
                    <pic:cNvPicPr>
                      <a:picLocks noChangeAspect="true"/>
                    </pic:cNvPicPr>
                  </pic:nvPicPr>
                  <pic:blipFill>
                    <a:blip r:embed="rId25"/>
                    <a:srcRect l="5460" t="5113" r="5477" b="4656"/>
                    <a:stretch>
                      <a:fillRect/>
                    </a:stretch>
                  </pic:blipFill>
                  <pic:spPr>
                    <a:xfrm>
                      <a:off x="0" y="0"/>
                      <a:ext cx="6649720" cy="4762500"/>
                    </a:xfrm>
                    <a:prstGeom prst="rect">
                      <a:avLst/>
                    </a:prstGeom>
                    <a:noFill/>
                    <a:ln>
                      <a:noFill/>
                    </a:ln>
                  </pic:spPr>
                </pic:pic>
              </a:graphicData>
            </a:graphic>
          </wp:inline>
        </w:drawing>
      </w:r>
    </w:p>
    <w:sectPr>
      <w:headerReference r:id="rId3" w:type="default"/>
      <w:footerReference r:id="rId4" w:type="default"/>
      <w:pgSz w:w="16838" w:h="11906" w:orient="landscape"/>
      <w:pgMar w:top="1848" w:right="1474" w:bottom="1962" w:left="1587" w:header="851" w:footer="992" w:gutter="0"/>
      <w:pgNumType w:fmt="numberInDash"/>
      <w:cols w:space="0" w:num="1"/>
      <w:rtlGutter w:val="0"/>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01"/>
    <w:family w:val="roman"/>
    <w:pitch w:val="default"/>
    <w:sig w:usb0="00000000" w:usb1="00000000" w:usb2="00000009"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_GBK">
    <w:panose1 w:val="02000000000000000000"/>
    <w:charset w:val="86"/>
    <w:family w:val="auto"/>
    <w:pitch w:val="default"/>
    <w:sig w:usb0="00000001" w:usb1="08000000" w:usb2="00000000" w:usb3="00000000" w:csb0="00040000" w:csb1="00000000"/>
  </w:font>
  <w:font w:name="方正仿宋_GBK">
    <w:panose1 w:val="02000000000000000000"/>
    <w:charset w:val="86"/>
    <w:family w:val="script"/>
    <w:pitch w:val="default"/>
    <w:sig w:usb0="00000001" w:usb1="08000000" w:usb2="00000000" w:usb3="00000000" w:csb0="00040000" w:csb1="00000000"/>
  </w:font>
  <w:font w:name="方正黑体_GBK">
    <w:panose1 w:val="02000000000000000000"/>
    <w:charset w:val="86"/>
    <w:family w:val="script"/>
    <w:pitch w:val="default"/>
    <w:sig w:usb0="00000001" w:usb1="08000000" w:usb2="00000000" w:usb3="00000000" w:csb0="00040000" w:csb1="00000000"/>
  </w:font>
  <w:font w:name="方正楷体_GBK">
    <w:panose1 w:val="02000000000000000000"/>
    <w:charset w:val="86"/>
    <w:family w:val="script"/>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true"/>
  <w:bordersDoNotSurroundFooter w:val="true"/>
  <w:documentProtection w:enforcement="0"/>
  <w:defaultTabStop w:val="420"/>
  <w:drawingGridHorizontalSpacing w:val="105"/>
  <w:drawingGridVerticalSpacing w:val="158"/>
  <w:displayHorizontalDrawingGridEvery w:val="2"/>
  <w:displayVerticalDrawingGridEvery w:val="2"/>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dkOGIxZTQ2MTUyNjYyYzI2ZmYxYWYxY2IwNjI1OWUifQ=="/>
  </w:docVars>
  <w:rsids>
    <w:rsidRoot w:val="00172A27"/>
    <w:rsid w:val="000C659A"/>
    <w:rsid w:val="000F33BA"/>
    <w:rsid w:val="00172A27"/>
    <w:rsid w:val="001B637F"/>
    <w:rsid w:val="00563EC5"/>
    <w:rsid w:val="005866D7"/>
    <w:rsid w:val="005C5B1B"/>
    <w:rsid w:val="0071167E"/>
    <w:rsid w:val="008E1D4C"/>
    <w:rsid w:val="00924AF6"/>
    <w:rsid w:val="00A75BD7"/>
    <w:rsid w:val="00AC1174"/>
    <w:rsid w:val="00AC7331"/>
    <w:rsid w:val="00AD27BE"/>
    <w:rsid w:val="00B01E9D"/>
    <w:rsid w:val="00C272F4"/>
    <w:rsid w:val="00C52331"/>
    <w:rsid w:val="00CF4004"/>
    <w:rsid w:val="00E4508D"/>
    <w:rsid w:val="00E90E44"/>
    <w:rsid w:val="00FF5225"/>
    <w:rsid w:val="00FF5E43"/>
    <w:rsid w:val="019E71BD"/>
    <w:rsid w:val="01E93D58"/>
    <w:rsid w:val="04B679C3"/>
    <w:rsid w:val="05F07036"/>
    <w:rsid w:val="06E00104"/>
    <w:rsid w:val="080F63D8"/>
    <w:rsid w:val="09341458"/>
    <w:rsid w:val="098254C2"/>
    <w:rsid w:val="0A766EDE"/>
    <w:rsid w:val="0AD64BE8"/>
    <w:rsid w:val="0B0912D7"/>
    <w:rsid w:val="0E025194"/>
    <w:rsid w:val="0EEF0855"/>
    <w:rsid w:val="11DB7C71"/>
    <w:rsid w:val="152D2DCA"/>
    <w:rsid w:val="179668D5"/>
    <w:rsid w:val="187168EA"/>
    <w:rsid w:val="196673CA"/>
    <w:rsid w:val="1CF734C9"/>
    <w:rsid w:val="1DEC284C"/>
    <w:rsid w:val="1E6523AC"/>
    <w:rsid w:val="22440422"/>
    <w:rsid w:val="22BB4BBB"/>
    <w:rsid w:val="25EB1AF4"/>
    <w:rsid w:val="297B7D6F"/>
    <w:rsid w:val="2A726282"/>
    <w:rsid w:val="2DD05FE1"/>
    <w:rsid w:val="2EAE3447"/>
    <w:rsid w:val="31A15F24"/>
    <w:rsid w:val="36FB1DF0"/>
    <w:rsid w:val="395347B5"/>
    <w:rsid w:val="39A232A0"/>
    <w:rsid w:val="39E745AA"/>
    <w:rsid w:val="3B5A6BBB"/>
    <w:rsid w:val="3CA154E3"/>
    <w:rsid w:val="3EDA13A6"/>
    <w:rsid w:val="3FF56C14"/>
    <w:rsid w:val="417B75E9"/>
    <w:rsid w:val="41866A9D"/>
    <w:rsid w:val="42430A63"/>
    <w:rsid w:val="42F058B7"/>
    <w:rsid w:val="436109F6"/>
    <w:rsid w:val="441A38D4"/>
    <w:rsid w:val="4504239D"/>
    <w:rsid w:val="4BC77339"/>
    <w:rsid w:val="4C9236C5"/>
    <w:rsid w:val="4E250A85"/>
    <w:rsid w:val="4FFD4925"/>
    <w:rsid w:val="505C172E"/>
    <w:rsid w:val="506405EA"/>
    <w:rsid w:val="52F46F0B"/>
    <w:rsid w:val="532B6A10"/>
    <w:rsid w:val="539E4E99"/>
    <w:rsid w:val="53D8014D"/>
    <w:rsid w:val="550C209A"/>
    <w:rsid w:val="55E064E0"/>
    <w:rsid w:val="572C6D10"/>
    <w:rsid w:val="57A65787"/>
    <w:rsid w:val="58E974F4"/>
    <w:rsid w:val="5DC34279"/>
    <w:rsid w:val="5FCD688E"/>
    <w:rsid w:val="5FF9BDAA"/>
    <w:rsid w:val="608816D1"/>
    <w:rsid w:val="60EF4E7F"/>
    <w:rsid w:val="648B0A32"/>
    <w:rsid w:val="658F6764"/>
    <w:rsid w:val="665233C1"/>
    <w:rsid w:val="66B07203"/>
    <w:rsid w:val="69AC0D42"/>
    <w:rsid w:val="6AD9688B"/>
    <w:rsid w:val="6B68303F"/>
    <w:rsid w:val="6D0E3F22"/>
    <w:rsid w:val="744E4660"/>
    <w:rsid w:val="753355A2"/>
    <w:rsid w:val="759F1C61"/>
    <w:rsid w:val="769F2DE8"/>
    <w:rsid w:val="76FDEB7C"/>
    <w:rsid w:val="79C65162"/>
    <w:rsid w:val="79EE7E31"/>
    <w:rsid w:val="7C9011D9"/>
    <w:rsid w:val="7DC651C5"/>
    <w:rsid w:val="7E265D97"/>
    <w:rsid w:val="7FCC2834"/>
    <w:rsid w:val="92DD1CEF"/>
    <w:rsid w:val="BD9D1569"/>
    <w:rsid w:val="BDFD3B21"/>
    <w:rsid w:val="EBDDA9D0"/>
    <w:rsid w:val="F05B4F69"/>
    <w:rsid w:val="F7F902F6"/>
    <w:rsid w:val="F97D9566"/>
    <w:rsid w:val="FDFF411C"/>
    <w:rsid w:val="FEEF725A"/>
    <w:rsid w:val="FFA47B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8"/>
    <w:qFormat/>
    <w:uiPriority w:val="0"/>
    <w:pPr>
      <w:keepNext/>
      <w:keepLines/>
      <w:spacing w:line="540" w:lineRule="exact"/>
      <w:jc w:val="center"/>
      <w:outlineLvl w:val="0"/>
    </w:pPr>
    <w:rPr>
      <w:rFonts w:ascii="方正小标宋_GBK" w:eastAsia="方正小标宋_GBK"/>
      <w:bCs/>
      <w:kern w:val="44"/>
      <w:sz w:val="44"/>
      <w:szCs w:val="44"/>
    </w:rPr>
  </w:style>
  <w:style w:type="paragraph" w:styleId="3">
    <w:name w:val="heading 2"/>
    <w:basedOn w:val="1"/>
    <w:next w:val="1"/>
    <w:link w:val="30"/>
    <w:unhideWhenUsed/>
    <w:qFormat/>
    <w:uiPriority w:val="0"/>
    <w:pPr>
      <w:spacing w:line="540" w:lineRule="exact"/>
      <w:jc w:val="center"/>
      <w:outlineLvl w:val="1"/>
    </w:pPr>
    <w:rPr>
      <w:rFonts w:ascii="Times New Roman" w:hAnsi="Times New Roman" w:eastAsia="方正小标宋_GBK" w:cstheme="majorBidi"/>
      <w:bCs/>
      <w:sz w:val="44"/>
      <w:szCs w:val="32"/>
    </w:rPr>
  </w:style>
  <w:style w:type="paragraph" w:styleId="4">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Date"/>
    <w:basedOn w:val="1"/>
    <w:next w:val="1"/>
    <w:link w:val="38"/>
    <w:qFormat/>
    <w:uiPriority w:val="0"/>
    <w:pPr>
      <w:ind w:left="100" w:leftChars="2500"/>
    </w:pPr>
  </w:style>
  <w:style w:type="paragraph" w:styleId="7">
    <w:name w:val="Balloon Text"/>
    <w:basedOn w:val="1"/>
    <w:link w:val="17"/>
    <w:qFormat/>
    <w:uiPriority w:val="0"/>
    <w:rPr>
      <w:sz w:val="18"/>
      <w:szCs w:val="18"/>
    </w:rPr>
  </w:style>
  <w:style w:type="paragraph" w:styleId="8">
    <w:name w:val="footer"/>
    <w:basedOn w:val="1"/>
    <w:link w:val="27"/>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Normal (Web)"/>
    <w:basedOn w:val="1"/>
    <w:qFormat/>
    <w:uiPriority w:val="0"/>
    <w:pPr>
      <w:spacing w:beforeAutospacing="1" w:afterAutospacing="1"/>
      <w:jc w:val="left"/>
    </w:pPr>
    <w:rPr>
      <w:rFonts w:cs="Times New Roman"/>
      <w:kern w:val="0"/>
      <w:sz w:val="24"/>
    </w:rPr>
  </w:style>
  <w:style w:type="character" w:styleId="13">
    <w:name w:val="Strong"/>
    <w:basedOn w:val="12"/>
    <w:qFormat/>
    <w:uiPriority w:val="0"/>
    <w:rPr>
      <w:b/>
      <w:bCs/>
    </w:rPr>
  </w:style>
  <w:style w:type="character" w:styleId="14">
    <w:name w:val="annotation reference"/>
    <w:basedOn w:val="12"/>
    <w:qFormat/>
    <w:uiPriority w:val="0"/>
    <w:rPr>
      <w:sz w:val="21"/>
      <w:szCs w:val="21"/>
    </w:rPr>
  </w:style>
  <w:style w:type="paragraph" w:customStyle="1" w:styleId="15">
    <w:name w:val="@正文"/>
    <w:next w:val="1"/>
    <w:link w:val="20"/>
    <w:qFormat/>
    <w:uiPriority w:val="0"/>
    <w:pPr>
      <w:widowControl w:val="0"/>
      <w:spacing w:line="600" w:lineRule="exact"/>
      <w:ind w:firstLine="200" w:firstLineChars="200"/>
      <w:jc w:val="both"/>
    </w:pPr>
    <w:rPr>
      <w:rFonts w:ascii="Times New Roman" w:hAnsi="Times New Roman" w:eastAsia="方正仿宋_GBK" w:cs="方正仿宋_GBK"/>
      <w:sz w:val="32"/>
      <w:szCs w:val="32"/>
      <w:shd w:val="clear" w:color="auto" w:fill="FFFFFF"/>
      <w:lang w:val="en-US" w:eastAsia="zh-CN" w:bidi="ar-SA"/>
    </w:rPr>
  </w:style>
  <w:style w:type="paragraph" w:customStyle="1" w:styleId="16">
    <w:name w:val="p0"/>
    <w:basedOn w:val="1"/>
    <w:qFormat/>
    <w:uiPriority w:val="0"/>
    <w:pPr>
      <w:widowControl/>
    </w:pPr>
    <w:rPr>
      <w:rFonts w:ascii="Calibri" w:hAnsi="Calibri" w:eastAsia="宋体" w:cs="宋体"/>
      <w:kern w:val="0"/>
      <w:szCs w:val="32"/>
    </w:rPr>
  </w:style>
  <w:style w:type="character" w:customStyle="1" w:styleId="17">
    <w:name w:val="批注框文本 Char"/>
    <w:basedOn w:val="12"/>
    <w:link w:val="7"/>
    <w:qFormat/>
    <w:uiPriority w:val="0"/>
    <w:rPr>
      <w:rFonts w:asciiTheme="minorHAnsi" w:hAnsiTheme="minorHAnsi" w:eastAsiaTheme="minorEastAsia" w:cstheme="minorBidi"/>
      <w:kern w:val="2"/>
      <w:sz w:val="18"/>
      <w:szCs w:val="18"/>
    </w:rPr>
  </w:style>
  <w:style w:type="character" w:customStyle="1" w:styleId="18">
    <w:name w:val="标题 1 Char"/>
    <w:basedOn w:val="12"/>
    <w:link w:val="2"/>
    <w:qFormat/>
    <w:uiPriority w:val="0"/>
    <w:rPr>
      <w:rFonts w:ascii="方正小标宋_GBK" w:eastAsia="方正小标宋_GBK" w:hAnsiTheme="minorHAnsi" w:cstheme="minorBidi"/>
      <w:bCs/>
      <w:kern w:val="44"/>
      <w:sz w:val="44"/>
      <w:szCs w:val="44"/>
    </w:rPr>
  </w:style>
  <w:style w:type="paragraph" w:customStyle="1" w:styleId="19">
    <w:name w:val="@号"/>
    <w:link w:val="22"/>
    <w:qFormat/>
    <w:uiPriority w:val="0"/>
    <w:pPr>
      <w:widowControl w:val="0"/>
      <w:spacing w:line="540" w:lineRule="exact"/>
      <w:jc w:val="center"/>
    </w:pPr>
    <w:rPr>
      <w:rFonts w:ascii="Times New Roman" w:hAnsi="Times New Roman" w:eastAsia="方正仿宋_GBK" w:cs="Times New Roman"/>
      <w:kern w:val="2"/>
      <w:sz w:val="32"/>
      <w:szCs w:val="32"/>
      <w:lang w:val="en-US" w:eastAsia="zh-CN" w:bidi="ar-SA"/>
    </w:rPr>
  </w:style>
  <w:style w:type="character" w:customStyle="1" w:styleId="20">
    <w:name w:val="@正文 Char"/>
    <w:basedOn w:val="12"/>
    <w:link w:val="15"/>
    <w:qFormat/>
    <w:uiPriority w:val="0"/>
    <w:rPr>
      <w:rFonts w:eastAsia="方正仿宋_GBK" w:cs="方正仿宋_GBK"/>
      <w:sz w:val="32"/>
      <w:szCs w:val="32"/>
    </w:rPr>
  </w:style>
  <w:style w:type="paragraph" w:customStyle="1" w:styleId="21">
    <w:name w:val="@顶格"/>
    <w:link w:val="24"/>
    <w:qFormat/>
    <w:uiPriority w:val="0"/>
    <w:pPr>
      <w:widowControl w:val="0"/>
      <w:spacing w:line="600" w:lineRule="exact"/>
      <w:jc w:val="both"/>
    </w:pPr>
    <w:rPr>
      <w:rFonts w:ascii="Times New Roman" w:hAnsi="Times New Roman" w:eastAsia="方正仿宋_GBK" w:cs="方正仿宋_GBK"/>
      <w:sz w:val="32"/>
      <w:szCs w:val="32"/>
      <w:shd w:val="clear" w:color="auto" w:fill="FFFFFF"/>
      <w:lang w:val="en-US" w:eastAsia="zh-CN" w:bidi="ar-SA"/>
    </w:rPr>
  </w:style>
  <w:style w:type="character" w:customStyle="1" w:styleId="22">
    <w:name w:val="@号 Char"/>
    <w:basedOn w:val="12"/>
    <w:link w:val="19"/>
    <w:qFormat/>
    <w:uiPriority w:val="0"/>
    <w:rPr>
      <w:rFonts w:eastAsia="方正仿宋_GBK"/>
      <w:kern w:val="2"/>
      <w:sz w:val="32"/>
      <w:szCs w:val="32"/>
    </w:rPr>
  </w:style>
  <w:style w:type="paragraph" w:customStyle="1" w:styleId="23">
    <w:name w:val="@落款"/>
    <w:link w:val="26"/>
    <w:qFormat/>
    <w:uiPriority w:val="0"/>
    <w:pPr>
      <w:widowControl w:val="0"/>
      <w:spacing w:line="600" w:lineRule="exact"/>
      <w:jc w:val="right"/>
    </w:pPr>
    <w:rPr>
      <w:rFonts w:ascii="Times New Roman" w:hAnsi="Times New Roman" w:eastAsia="方正仿宋_GBK" w:cs="方正仿宋_GBK"/>
      <w:sz w:val="32"/>
      <w:szCs w:val="32"/>
      <w:shd w:val="clear" w:color="auto" w:fill="FFFFFF"/>
      <w:lang w:val="en-US" w:eastAsia="zh-CN" w:bidi="ar-SA"/>
    </w:rPr>
  </w:style>
  <w:style w:type="character" w:customStyle="1" w:styleId="24">
    <w:name w:val="@顶格 Char"/>
    <w:basedOn w:val="12"/>
    <w:link w:val="21"/>
    <w:qFormat/>
    <w:uiPriority w:val="0"/>
    <w:rPr>
      <w:rFonts w:eastAsia="方正仿宋_GBK" w:cs="方正仿宋_GBK"/>
      <w:sz w:val="32"/>
      <w:szCs w:val="32"/>
    </w:rPr>
  </w:style>
  <w:style w:type="paragraph" w:customStyle="1" w:styleId="25">
    <w:name w:val="@附件"/>
    <w:link w:val="28"/>
    <w:qFormat/>
    <w:uiPriority w:val="0"/>
    <w:pPr>
      <w:pageBreakBefore/>
      <w:widowControl w:val="0"/>
      <w:spacing w:line="600" w:lineRule="exact"/>
    </w:pPr>
    <w:rPr>
      <w:rFonts w:ascii="Times New Roman" w:hAnsi="Times New Roman" w:eastAsia="方正黑体_GBK" w:cs="方正仿宋_GBK"/>
      <w:sz w:val="32"/>
      <w:szCs w:val="32"/>
      <w:shd w:val="clear" w:color="auto" w:fill="FFFFFF"/>
      <w:lang w:val="en-US" w:eastAsia="zh-CN" w:bidi="ar-SA"/>
    </w:rPr>
  </w:style>
  <w:style w:type="character" w:customStyle="1" w:styleId="26">
    <w:name w:val="@落款 Char"/>
    <w:basedOn w:val="12"/>
    <w:link w:val="23"/>
    <w:qFormat/>
    <w:uiPriority w:val="0"/>
    <w:rPr>
      <w:rFonts w:eastAsia="方正仿宋_GBK" w:cs="方正仿宋_GBK"/>
      <w:sz w:val="32"/>
      <w:szCs w:val="32"/>
    </w:rPr>
  </w:style>
  <w:style w:type="character" w:customStyle="1" w:styleId="27">
    <w:name w:val="页脚 Char"/>
    <w:link w:val="8"/>
    <w:qFormat/>
    <w:uiPriority w:val="0"/>
    <w:rPr>
      <w:rFonts w:asciiTheme="minorHAnsi" w:hAnsiTheme="minorHAnsi" w:eastAsiaTheme="minorEastAsia" w:cstheme="minorBidi"/>
      <w:kern w:val="2"/>
      <w:sz w:val="18"/>
      <w:szCs w:val="24"/>
    </w:rPr>
  </w:style>
  <w:style w:type="character" w:customStyle="1" w:styleId="28">
    <w:name w:val="@附件 Char"/>
    <w:basedOn w:val="12"/>
    <w:link w:val="25"/>
    <w:qFormat/>
    <w:uiPriority w:val="0"/>
    <w:rPr>
      <w:rFonts w:eastAsia="方正黑体_GBK" w:cs="方正仿宋_GBK"/>
      <w:sz w:val="32"/>
      <w:szCs w:val="32"/>
    </w:rPr>
  </w:style>
  <w:style w:type="paragraph" w:customStyle="1" w:styleId="29">
    <w:name w:val="@印发"/>
    <w:link w:val="31"/>
    <w:qFormat/>
    <w:uiPriority w:val="0"/>
    <w:pPr>
      <w:widowControl w:val="0"/>
      <w:pBdr>
        <w:top w:val="single" w:color="auto" w:sz="4" w:space="1"/>
        <w:bottom w:val="single" w:color="auto" w:sz="4" w:space="1"/>
      </w:pBdr>
      <w:tabs>
        <w:tab w:val="right" w:pos="8820"/>
      </w:tabs>
      <w:spacing w:line="600" w:lineRule="exact"/>
      <w:jc w:val="both"/>
    </w:pPr>
    <w:rPr>
      <w:rFonts w:ascii="Times New Roman" w:hAnsi="Times New Roman" w:eastAsia="方正仿宋_GBK" w:cs="方正仿宋_GBK"/>
      <w:sz w:val="28"/>
      <w:szCs w:val="32"/>
      <w:shd w:val="clear" w:color="auto" w:fill="FFFFFF"/>
      <w:lang w:val="en-US" w:eastAsia="zh-CN" w:bidi="ar-SA"/>
    </w:rPr>
  </w:style>
  <w:style w:type="character" w:customStyle="1" w:styleId="30">
    <w:name w:val="标题 2 Char"/>
    <w:basedOn w:val="12"/>
    <w:link w:val="3"/>
    <w:qFormat/>
    <w:uiPriority w:val="0"/>
    <w:rPr>
      <w:rFonts w:eastAsia="方正小标宋_GBK" w:cstheme="majorBidi"/>
      <w:bCs/>
      <w:kern w:val="2"/>
      <w:sz w:val="44"/>
      <w:szCs w:val="32"/>
    </w:rPr>
  </w:style>
  <w:style w:type="character" w:customStyle="1" w:styleId="31">
    <w:name w:val="@印发 Char"/>
    <w:basedOn w:val="12"/>
    <w:link w:val="29"/>
    <w:qFormat/>
    <w:uiPriority w:val="0"/>
    <w:rPr>
      <w:rFonts w:eastAsia="方正仿宋_GBK" w:cs="方正仿宋_GBK"/>
      <w:sz w:val="28"/>
      <w:szCs w:val="32"/>
    </w:rPr>
  </w:style>
  <w:style w:type="paragraph" w:customStyle="1" w:styleId="32">
    <w:name w:val="@黑"/>
    <w:link w:val="34"/>
    <w:qFormat/>
    <w:uiPriority w:val="0"/>
    <w:pPr>
      <w:widowControl w:val="0"/>
      <w:spacing w:line="600" w:lineRule="exact"/>
      <w:ind w:firstLine="200" w:firstLineChars="200"/>
    </w:pPr>
    <w:rPr>
      <w:rFonts w:ascii="Times New Roman" w:hAnsi="Times New Roman" w:eastAsia="方正黑体_GBK" w:cs="方正仿宋_GBK"/>
      <w:sz w:val="32"/>
      <w:szCs w:val="32"/>
      <w:shd w:val="clear" w:color="auto" w:fill="FFFFFF"/>
      <w:lang w:val="en-US" w:eastAsia="zh-CN" w:bidi="ar-SA"/>
    </w:rPr>
  </w:style>
  <w:style w:type="paragraph" w:customStyle="1" w:styleId="33">
    <w:name w:val="@楷"/>
    <w:link w:val="36"/>
    <w:qFormat/>
    <w:uiPriority w:val="0"/>
    <w:pPr>
      <w:widowControl w:val="0"/>
      <w:spacing w:line="600" w:lineRule="exact"/>
      <w:ind w:firstLine="200" w:firstLineChars="200"/>
      <w:jc w:val="both"/>
    </w:pPr>
    <w:rPr>
      <w:rFonts w:ascii="Times New Roman" w:hAnsi="Times New Roman" w:eastAsia="方正楷体_GBK" w:cs="方正仿宋_GBK"/>
      <w:sz w:val="32"/>
      <w:szCs w:val="32"/>
      <w:shd w:val="clear" w:color="auto" w:fill="FFFFFF"/>
      <w:lang w:val="en-US" w:eastAsia="zh-CN" w:bidi="ar-SA"/>
    </w:rPr>
  </w:style>
  <w:style w:type="character" w:customStyle="1" w:styleId="34">
    <w:name w:val="@黑 Char"/>
    <w:basedOn w:val="12"/>
    <w:link w:val="32"/>
    <w:qFormat/>
    <w:uiPriority w:val="0"/>
    <w:rPr>
      <w:rFonts w:eastAsia="方正黑体_GBK" w:cs="方正仿宋_GBK"/>
      <w:sz w:val="32"/>
      <w:szCs w:val="32"/>
    </w:rPr>
  </w:style>
  <w:style w:type="paragraph" w:customStyle="1" w:styleId="35">
    <w:name w:val="@附标"/>
    <w:link w:val="37"/>
    <w:qFormat/>
    <w:uiPriority w:val="0"/>
    <w:pPr>
      <w:widowControl w:val="0"/>
      <w:spacing w:line="600" w:lineRule="exact"/>
      <w:jc w:val="center"/>
    </w:pPr>
    <w:rPr>
      <w:rFonts w:ascii="方正小标宋_GBK" w:hAnsi="Times New Roman" w:eastAsia="方正小标宋_GBK" w:cs="方正仿宋_GBK"/>
      <w:sz w:val="44"/>
      <w:szCs w:val="32"/>
      <w:shd w:val="clear" w:color="auto" w:fill="FFFFFF"/>
      <w:lang w:val="en-US" w:eastAsia="zh-CN" w:bidi="ar-SA"/>
    </w:rPr>
  </w:style>
  <w:style w:type="character" w:customStyle="1" w:styleId="36">
    <w:name w:val="@楷 Char"/>
    <w:basedOn w:val="12"/>
    <w:link w:val="33"/>
    <w:qFormat/>
    <w:uiPriority w:val="0"/>
    <w:rPr>
      <w:rFonts w:eastAsia="方正楷体_GBK" w:cs="方正仿宋_GBK"/>
      <w:sz w:val="32"/>
      <w:szCs w:val="32"/>
    </w:rPr>
  </w:style>
  <w:style w:type="character" w:customStyle="1" w:styleId="37">
    <w:name w:val="@附标 Char"/>
    <w:basedOn w:val="12"/>
    <w:link w:val="35"/>
    <w:qFormat/>
    <w:uiPriority w:val="0"/>
    <w:rPr>
      <w:rFonts w:ascii="方正小标宋_GBK" w:eastAsia="方正小标宋_GBK" w:cs="方正仿宋_GBK"/>
      <w:sz w:val="44"/>
      <w:szCs w:val="32"/>
    </w:rPr>
  </w:style>
  <w:style w:type="character" w:customStyle="1" w:styleId="38">
    <w:name w:val="日期 Char"/>
    <w:basedOn w:val="12"/>
    <w:link w:val="6"/>
    <w:qFormat/>
    <w:uiPriority w:val="0"/>
    <w:rPr>
      <w:rFonts w:asciiTheme="minorHAnsi" w:hAnsiTheme="minorHAnsi" w:eastAsiaTheme="minorEastAsia" w:cstheme="minorBidi"/>
      <w:kern w:val="2"/>
      <w:sz w:val="21"/>
      <w:szCs w:val="24"/>
    </w:rPr>
  </w:style>
  <w:style w:type="paragraph" w:customStyle="1" w:styleId="39">
    <w:name w:val="@表格"/>
    <w:link w:val="40"/>
    <w:qFormat/>
    <w:uiPriority w:val="0"/>
    <w:pPr>
      <w:spacing w:line="400" w:lineRule="exact"/>
      <w:jc w:val="both"/>
    </w:pPr>
    <w:rPr>
      <w:rFonts w:ascii="Times New Roman" w:hAnsi="Times New Roman" w:eastAsia="方正仿宋_GBK" w:cstheme="minorBidi"/>
      <w:kern w:val="2"/>
      <w:sz w:val="24"/>
      <w:szCs w:val="24"/>
      <w:lang w:val="en-US" w:eastAsia="zh-CN" w:bidi="ar-SA"/>
    </w:rPr>
  </w:style>
  <w:style w:type="character" w:customStyle="1" w:styleId="40">
    <w:name w:val="@表格 Char"/>
    <w:basedOn w:val="12"/>
    <w:link w:val="39"/>
    <w:qFormat/>
    <w:uiPriority w:val="0"/>
    <w:rPr>
      <w:rFonts w:eastAsia="方正仿宋_GBK"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27</Pages>
  <Words>2539</Words>
  <Characters>2725</Characters>
  <Lines>11</Lines>
  <Paragraphs>3</Paragraphs>
  <TotalTime>3</TotalTime>
  <ScaleCrop>false</ScaleCrop>
  <LinksUpToDate>false</LinksUpToDate>
  <CharactersWithSpaces>2742</CharactersWithSpaces>
  <Application>WPS Office_11.8.2.9958_F1E327BC-269C-435d-A152-05C5408002CA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2021-09-11T18:41:00Z</dcterms:created>
  <dc:creator>t</dc:creator>
  <cp:lastModifiedBy>guest</cp:lastModifiedBy>
  <cp:lastPrinted>2022-06-11T01:32:00Z</cp:lastPrinted>
  <dcterms:modified xsi:type="dcterms:W3CDTF">2023-11-16T17:07:19Z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2052-11.8.2.9958</vt:lpwstr>
  </property>
  <property fmtid="{D5CDD505-2E9C-101B-9397-08002B2CF9AE}" pid="3" name="ICV">
    <vt:lpwstr>48C61CB29D3F4D9384F5922CF0F7FFB4</vt:lpwstr>
  </property>
</Properties>
</file>