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关于组织全区防空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警报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试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鸣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放的通知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atLeast"/>
        <w:ind w:left="0" w:right="0" w:firstLine="0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eastAsia="方正仿宋_GBK" w:hAnsiTheme="minorHAnsi" w:cstheme="minorBidi"/>
          <w:b w:val="0"/>
          <w:kern w:val="2"/>
          <w:sz w:val="32"/>
          <w:szCs w:val="32"/>
          <w:lang w:val="en-US" w:eastAsia="zh-CN" w:bidi="ar-SA"/>
        </w:rPr>
        <w:t>各镇人民政府、街道办事处，区内各设台单位：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根据《重庆市人民防空条例》第四章第二十九条的规定和重庆市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国防动员</w:t>
      </w:r>
      <w:r>
        <w:rPr>
          <w:rFonts w:hint="eastAsia" w:ascii="方正仿宋_GBK" w:eastAsia="方正仿宋_GBK"/>
          <w:sz w:val="32"/>
          <w:szCs w:val="32"/>
        </w:rPr>
        <w:t>办公室《</w:t>
      </w:r>
      <w:r>
        <w:rPr>
          <w:rFonts w:hint="default" w:ascii="方正仿宋_GBK" w:eastAsia="方正仿宋_GBK"/>
          <w:sz w:val="32"/>
          <w:szCs w:val="32"/>
          <w:lang w:eastAsia="zh-CN"/>
        </w:rPr>
        <w:t>关于</w:t>
      </w:r>
      <w:r>
        <w:rPr>
          <w:rFonts w:hint="eastAsia" w:ascii="方正仿宋_GBK" w:eastAsia="方正仿宋_GBK"/>
          <w:sz w:val="32"/>
          <w:szCs w:val="32"/>
          <w:lang w:eastAsia="zh-CN"/>
        </w:rPr>
        <w:t>做好</w:t>
      </w:r>
      <w:r>
        <w:rPr>
          <w:rFonts w:hint="default" w:ascii="方正仿宋_GBK" w:eastAsia="方正仿宋_GBK"/>
          <w:sz w:val="32"/>
          <w:szCs w:val="32"/>
          <w:lang w:eastAsia="zh-CN"/>
        </w:rPr>
        <w:t>防空警报试鸣放</w:t>
      </w:r>
      <w:r>
        <w:rPr>
          <w:rFonts w:hint="eastAsia" w:ascii="方正仿宋_GBK" w:eastAsia="方正仿宋_GBK"/>
          <w:sz w:val="32"/>
          <w:szCs w:val="32"/>
          <w:lang w:eastAsia="zh-CN"/>
        </w:rPr>
        <w:t>工作</w:t>
      </w:r>
      <w:r>
        <w:rPr>
          <w:rFonts w:hint="default" w:ascii="方正仿宋_GBK" w:eastAsia="方正仿宋_GBK"/>
          <w:sz w:val="32"/>
          <w:szCs w:val="32"/>
          <w:lang w:eastAsia="zh-CN"/>
        </w:rPr>
        <w:t>的通知</w:t>
      </w:r>
      <w:r>
        <w:rPr>
          <w:rFonts w:hint="eastAsia" w:ascii="方正仿宋_GBK" w:eastAsia="方正仿宋_GBK"/>
          <w:sz w:val="32"/>
          <w:szCs w:val="32"/>
          <w:lang w:eastAsia="zh-CN"/>
        </w:rPr>
        <w:t>》（渝国动办</w:t>
      </w:r>
      <w:r>
        <w:rPr>
          <w:rFonts w:hint="eastAsia" w:ascii="方正仿宋_GBK" w:eastAsia="方正仿宋_GBK"/>
          <w:sz w:val="32"/>
          <w:szCs w:val="32"/>
        </w:rPr>
        <w:t>发〔20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hint="eastAsia" w:ascii="方正仿宋_GBK" w:eastAsia="方正仿宋_GBK"/>
          <w:sz w:val="32"/>
          <w:szCs w:val="32"/>
          <w:lang w:eastAsia="zh-CN"/>
        </w:rPr>
        <w:t>）精神，经重庆市国防动员办公室报请市政府批准，定</w:t>
      </w:r>
      <w:r>
        <w:rPr>
          <w:rFonts w:hint="eastAsia" w:ascii="方正仿宋_GBK" w:eastAsia="方正仿宋_GBK"/>
          <w:sz w:val="32"/>
          <w:szCs w:val="32"/>
        </w:rPr>
        <w:t>于6月5日上午10</w:t>
      </w:r>
      <w:r>
        <w:rPr>
          <w:rFonts w:hint="eastAsia" w:ascii="方正仿宋_GBK" w:eastAsia="方正仿宋_GBK"/>
          <w:sz w:val="32"/>
          <w:szCs w:val="32"/>
          <w:lang w:eastAsia="zh-CN"/>
        </w:rPr>
        <w:t>点</w:t>
      </w:r>
      <w:r>
        <w:rPr>
          <w:rFonts w:hint="eastAsia" w:ascii="方正仿宋_GBK" w:eastAsia="方正仿宋_GBK"/>
          <w:sz w:val="32"/>
          <w:szCs w:val="32"/>
        </w:rPr>
        <w:t>30</w:t>
      </w:r>
      <w:r>
        <w:rPr>
          <w:rFonts w:hint="eastAsia" w:ascii="方正仿宋_GBK" w:eastAsia="方正仿宋_GBK"/>
          <w:sz w:val="32"/>
          <w:szCs w:val="32"/>
          <w:lang w:eastAsia="zh-CN"/>
        </w:rPr>
        <w:t>分</w:t>
      </w:r>
      <w:r>
        <w:rPr>
          <w:rFonts w:hint="eastAsia" w:ascii="方正仿宋_GBK" w:eastAsia="方正仿宋_GBK"/>
          <w:sz w:val="32"/>
          <w:szCs w:val="32"/>
        </w:rPr>
        <w:t>至10</w:t>
      </w:r>
      <w:r>
        <w:rPr>
          <w:rFonts w:hint="eastAsia" w:ascii="方正仿宋_GBK" w:eastAsia="方正仿宋_GBK"/>
          <w:sz w:val="32"/>
          <w:szCs w:val="32"/>
          <w:lang w:eastAsia="zh-CN"/>
        </w:rPr>
        <w:t>点</w:t>
      </w:r>
      <w:r>
        <w:rPr>
          <w:rFonts w:hint="eastAsia" w:ascii="方正仿宋_GBK" w:eastAsia="方正仿宋_GBK"/>
          <w:sz w:val="32"/>
          <w:szCs w:val="32"/>
        </w:rPr>
        <w:t>42</w:t>
      </w:r>
      <w:r>
        <w:rPr>
          <w:rFonts w:hint="eastAsia" w:ascii="方正仿宋_GBK" w:eastAsia="方正仿宋_GBK"/>
          <w:sz w:val="32"/>
          <w:szCs w:val="32"/>
          <w:lang w:eastAsia="zh-CN"/>
        </w:rPr>
        <w:t>分</w:t>
      </w:r>
      <w:r>
        <w:rPr>
          <w:rFonts w:hint="eastAsia" w:ascii="方正仿宋_GBK" w:eastAsia="方正仿宋_GBK"/>
          <w:sz w:val="32"/>
          <w:szCs w:val="32"/>
        </w:rPr>
        <w:t>，对全市所有防空警报进行试鸣放。现将有关事项通知如下：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一、认真做好防空警报试鸣放的宣传工作，使全区居民充分了解防空警报试鸣放信息和防空防灾相关知识。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二、各设台单位积极与供电部门联系，维护好警报供电线路，保证各警报台鸣放时能正常供电。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三、设有无线遥控设备的单位，严格听从市集控中心统一指挥，做好配合保障工作。试放过程中，若未能接收到遥控信号，采用手动方式鸣放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预先警报、空袭警报、解除警报和灾情警报四种信号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预先警报：鸣36秒，停24秒，反复3遍为1个周期（时长3分钟）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空袭警报：鸣6秒，停6秒，反复15遍为1个周期（时长3分钟）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解除警报：</w:t>
      </w:r>
      <w:r>
        <w:rPr>
          <w:rFonts w:hint="eastAsia" w:ascii="方正仿宋_GBK" w:eastAsia="方正仿宋_GBK"/>
          <w:sz w:val="32"/>
          <w:szCs w:val="32"/>
          <w:lang w:eastAsia="zh-CN"/>
        </w:rPr>
        <w:t>连续</w:t>
      </w:r>
      <w:r>
        <w:rPr>
          <w:rFonts w:hint="eastAsia" w:ascii="方正仿宋_GBK" w:eastAsia="方正仿宋_GBK"/>
          <w:sz w:val="32"/>
          <w:szCs w:val="32"/>
        </w:rPr>
        <w:t>鸣3分钟。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灾情警报：鸣3秒，停3秒，反复30遍为1个周期（时长3分钟）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四、加强防空警报设备设施的检查维护，发现问题及时整改，并将原因于20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年6月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日前报区</w:t>
      </w:r>
      <w:r>
        <w:rPr>
          <w:rFonts w:hint="eastAsia" w:ascii="方正仿宋_GBK" w:eastAsia="方正仿宋_GBK"/>
          <w:sz w:val="32"/>
          <w:szCs w:val="32"/>
          <w:lang w:eastAsia="zh-CN"/>
        </w:rPr>
        <w:t>人民防空办公室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五、试鸣放前各单位</w:t>
      </w:r>
      <w:r>
        <w:rPr>
          <w:rFonts w:hint="eastAsia" w:ascii="方正仿宋_GBK" w:eastAsia="方正仿宋_GBK"/>
          <w:sz w:val="32"/>
          <w:szCs w:val="32"/>
        </w:rPr>
        <w:t>将《重庆市人民政府通告》复印</w:t>
      </w:r>
      <w:r>
        <w:rPr>
          <w:rFonts w:hint="eastAsia" w:ascii="方正仿宋_GBK" w:eastAsia="方正仿宋_GBK"/>
          <w:sz w:val="32"/>
          <w:szCs w:val="32"/>
          <w:lang w:eastAsia="zh-CN"/>
        </w:rPr>
        <w:t>，在本辖区、本单位、小区楼栋及社会单位进行</w:t>
      </w:r>
      <w:r>
        <w:rPr>
          <w:rFonts w:hint="eastAsia" w:ascii="方正仿宋_GBK" w:eastAsia="方正仿宋_GBK"/>
          <w:sz w:val="32"/>
          <w:szCs w:val="32"/>
        </w:rPr>
        <w:t>张贴，</w:t>
      </w:r>
      <w:r>
        <w:rPr>
          <w:rFonts w:hint="eastAsia" w:ascii="方正仿宋_GBK" w:eastAsia="方正仿宋_GBK"/>
          <w:sz w:val="32"/>
          <w:szCs w:val="32"/>
          <w:lang w:eastAsia="zh-CN"/>
        </w:rPr>
        <w:t>广泛宣传，</w:t>
      </w:r>
      <w:r>
        <w:rPr>
          <w:rFonts w:hint="eastAsia" w:ascii="方正仿宋_GBK" w:eastAsia="方正仿宋_GBK"/>
          <w:sz w:val="32"/>
          <w:szCs w:val="32"/>
        </w:rPr>
        <w:t>确保鸣放中市民</w:t>
      </w:r>
      <w:r>
        <w:rPr>
          <w:rFonts w:hint="eastAsia" w:ascii="方正仿宋_GBK" w:eastAsia="方正仿宋_GBK"/>
          <w:sz w:val="32"/>
          <w:szCs w:val="32"/>
          <w:lang w:eastAsia="zh-CN"/>
        </w:rPr>
        <w:t>闻声勿惊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六、试鸣放当天，各单位要加强领导带班，落实专人值守，提前到岗，开通设备。</w:t>
      </w:r>
    </w:p>
    <w:p>
      <w:pPr>
        <w:ind w:firstLine="63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七、试鸣放后各单位及时清除张贴的通告。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各单位要认真做好各项准备工作，加强宣传教育，抓好工作落实，确保参加试放的警报鸣响率达到100％。试放结束后，将警报鸣放等情况于6月15日前报区</w:t>
      </w:r>
      <w:r>
        <w:rPr>
          <w:rFonts w:hint="eastAsia" w:ascii="方正仿宋_GBK" w:eastAsia="方正仿宋_GBK"/>
          <w:sz w:val="32"/>
          <w:szCs w:val="32"/>
          <w:lang w:eastAsia="zh-CN"/>
        </w:rPr>
        <w:t>国防动员办公室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附件：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国防动员</w:t>
      </w:r>
      <w:r>
        <w:rPr>
          <w:rFonts w:hint="eastAsia" w:ascii="方正仿宋_GBK" w:eastAsia="方正仿宋_GBK"/>
          <w:sz w:val="32"/>
          <w:szCs w:val="32"/>
        </w:rPr>
        <w:t>办公室</w:t>
      </w:r>
      <w:r>
        <w:rPr>
          <w:rFonts w:hint="default" w:ascii="方正仿宋_GBK" w:eastAsia="方正仿宋_GBK"/>
          <w:sz w:val="32"/>
          <w:szCs w:val="32"/>
        </w:rPr>
        <w:t>关于</w:t>
      </w:r>
      <w:r>
        <w:rPr>
          <w:rFonts w:hint="eastAsia" w:ascii="方正仿宋_GBK" w:eastAsia="方正仿宋_GBK"/>
          <w:sz w:val="32"/>
          <w:szCs w:val="32"/>
          <w:lang w:eastAsia="zh-CN"/>
        </w:rPr>
        <w:t>做好</w:t>
      </w:r>
      <w:r>
        <w:rPr>
          <w:rFonts w:hint="default" w:ascii="方正仿宋_GBK" w:eastAsia="方正仿宋_GBK"/>
          <w:sz w:val="32"/>
          <w:szCs w:val="32"/>
        </w:rPr>
        <w:t>防空警报试鸣放</w:t>
      </w:r>
      <w:r>
        <w:rPr>
          <w:rFonts w:hint="eastAsia" w:ascii="方正仿宋_GBK" w:eastAsia="方正仿宋_GBK"/>
          <w:sz w:val="32"/>
          <w:szCs w:val="32"/>
          <w:lang w:eastAsia="zh-CN"/>
        </w:rPr>
        <w:t>工作</w:t>
      </w:r>
      <w:r>
        <w:rPr>
          <w:rFonts w:hint="default" w:ascii="方正仿宋_GBK" w:eastAsia="方正仿宋_GBK"/>
          <w:sz w:val="32"/>
          <w:szCs w:val="32"/>
        </w:rPr>
        <w:t>的通知</w:t>
      </w:r>
    </w:p>
    <w:p>
      <w:pPr>
        <w:ind w:firstLine="1280" w:firstLineChars="400"/>
        <w:jc w:val="left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2、重庆市人民政府通告</w:t>
      </w:r>
    </w:p>
    <w:p>
      <w:pPr>
        <w:ind w:firstLine="630"/>
        <w:jc w:val="left"/>
        <w:rPr>
          <w:rFonts w:hint="eastAsia" w:ascii="仿宋_GB2312" w:eastAsia="仿宋_GB2312"/>
          <w:sz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10"/>
          <w:szCs w:val="1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10"/>
          <w:szCs w:val="1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10"/>
          <w:szCs w:val="1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10"/>
          <w:szCs w:val="1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10"/>
          <w:szCs w:val="10"/>
          <w:lang w:val="en-US" w:eastAsia="zh-CN"/>
        </w:rPr>
      </w:pPr>
    </w:p>
    <w:p>
      <w:pPr>
        <w:spacing w:line="540" w:lineRule="exact"/>
        <w:ind w:firstLine="5120" w:firstLineChars="16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沙坪坝区</w:t>
      </w:r>
      <w:r>
        <w:rPr>
          <w:rFonts w:hint="eastAsia" w:ascii="方正仿宋_GBK" w:eastAsia="方正仿宋_GBK"/>
          <w:sz w:val="32"/>
          <w:szCs w:val="32"/>
          <w:lang w:eastAsia="zh-CN"/>
        </w:rPr>
        <w:t>国防动员</w:t>
      </w:r>
      <w:r>
        <w:rPr>
          <w:rFonts w:hint="eastAsia" w:ascii="方正仿宋_GBK" w:eastAsia="方正仿宋_GBK"/>
          <w:sz w:val="32"/>
          <w:szCs w:val="32"/>
        </w:rPr>
        <w:t xml:space="preserve">办公室                                  </w:t>
      </w:r>
    </w:p>
    <w:p>
      <w:pPr>
        <w:spacing w:line="540" w:lineRule="exact"/>
        <w:ind w:firstLine="5760" w:firstLineChars="18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年5月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4"/>
        <w:jc w:val="both"/>
        <w:rPr>
          <w:rFonts w:hint="eastAsia" w:ascii="黑体" w:eastAsia="黑体"/>
          <w:b w:val="0"/>
          <w:bCs w:val="0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ind w:firstLine="105" w:firstLineChars="50"/>
        <w:rPr>
          <w:rFonts w:hint="eastAsia"/>
        </w:rPr>
      </w:pPr>
      <w:r>
        <w:rPr>
          <w:rFonts w:hint="eastAsia" w:ascii="黑体" w:eastAsia="黑体"/>
          <w:b w:val="0"/>
          <w:bCs w:val="0"/>
        </w:rPr>
        <w:t xml:space="preserve">                                         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黑体" w:eastAsia="黑体"/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Hlk37239649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做好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防空警报试鸣放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国动办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，两江新区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经济运行局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西部科学城重庆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高新区建设局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万盛经开区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指挥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技术保障中心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《重庆市人民防空条例》第四章第二十九条规定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，报请市政府同意，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年6月5日全市所有防空警报（万州区除外）进行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年度试鸣放。现将相关要求明确如下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，请各单位遵照执行。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一、警报试鸣放时间及警报信号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7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本次警报试鸣放统一于6月5日上午10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30至10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42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分别发出预先、空袭、解除和灾情四种警报信号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由各区县（自治县）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民防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办组织实施，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其中主城九区、两江新区、高新区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范围内的警报器由市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国动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办统一控制，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各区分控中心在鸣放当天不得进行任何操作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；其余各区县自行控制信号发放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2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警报信号规定如下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2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预先警报：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鸣36秒，停24秒，反复3遍为1个周期（时长3分钟）。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（二）空袭警报：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鸣6秒，停6秒，反复15遍为1个周期（时长3分钟）。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（三）解除警报：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连续鸣3分钟。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（四）灾情警报：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鸣3秒，停3秒，反复30遍为1个周期（时长3分钟）。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二、做好警报试鸣放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各单位要及时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专人对辖区内防空警报台及附属设施进行拉网式检查，做到状态好、情况明、数据准、资料齐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日前将不能参加试鸣放的警报台及原因报告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国动办信息化处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与供电部门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警报设备供电线路维护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，确保试鸣放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期间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各警报台供电正常。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各单位利用警报统控系统，准时发放警报信号。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暂未安装统控接收设备的警报台，管理员要以北京时间为基准，精确校对时序，手动发放信号，确保鸣响一致。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6月5日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试鸣放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当天，各单位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要组织设台单位警报管理员到岗值守。各单位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要全程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到岗在位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及时处置突发状况，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确保试鸣放顺利实施。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（五）技术保障中心配合指挥中心做好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警报信号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差转台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市级统控系统等相关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设备的调试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6月5日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当天的警报信号发放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各单位要认真做好防空警报试鸣放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和人民防空知识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宣传工作，通过区县电视台、报纸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、手机报、微信公众号以及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预警信息发布平台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等媒介广泛宣传防空警报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鸣放信息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，确保广大市民闻声不惊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kern w:val="3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、做好警报试鸣放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总结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试鸣放结束后，各单位要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总结经验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查找不足，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形成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试鸣放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于6月30日之前通过机要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电子政务外网办公系统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信息化处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（二）各单位在完成警报建设年度任务后，及时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防空警报台（警报器）增减表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通过机要或传真方式报送市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信息化处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各单位接此通知后，要认真做好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警报试鸣放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各项准备工作，确保辖区内警报设施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良好战备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状态，确保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警报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鸣响率达到100%。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3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bookmarkStart w:id="1" w:name="_GoBack"/>
      <w:bookmarkEnd w:id="1"/>
    </w:p>
    <w:p>
      <w:pPr>
        <w:pStyle w:val="4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5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74055" cy="7686675"/>
            <wp:effectExtent l="0" t="0" r="17145" b="9525"/>
            <wp:docPr id="2" name="图片 2" descr="市政府鸣放通告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市政府鸣放通告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 xml:space="preserve">           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方正姚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 Armenian">
    <w:panose1 w:val="020B0606030804020204"/>
    <w:charset w:val="00"/>
    <w:family w:val="auto"/>
    <w:pitch w:val="default"/>
    <w:sig w:usb0="00000401" w:usb1="4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180" w:firstLine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102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102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2.6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QvK361AAAAAQBAAAPAAAAAAAAAAEA&#10;IAAAADgAAABkcnMvZG93bnJldi54bWxQSwECFAAUAAAACACHTuJA7tBMGMQBAABfAwAADgAAAAAA&#10;AAABACAAAAA5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27355"/>
    <w:rsid w:val="06457043"/>
    <w:rsid w:val="07BB561E"/>
    <w:rsid w:val="09DD27BD"/>
    <w:rsid w:val="0A2E204C"/>
    <w:rsid w:val="0A633F35"/>
    <w:rsid w:val="0CFE7903"/>
    <w:rsid w:val="0DBD2F4C"/>
    <w:rsid w:val="0EE84BC9"/>
    <w:rsid w:val="113D650B"/>
    <w:rsid w:val="11EB6DF4"/>
    <w:rsid w:val="12827355"/>
    <w:rsid w:val="129745EF"/>
    <w:rsid w:val="179C7146"/>
    <w:rsid w:val="19CB442D"/>
    <w:rsid w:val="1BF32040"/>
    <w:rsid w:val="1D714874"/>
    <w:rsid w:val="1F200090"/>
    <w:rsid w:val="204E0BD3"/>
    <w:rsid w:val="24F33EB5"/>
    <w:rsid w:val="287E4778"/>
    <w:rsid w:val="2E503CAB"/>
    <w:rsid w:val="31111778"/>
    <w:rsid w:val="37F39695"/>
    <w:rsid w:val="3A0E609E"/>
    <w:rsid w:val="3D141059"/>
    <w:rsid w:val="3DEE0645"/>
    <w:rsid w:val="3E5A38E9"/>
    <w:rsid w:val="40AA5B71"/>
    <w:rsid w:val="4442597D"/>
    <w:rsid w:val="4A9A2CDB"/>
    <w:rsid w:val="51C863F4"/>
    <w:rsid w:val="51DD7ADF"/>
    <w:rsid w:val="59683E77"/>
    <w:rsid w:val="61E42CF5"/>
    <w:rsid w:val="64BA1778"/>
    <w:rsid w:val="65EE7613"/>
    <w:rsid w:val="660F4B73"/>
    <w:rsid w:val="67B747F1"/>
    <w:rsid w:val="696C5805"/>
    <w:rsid w:val="6DD14C79"/>
    <w:rsid w:val="6ED13176"/>
    <w:rsid w:val="704446DC"/>
    <w:rsid w:val="72B365EA"/>
    <w:rsid w:val="74703BE2"/>
    <w:rsid w:val="74DC11E2"/>
    <w:rsid w:val="7C300C1F"/>
    <w:rsid w:val="9EB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 w:cs="Arial"/>
      <w:b/>
      <w:bCs/>
    </w:rPr>
  </w:style>
  <w:style w:type="paragraph" w:styleId="4">
    <w:name w:val="Body Text"/>
    <w:basedOn w:val="1"/>
    <w:next w:val="5"/>
    <w:qFormat/>
    <w:uiPriority w:val="0"/>
    <w:pPr>
      <w:adjustRightInd w:val="0"/>
      <w:snapToGrid w:val="0"/>
      <w:jc w:val="center"/>
    </w:pPr>
    <w:rPr>
      <w:rFonts w:eastAsia="宋体"/>
      <w:b/>
      <w:bCs/>
      <w:spacing w:val="0"/>
      <w:kern w:val="2"/>
      <w:sz w:val="44"/>
    </w:rPr>
  </w:style>
  <w:style w:type="paragraph" w:customStyle="1" w:styleId="5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沙区民防办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2020-04-03T08:41:00Z</dcterms:created>
  <dc:creator>Administrator</dc:creator>
  <cp:lastModifiedBy>guest</cp:lastModifiedBy>
  <cp:lastPrinted>2022-05-23T10:28:00Z</cp:lastPrinted>
  <dcterms:modified xsi:type="dcterms:W3CDTF">2024-02-19T09:28:06Z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100939B97C0D46E58D8DAD9F9F1A4490</vt:lpwstr>
  </property>
</Properties>
</file>