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widowControl/>
        <w:spacing w:beforeLines="50" w:beforeAutospacing="0" w:afterLines="50" w:afterAutospacing="0" w:line="594" w:lineRule="exact"/>
        <w:ind w:firstLine="910"/>
        <w:jc w:val="center"/>
        <w:rPr>
          <w:rFonts w:eastAsia="黑体"/>
          <w:w w:val="88"/>
          <w:kern w:val="2"/>
          <w:sz w:val="52"/>
          <w:szCs w:val="52"/>
        </w:rPr>
      </w:pPr>
    </w:p>
    <w:p>
      <w:pPr>
        <w:pStyle w:val="21"/>
        <w:widowControl/>
        <w:spacing w:beforeLines="50" w:beforeAutospacing="0" w:afterLines="50" w:afterAutospacing="0" w:line="594" w:lineRule="exact"/>
        <w:ind w:firstLine="910"/>
        <w:jc w:val="center"/>
        <w:rPr>
          <w:rFonts w:eastAsia="黑体"/>
          <w:w w:val="88"/>
          <w:kern w:val="2"/>
          <w:sz w:val="52"/>
          <w:szCs w:val="52"/>
        </w:rPr>
      </w:pPr>
    </w:p>
    <w:p>
      <w:pPr>
        <w:keepNext w:val="0"/>
        <w:keepLines w:val="0"/>
        <w:pageBreakBefore w:val="0"/>
        <w:widowControl w:val="0"/>
        <w:kinsoku/>
        <w:wordWrap/>
        <w:overflowPunct/>
        <w:topLinePunct w:val="0"/>
        <w:autoSpaceDE w:val="0"/>
        <w:autoSpaceDN/>
        <w:bidi w:val="0"/>
        <w:adjustRightInd/>
        <w:snapToGrid/>
        <w:spacing w:beforeLines="50"/>
        <w:ind w:firstLine="0" w:firstLineChars="0"/>
        <w:jc w:val="both"/>
        <w:textAlignment w:val="auto"/>
        <w:rPr>
          <w:rFonts w:hint="eastAsia" w:ascii="Times New Roman" w:hAnsi="Times New Roman" w:eastAsia="方正小标宋_GBK" w:cs="Times New Roman"/>
          <w:spacing w:val="-10"/>
          <w:kern w:val="2"/>
          <w:sz w:val="40"/>
          <w:szCs w:val="36"/>
        </w:rPr>
      </w:pPr>
    </w:p>
    <w:p>
      <w:pPr>
        <w:keepNext w:val="0"/>
        <w:keepLines w:val="0"/>
        <w:pageBreakBefore w:val="0"/>
        <w:widowControl w:val="0"/>
        <w:kinsoku/>
        <w:wordWrap/>
        <w:overflowPunct/>
        <w:topLinePunct w:val="0"/>
        <w:autoSpaceDE w:val="0"/>
        <w:autoSpaceDN/>
        <w:bidi w:val="0"/>
        <w:adjustRightInd/>
        <w:snapToGrid/>
        <w:spacing w:beforeLines="50"/>
        <w:ind w:firstLine="0" w:firstLineChars="0"/>
        <w:jc w:val="center"/>
        <w:textAlignment w:val="auto"/>
        <w:rPr>
          <w:rFonts w:hint="eastAsia" w:ascii="Times New Roman" w:hAnsi="Times New Roman" w:eastAsia="方正小标宋_GBK" w:cs="Times New Roman"/>
          <w:spacing w:val="-10"/>
          <w:kern w:val="2"/>
          <w:sz w:val="40"/>
          <w:szCs w:val="40"/>
          <w:lang w:val="en-US" w:eastAsia="zh-CN" w:bidi="ar-SA"/>
        </w:rPr>
      </w:pPr>
      <w:r>
        <w:rPr>
          <w:rFonts w:hint="eastAsia" w:ascii="Times New Roman" w:hAnsi="Times New Roman" w:eastAsia="方正小标宋_GBK" w:cs="Times New Roman"/>
          <w:spacing w:val="-10"/>
          <w:kern w:val="2"/>
          <w:sz w:val="40"/>
          <w:szCs w:val="40"/>
        </w:rPr>
        <w:t>沙坪坝区高标准农田建设规划</w:t>
      </w:r>
      <w:r>
        <w:rPr>
          <w:rFonts w:hint="eastAsia" w:ascii="Times New Roman" w:hAnsi="Times New Roman" w:eastAsia="方正小标宋_GBK" w:cs="Times New Roman"/>
          <w:spacing w:val="-10"/>
          <w:kern w:val="2"/>
          <w:sz w:val="40"/>
          <w:szCs w:val="40"/>
          <w:lang w:val="en-US" w:eastAsia="zh-CN" w:bidi="ar-SA"/>
        </w:rPr>
        <w:t>（2021—2030年）</w:t>
      </w:r>
    </w:p>
    <w:p>
      <w:pPr>
        <w:pStyle w:val="21"/>
        <w:widowControl/>
        <w:spacing w:beforeAutospacing="0" w:afterAutospacing="0" w:line="360" w:lineRule="auto"/>
        <w:ind w:firstLine="760" w:firstLineChars="200"/>
        <w:jc w:val="center"/>
        <w:rPr>
          <w:rFonts w:ascii="Times New Roman" w:hAnsi="Times New Roman" w:eastAsia="方正小标宋_GBK" w:cs="Times New Roman"/>
          <w:spacing w:val="-10"/>
          <w:kern w:val="2"/>
          <w:sz w:val="40"/>
          <w:szCs w:val="36"/>
        </w:rPr>
      </w:pPr>
    </w:p>
    <w:p>
      <w:pPr>
        <w:pStyle w:val="21"/>
        <w:widowControl/>
        <w:spacing w:beforeLines="50" w:beforeAutospacing="0" w:afterLines="50" w:afterAutospacing="0" w:line="594" w:lineRule="exact"/>
        <w:ind w:firstLine="993"/>
        <w:jc w:val="center"/>
        <w:rPr>
          <w:rFonts w:eastAsia="黑体"/>
          <w:b/>
          <w:w w:val="88"/>
          <w:kern w:val="2"/>
          <w:sz w:val="56"/>
          <w:szCs w:val="52"/>
        </w:rPr>
      </w:pPr>
    </w:p>
    <w:p>
      <w:pPr>
        <w:pStyle w:val="21"/>
        <w:widowControl/>
        <w:spacing w:beforeLines="50" w:beforeAutospacing="0" w:afterLines="50" w:afterAutospacing="0" w:line="594" w:lineRule="exact"/>
        <w:ind w:firstLine="803"/>
        <w:jc w:val="center"/>
        <w:rPr>
          <w:rStyle w:val="23"/>
          <w:rFonts w:eastAsia="方正小标宋_GBK"/>
          <w:sz w:val="40"/>
          <w:szCs w:val="40"/>
        </w:rPr>
      </w:pPr>
    </w:p>
    <w:p>
      <w:pPr>
        <w:pStyle w:val="21"/>
        <w:widowControl/>
        <w:spacing w:beforeLines="50" w:beforeAutospacing="0" w:afterLines="50" w:afterAutospacing="0" w:line="594" w:lineRule="exact"/>
        <w:ind w:firstLine="803"/>
        <w:jc w:val="both"/>
        <w:rPr>
          <w:rStyle w:val="23"/>
          <w:rFonts w:eastAsia="方正小标宋_GBK"/>
          <w:sz w:val="40"/>
          <w:szCs w:val="40"/>
        </w:rPr>
      </w:pPr>
    </w:p>
    <w:p>
      <w:pPr>
        <w:pStyle w:val="21"/>
        <w:widowControl/>
        <w:spacing w:beforeLines="50" w:beforeAutospacing="0" w:afterLines="50" w:afterAutospacing="0" w:line="594" w:lineRule="exact"/>
        <w:ind w:firstLine="803"/>
        <w:jc w:val="center"/>
        <w:rPr>
          <w:rStyle w:val="23"/>
          <w:rFonts w:eastAsia="方正小标宋_GBK"/>
          <w:sz w:val="40"/>
          <w:szCs w:val="40"/>
        </w:rPr>
      </w:pPr>
    </w:p>
    <w:p>
      <w:pPr>
        <w:pStyle w:val="21"/>
        <w:widowControl/>
        <w:spacing w:beforeLines="50" w:beforeAutospacing="0" w:afterLines="50" w:afterAutospacing="0" w:line="594" w:lineRule="exact"/>
        <w:ind w:firstLine="803"/>
        <w:jc w:val="center"/>
        <w:rPr>
          <w:rStyle w:val="23"/>
          <w:rFonts w:eastAsia="方正小标宋_GBK"/>
          <w:sz w:val="40"/>
          <w:szCs w:val="40"/>
        </w:rPr>
      </w:pPr>
    </w:p>
    <w:p>
      <w:pPr>
        <w:pStyle w:val="21"/>
        <w:widowControl/>
        <w:spacing w:beforeLines="50" w:beforeAutospacing="0" w:afterLines="50" w:afterAutospacing="0" w:line="594" w:lineRule="exact"/>
        <w:ind w:firstLine="803"/>
        <w:jc w:val="center"/>
        <w:rPr>
          <w:rStyle w:val="23"/>
          <w:rFonts w:eastAsia="方正小标宋_GBK"/>
          <w:sz w:val="40"/>
          <w:szCs w:val="40"/>
        </w:rPr>
      </w:pPr>
    </w:p>
    <w:p>
      <w:pPr>
        <w:pStyle w:val="21"/>
        <w:widowControl/>
        <w:spacing w:beforeLines="50" w:beforeAutospacing="0" w:afterLines="50" w:afterAutospacing="0" w:line="594" w:lineRule="exact"/>
        <w:ind w:firstLine="803"/>
        <w:jc w:val="center"/>
        <w:rPr>
          <w:rStyle w:val="23"/>
          <w:rFonts w:eastAsia="方正小标宋_GBK"/>
          <w:sz w:val="40"/>
          <w:szCs w:val="40"/>
        </w:rPr>
      </w:pPr>
    </w:p>
    <w:p>
      <w:pPr>
        <w:pStyle w:val="21"/>
        <w:widowControl/>
        <w:spacing w:beforeLines="50" w:beforeAutospacing="0" w:afterLines="50" w:afterAutospacing="0" w:line="594" w:lineRule="exact"/>
        <w:ind w:left="0" w:leftChars="0" w:firstLine="0" w:firstLineChars="0"/>
        <w:jc w:val="both"/>
        <w:rPr>
          <w:rStyle w:val="23"/>
          <w:rFonts w:eastAsia="方正小标宋_GBK"/>
          <w:sz w:val="40"/>
          <w:szCs w:val="40"/>
        </w:rPr>
      </w:pPr>
    </w:p>
    <w:p>
      <w:pPr>
        <w:pStyle w:val="21"/>
        <w:widowControl/>
        <w:spacing w:beforeAutospacing="0" w:afterAutospacing="0" w:line="360" w:lineRule="auto"/>
        <w:ind w:firstLine="640" w:firstLineChars="200"/>
        <w:jc w:val="center"/>
        <w:rPr>
          <w:rFonts w:hint="eastAsia" w:ascii="Times New Roman" w:hAnsi="Times New Roman" w:eastAsia="方正黑体_GBK" w:cs="Times New Roman"/>
          <w:kern w:val="2"/>
          <w:sz w:val="32"/>
          <w:szCs w:val="32"/>
        </w:rPr>
      </w:pPr>
    </w:p>
    <w:p>
      <w:pPr>
        <w:pStyle w:val="21"/>
        <w:widowControl/>
        <w:spacing w:beforeAutospacing="0" w:afterAutospacing="0" w:line="360" w:lineRule="auto"/>
        <w:ind w:firstLine="640" w:firstLineChars="200"/>
        <w:jc w:val="center"/>
        <w:rPr>
          <w:rFonts w:ascii="Times New Roman" w:hAnsi="Times New Roman" w:eastAsia="方正黑体_GBK" w:cs="Times New Roman"/>
          <w:kern w:val="2"/>
          <w:sz w:val="32"/>
          <w:szCs w:val="32"/>
        </w:rPr>
      </w:pPr>
      <w:bookmarkStart w:id="49" w:name="_GoBack"/>
      <w:bookmarkEnd w:id="49"/>
      <w:r>
        <w:rPr>
          <w:rFonts w:hint="eastAsia" w:ascii="Times New Roman" w:hAnsi="Times New Roman" w:eastAsia="方正黑体_GBK" w:cs="Times New Roman"/>
          <w:kern w:val="2"/>
          <w:sz w:val="32"/>
          <w:szCs w:val="32"/>
        </w:rPr>
        <w:t>沙坪坝区农业农村委员会</w:t>
      </w:r>
    </w:p>
    <w:p>
      <w:pPr>
        <w:pStyle w:val="21"/>
        <w:widowControl/>
        <w:spacing w:beforeAutospacing="0" w:afterAutospacing="0" w:line="360" w:lineRule="auto"/>
        <w:ind w:firstLine="640" w:firstLineChars="200"/>
        <w:jc w:val="center"/>
        <w:rPr>
          <w:rFonts w:hint="eastAsia" w:ascii="Times New Roman" w:hAnsi="Times New Roman" w:eastAsia="方正黑体_GBK" w:cs="Times New Roman"/>
          <w:kern w:val="2"/>
          <w:sz w:val="32"/>
          <w:szCs w:val="32"/>
        </w:rPr>
      </w:pPr>
      <w:r>
        <w:rPr>
          <w:rFonts w:hint="eastAsia" w:ascii="Times New Roman" w:hAnsi="Times New Roman" w:eastAsia="方正黑体_GBK" w:cs="Times New Roman"/>
          <w:kern w:val="2"/>
          <w:sz w:val="32"/>
          <w:szCs w:val="32"/>
        </w:rPr>
        <w:t>编制单位：重庆凯锐农业发展有限责任公司</w:t>
      </w:r>
    </w:p>
    <w:p>
      <w:pPr>
        <w:spacing w:line="594" w:lineRule="exact"/>
        <w:ind w:firstLine="0" w:firstLineChars="0"/>
        <w:jc w:val="center"/>
        <w:rPr>
          <w:rFonts w:eastAsia="黑体" w:cs="黑体"/>
          <w:bCs/>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eastAsia="黑体" w:cs="黑体"/>
          <w:bCs/>
          <w:szCs w:val="36"/>
          <w:lang w:val="en-US" w:eastAsia="zh-CN"/>
        </w:rPr>
        <w:t>2022年09</w:t>
      </w:r>
      <w:r>
        <w:rPr>
          <w:rFonts w:hint="eastAsia" w:eastAsia="黑体" w:cs="黑体"/>
          <w:bCs/>
          <w:szCs w:val="36"/>
        </w:rPr>
        <w:t>月</w:t>
      </w:r>
    </w:p>
    <w:p>
      <w:pPr>
        <w:spacing w:line="594" w:lineRule="exact"/>
        <w:ind w:firstLine="720"/>
        <w:jc w:val="center"/>
        <w:rPr>
          <w:rStyle w:val="23"/>
          <w:rFonts w:ascii="方正黑体_GBK" w:hAnsi="方正黑体_GBK" w:eastAsia="方正黑体_GBK" w:cs="方正黑体_GBK"/>
          <w:b w:val="0"/>
          <w:bCs/>
          <w:sz w:val="36"/>
          <w:szCs w:val="36"/>
        </w:rPr>
      </w:pPr>
      <w:r>
        <w:rPr>
          <w:rStyle w:val="23"/>
          <w:rFonts w:hint="eastAsia" w:ascii="方正黑体_GBK" w:hAnsi="方正黑体_GBK" w:eastAsia="方正黑体_GBK" w:cs="方正黑体_GBK"/>
          <w:b w:val="0"/>
          <w:bCs/>
          <w:sz w:val="36"/>
          <w:szCs w:val="36"/>
        </w:rPr>
        <w:t>目  录</w:t>
      </w:r>
    </w:p>
    <w:p>
      <w:pPr>
        <w:pStyle w:val="18"/>
        <w:tabs>
          <w:tab w:val="right" w:leader="dot" w:pos="8306"/>
          <w:tab w:val="clear" w:pos="910"/>
          <w:tab w:val="clear" w:pos="8398"/>
        </w:tabs>
        <w:ind w:firstLine="560"/>
      </w:pPr>
      <w:r>
        <w:rPr>
          <w:rFonts w:hint="eastAsia" w:ascii="方正黑体_GBK" w:hAnsi="方正黑体_GBK" w:cs="方正黑体_GBK"/>
          <w:spacing w:val="-9"/>
          <w:szCs w:val="44"/>
        </w:rPr>
        <w:t>前 言</w:t>
      </w:r>
      <w:r>
        <w:tab/>
      </w:r>
      <w:r>
        <w:t>1</w:t>
      </w:r>
    </w:p>
    <w:p>
      <w:pPr>
        <w:pStyle w:val="18"/>
        <w:tabs>
          <w:tab w:val="right" w:leader="dot" w:pos="8306"/>
          <w:tab w:val="clear" w:pos="910"/>
          <w:tab w:val="clear" w:pos="8398"/>
        </w:tabs>
        <w:ind w:firstLine="560"/>
      </w:pPr>
      <w:r>
        <w:rPr>
          <w:rFonts w:hint="eastAsia"/>
        </w:rPr>
        <w:t>第一章 背景与形势</w:t>
      </w:r>
      <w:r>
        <w:tab/>
      </w:r>
      <w:r>
        <w:t>3</w:t>
      </w:r>
    </w:p>
    <w:p>
      <w:pPr>
        <w:pStyle w:val="20"/>
        <w:tabs>
          <w:tab w:val="right" w:leader="dot" w:pos="8306"/>
          <w:tab w:val="clear" w:pos="985"/>
          <w:tab w:val="clear" w:pos="8398"/>
        </w:tabs>
        <w:ind w:left="640" w:firstLine="560"/>
      </w:pPr>
      <w:r>
        <w:rPr>
          <w:rFonts w:hint="eastAsia"/>
        </w:rPr>
        <w:t>一、</w:t>
      </w:r>
      <w:r>
        <w:rPr>
          <w:rFonts w:hint="eastAsia"/>
          <w:lang w:val="en-US" w:eastAsia="zh-CN"/>
        </w:rPr>
        <w:t>基本情况</w:t>
      </w:r>
      <w:r>
        <w:tab/>
      </w:r>
      <w:r>
        <w:t>3</w:t>
      </w:r>
    </w:p>
    <w:p>
      <w:pPr>
        <w:pStyle w:val="20"/>
        <w:tabs>
          <w:tab w:val="right" w:leader="dot" w:pos="8306"/>
          <w:tab w:val="clear" w:pos="985"/>
          <w:tab w:val="clear" w:pos="8398"/>
        </w:tabs>
        <w:ind w:left="640" w:firstLine="560"/>
      </w:pPr>
      <w:r>
        <w:rPr>
          <w:rFonts w:hint="eastAsia"/>
        </w:rPr>
        <w:t>二、建设成效</w:t>
      </w:r>
      <w:r>
        <w:tab/>
      </w:r>
      <w:r>
        <w:t>7</w:t>
      </w:r>
    </w:p>
    <w:p>
      <w:pPr>
        <w:pStyle w:val="20"/>
        <w:tabs>
          <w:tab w:val="right" w:leader="dot" w:pos="8306"/>
          <w:tab w:val="clear" w:pos="985"/>
          <w:tab w:val="clear" w:pos="8398"/>
        </w:tabs>
        <w:ind w:left="640" w:firstLine="560"/>
      </w:pPr>
      <w:r>
        <w:rPr>
          <w:rFonts w:hint="eastAsia"/>
        </w:rPr>
        <w:t>三、建设经验</w:t>
      </w:r>
      <w:r>
        <w:tab/>
      </w:r>
      <w:r>
        <w:t>8</w:t>
      </w:r>
    </w:p>
    <w:p>
      <w:pPr>
        <w:pStyle w:val="20"/>
        <w:tabs>
          <w:tab w:val="right" w:leader="dot" w:pos="8306"/>
          <w:tab w:val="clear" w:pos="985"/>
          <w:tab w:val="clear" w:pos="8398"/>
        </w:tabs>
        <w:ind w:left="640" w:firstLine="560"/>
      </w:pPr>
      <w:r>
        <w:rPr>
          <w:rFonts w:hint="eastAsia"/>
        </w:rPr>
        <w:t>四、制约因素</w:t>
      </w:r>
      <w:r>
        <w:tab/>
      </w:r>
      <w:r>
        <w:t>10</w:t>
      </w:r>
    </w:p>
    <w:p>
      <w:pPr>
        <w:pStyle w:val="18"/>
        <w:tabs>
          <w:tab w:val="right" w:leader="dot" w:pos="8306"/>
          <w:tab w:val="clear" w:pos="910"/>
          <w:tab w:val="clear" w:pos="8398"/>
        </w:tabs>
        <w:ind w:firstLine="560"/>
      </w:pPr>
      <w:r>
        <w:rPr>
          <w:rFonts w:hint="eastAsia"/>
        </w:rPr>
        <w:t>第二章 总体要求</w:t>
      </w:r>
      <w:r>
        <w:tab/>
      </w:r>
      <w:r>
        <w:t>12</w:t>
      </w:r>
    </w:p>
    <w:p>
      <w:pPr>
        <w:pStyle w:val="20"/>
        <w:tabs>
          <w:tab w:val="right" w:leader="dot" w:pos="8306"/>
          <w:tab w:val="clear" w:pos="985"/>
          <w:tab w:val="clear" w:pos="8398"/>
        </w:tabs>
        <w:ind w:left="640" w:firstLine="560"/>
      </w:pPr>
      <w:r>
        <w:rPr>
          <w:rFonts w:hint="eastAsia"/>
        </w:rPr>
        <w:t>一、指导思想</w:t>
      </w:r>
      <w:r>
        <w:tab/>
      </w:r>
      <w:r>
        <w:t>12</w:t>
      </w:r>
    </w:p>
    <w:p>
      <w:pPr>
        <w:pStyle w:val="20"/>
        <w:tabs>
          <w:tab w:val="right" w:leader="dot" w:pos="8306"/>
          <w:tab w:val="clear" w:pos="985"/>
          <w:tab w:val="clear" w:pos="8398"/>
        </w:tabs>
        <w:ind w:left="640" w:firstLine="560"/>
      </w:pPr>
      <w:r>
        <w:rPr>
          <w:rFonts w:hint="eastAsia"/>
        </w:rPr>
        <w:t>二、基本原则</w:t>
      </w:r>
      <w:r>
        <w:tab/>
      </w:r>
      <w:r>
        <w:t>12</w:t>
      </w:r>
    </w:p>
    <w:p>
      <w:pPr>
        <w:pStyle w:val="20"/>
        <w:tabs>
          <w:tab w:val="right" w:leader="dot" w:pos="8306"/>
          <w:tab w:val="clear" w:pos="985"/>
          <w:tab w:val="clear" w:pos="8398"/>
        </w:tabs>
        <w:ind w:left="640" w:firstLine="560"/>
      </w:pPr>
      <w:r>
        <w:rPr>
          <w:rFonts w:hint="eastAsia"/>
        </w:rPr>
        <w:t>三、建设目标</w:t>
      </w:r>
      <w:r>
        <w:tab/>
      </w:r>
      <w:r>
        <w:t>14</w:t>
      </w:r>
    </w:p>
    <w:p>
      <w:pPr>
        <w:pStyle w:val="20"/>
        <w:tabs>
          <w:tab w:val="right" w:leader="dot" w:pos="8306"/>
          <w:tab w:val="clear" w:pos="985"/>
          <w:tab w:val="clear" w:pos="8398"/>
        </w:tabs>
        <w:ind w:left="640" w:firstLine="560"/>
      </w:pPr>
      <w:r>
        <w:rPr>
          <w:rFonts w:hint="eastAsia"/>
        </w:rPr>
        <w:t>四、建设时序</w:t>
      </w:r>
      <w:r>
        <w:tab/>
      </w:r>
      <w:r>
        <w:t>15</w:t>
      </w:r>
    </w:p>
    <w:p>
      <w:pPr>
        <w:pStyle w:val="18"/>
        <w:tabs>
          <w:tab w:val="right" w:leader="dot" w:pos="8306"/>
          <w:tab w:val="clear" w:pos="910"/>
          <w:tab w:val="clear" w:pos="8398"/>
        </w:tabs>
        <w:ind w:firstLine="560"/>
      </w:pPr>
      <w:r>
        <w:rPr>
          <w:rFonts w:hint="eastAsia"/>
        </w:rPr>
        <w:t>第三章 建设分区和项目安排</w:t>
      </w:r>
      <w:r>
        <w:tab/>
      </w:r>
      <w:r>
        <w:t>17</w:t>
      </w:r>
    </w:p>
    <w:p>
      <w:pPr>
        <w:pStyle w:val="20"/>
        <w:tabs>
          <w:tab w:val="right" w:leader="dot" w:pos="8306"/>
          <w:tab w:val="clear" w:pos="985"/>
          <w:tab w:val="clear" w:pos="8398"/>
        </w:tabs>
        <w:ind w:left="640" w:firstLine="560"/>
      </w:pPr>
      <w:r>
        <w:rPr>
          <w:rFonts w:hint="eastAsia"/>
        </w:rPr>
        <w:t>一、</w:t>
      </w:r>
      <w:r>
        <w:t>建设分区</w:t>
      </w:r>
      <w:r>
        <w:rPr>
          <w:rFonts w:hint="eastAsia"/>
        </w:rPr>
        <w:t>与分区建设指引</w:t>
      </w:r>
      <w:r>
        <w:tab/>
      </w:r>
      <w:r>
        <w:t>17</w:t>
      </w:r>
    </w:p>
    <w:p>
      <w:pPr>
        <w:pStyle w:val="20"/>
        <w:tabs>
          <w:tab w:val="right" w:leader="dot" w:pos="8306"/>
          <w:tab w:val="clear" w:pos="985"/>
          <w:tab w:val="clear" w:pos="8398"/>
        </w:tabs>
        <w:ind w:left="640" w:firstLine="560"/>
      </w:pPr>
      <w:r>
        <w:rPr>
          <w:rFonts w:hint="eastAsia"/>
        </w:rPr>
        <w:t>二、项目安排</w:t>
      </w:r>
      <w:r>
        <w:tab/>
      </w:r>
      <w:r>
        <w:t>22</w:t>
      </w:r>
    </w:p>
    <w:p>
      <w:pPr>
        <w:pStyle w:val="20"/>
        <w:tabs>
          <w:tab w:val="right" w:leader="dot" w:pos="8306"/>
          <w:tab w:val="clear" w:pos="985"/>
          <w:tab w:val="clear" w:pos="8398"/>
        </w:tabs>
        <w:ind w:left="640" w:firstLine="560"/>
      </w:pPr>
      <w:r>
        <w:rPr>
          <w:rFonts w:hint="eastAsia"/>
        </w:rPr>
        <w:t>三、重点项目</w:t>
      </w:r>
      <w:r>
        <w:tab/>
      </w:r>
      <w:r>
        <w:t>23</w:t>
      </w:r>
    </w:p>
    <w:p>
      <w:pPr>
        <w:pStyle w:val="18"/>
        <w:tabs>
          <w:tab w:val="right" w:leader="dot" w:pos="8306"/>
          <w:tab w:val="clear" w:pos="910"/>
          <w:tab w:val="clear" w:pos="8398"/>
        </w:tabs>
        <w:ind w:firstLine="560"/>
      </w:pPr>
      <w:r>
        <w:rPr>
          <w:rFonts w:hint="eastAsia"/>
        </w:rPr>
        <w:t>第四章 建设标准与建设内容</w:t>
      </w:r>
      <w:r>
        <w:tab/>
      </w:r>
      <w:r>
        <w:t>25</w:t>
      </w:r>
    </w:p>
    <w:p>
      <w:pPr>
        <w:pStyle w:val="20"/>
        <w:tabs>
          <w:tab w:val="right" w:leader="dot" w:pos="8306"/>
          <w:tab w:val="clear" w:pos="985"/>
          <w:tab w:val="clear" w:pos="8398"/>
        </w:tabs>
        <w:ind w:left="640" w:firstLine="560"/>
      </w:pPr>
      <w:r>
        <w:rPr>
          <w:rFonts w:hint="eastAsia"/>
        </w:rPr>
        <w:t>一、建设标准</w:t>
      </w:r>
      <w:r>
        <w:tab/>
      </w:r>
      <w:r>
        <w:t>25</w:t>
      </w:r>
    </w:p>
    <w:p>
      <w:pPr>
        <w:pStyle w:val="20"/>
        <w:tabs>
          <w:tab w:val="right" w:leader="dot" w:pos="8306"/>
          <w:tab w:val="clear" w:pos="985"/>
          <w:tab w:val="clear" w:pos="8398"/>
        </w:tabs>
        <w:ind w:left="640" w:firstLine="560"/>
      </w:pPr>
      <w:r>
        <w:rPr>
          <w:rFonts w:hint="eastAsia"/>
        </w:rPr>
        <w:t>二、建设内容</w:t>
      </w:r>
      <w:r>
        <w:tab/>
      </w:r>
      <w:r>
        <w:t>25</w:t>
      </w:r>
    </w:p>
    <w:p>
      <w:pPr>
        <w:pStyle w:val="18"/>
        <w:tabs>
          <w:tab w:val="right" w:leader="dot" w:pos="8306"/>
          <w:tab w:val="clear" w:pos="910"/>
          <w:tab w:val="clear" w:pos="8398"/>
        </w:tabs>
        <w:ind w:firstLine="560"/>
      </w:pPr>
      <w:r>
        <w:rPr>
          <w:rFonts w:hint="eastAsia"/>
        </w:rPr>
        <w:t xml:space="preserve">第五章 </w:t>
      </w:r>
      <w:r>
        <w:t>建设监管与后续管护</w:t>
      </w:r>
      <w:r>
        <w:tab/>
      </w:r>
      <w:r>
        <w:t>30</w:t>
      </w:r>
    </w:p>
    <w:p>
      <w:pPr>
        <w:pStyle w:val="20"/>
        <w:tabs>
          <w:tab w:val="right" w:leader="dot" w:pos="8306"/>
          <w:tab w:val="clear" w:pos="985"/>
          <w:tab w:val="clear" w:pos="8398"/>
        </w:tabs>
        <w:ind w:left="640" w:firstLine="560"/>
      </w:pPr>
      <w:r>
        <w:rPr>
          <w:rFonts w:hint="eastAsia"/>
        </w:rPr>
        <w:t>一、</w:t>
      </w:r>
      <w:r>
        <w:t>强化</w:t>
      </w:r>
      <w:r>
        <w:rPr>
          <w:rFonts w:hint="eastAsia"/>
        </w:rPr>
        <w:t>建设</w:t>
      </w:r>
      <w:r>
        <w:t>监管</w:t>
      </w:r>
      <w:r>
        <w:tab/>
      </w:r>
      <w:r>
        <w:t>30</w:t>
      </w:r>
    </w:p>
    <w:p>
      <w:pPr>
        <w:pStyle w:val="20"/>
        <w:tabs>
          <w:tab w:val="right" w:leader="dot" w:pos="8306"/>
          <w:tab w:val="clear" w:pos="985"/>
          <w:tab w:val="clear" w:pos="8398"/>
        </w:tabs>
        <w:ind w:left="640" w:firstLine="560"/>
      </w:pPr>
      <w:r>
        <w:rPr>
          <w:rFonts w:hint="eastAsia"/>
        </w:rPr>
        <w:t>二、</w:t>
      </w:r>
      <w:r>
        <w:t>统一上图入库</w:t>
      </w:r>
      <w:r>
        <w:tab/>
      </w:r>
      <w:r>
        <w:t>30</w:t>
      </w:r>
    </w:p>
    <w:p>
      <w:pPr>
        <w:pStyle w:val="20"/>
        <w:tabs>
          <w:tab w:val="right" w:leader="dot" w:pos="8306"/>
          <w:tab w:val="clear" w:pos="985"/>
          <w:tab w:val="clear" w:pos="8398"/>
        </w:tabs>
        <w:ind w:left="640" w:firstLine="560"/>
      </w:pPr>
      <w:r>
        <w:rPr>
          <w:rFonts w:hint="eastAsia"/>
        </w:rPr>
        <w:t>三、</w:t>
      </w:r>
      <w:r>
        <w:t>规范竣工验收</w:t>
      </w:r>
      <w:r>
        <w:tab/>
      </w:r>
      <w:r>
        <w:t>31</w:t>
      </w:r>
    </w:p>
    <w:p>
      <w:pPr>
        <w:pStyle w:val="20"/>
        <w:tabs>
          <w:tab w:val="right" w:leader="dot" w:pos="8306"/>
          <w:tab w:val="clear" w:pos="985"/>
          <w:tab w:val="clear" w:pos="8398"/>
        </w:tabs>
        <w:ind w:left="640" w:firstLine="560"/>
      </w:pPr>
      <w:r>
        <w:rPr>
          <w:rFonts w:hint="eastAsia"/>
        </w:rPr>
        <w:t>四、</w:t>
      </w:r>
      <w:r>
        <w:t>加强后期管护</w:t>
      </w:r>
      <w:r>
        <w:tab/>
      </w:r>
      <w:r>
        <w:t>31</w:t>
      </w:r>
    </w:p>
    <w:p>
      <w:pPr>
        <w:pStyle w:val="20"/>
        <w:tabs>
          <w:tab w:val="right" w:leader="dot" w:pos="8306"/>
          <w:tab w:val="clear" w:pos="985"/>
          <w:tab w:val="clear" w:pos="8398"/>
        </w:tabs>
        <w:ind w:left="640" w:firstLine="560"/>
      </w:pPr>
      <w:r>
        <w:rPr>
          <w:rFonts w:hint="eastAsia"/>
        </w:rPr>
        <w:t>五、</w:t>
      </w:r>
      <w:r>
        <w:t>严格保护利用</w:t>
      </w:r>
      <w:r>
        <w:tab/>
      </w:r>
      <w:r>
        <w:t>32</w:t>
      </w:r>
    </w:p>
    <w:p>
      <w:pPr>
        <w:pStyle w:val="18"/>
        <w:tabs>
          <w:tab w:val="right" w:leader="dot" w:pos="8306"/>
          <w:tab w:val="clear" w:pos="910"/>
          <w:tab w:val="clear" w:pos="8398"/>
        </w:tabs>
        <w:ind w:firstLine="560"/>
      </w:pPr>
      <w:r>
        <w:rPr>
          <w:rFonts w:hint="eastAsia"/>
        </w:rPr>
        <w:t>第六章 投资与效益分析</w:t>
      </w:r>
      <w:r>
        <w:tab/>
      </w:r>
      <w:r>
        <w:t>33</w:t>
      </w:r>
    </w:p>
    <w:p>
      <w:pPr>
        <w:pStyle w:val="20"/>
        <w:tabs>
          <w:tab w:val="right" w:leader="dot" w:pos="8306"/>
          <w:tab w:val="clear" w:pos="985"/>
          <w:tab w:val="clear" w:pos="8398"/>
        </w:tabs>
        <w:ind w:left="640" w:firstLine="560"/>
      </w:pPr>
      <w:r>
        <w:rPr>
          <w:rFonts w:hint="eastAsia"/>
        </w:rPr>
        <w:t>一、资金测算</w:t>
      </w:r>
      <w:r>
        <w:tab/>
      </w:r>
      <w:r>
        <w:t>33</w:t>
      </w:r>
    </w:p>
    <w:p>
      <w:pPr>
        <w:pStyle w:val="20"/>
        <w:tabs>
          <w:tab w:val="right" w:leader="dot" w:pos="8306"/>
          <w:tab w:val="clear" w:pos="985"/>
          <w:tab w:val="clear" w:pos="8398"/>
        </w:tabs>
        <w:ind w:left="640" w:firstLine="560"/>
      </w:pPr>
      <w:r>
        <w:rPr>
          <w:rFonts w:hint="eastAsia"/>
        </w:rPr>
        <w:t>二、资金筹措</w:t>
      </w:r>
      <w:r>
        <w:tab/>
      </w:r>
      <w:r>
        <w:t>34</w:t>
      </w:r>
    </w:p>
    <w:p>
      <w:pPr>
        <w:pStyle w:val="20"/>
        <w:tabs>
          <w:tab w:val="right" w:leader="dot" w:pos="8306"/>
          <w:tab w:val="clear" w:pos="985"/>
          <w:tab w:val="clear" w:pos="8398"/>
        </w:tabs>
        <w:ind w:left="640" w:firstLine="560"/>
      </w:pPr>
      <w:r>
        <w:rPr>
          <w:rFonts w:hint="eastAsia"/>
        </w:rPr>
        <w:t>三、效益分析</w:t>
      </w:r>
      <w:r>
        <w:tab/>
      </w:r>
      <w:r>
        <w:t>34</w:t>
      </w:r>
    </w:p>
    <w:p>
      <w:pPr>
        <w:pStyle w:val="18"/>
        <w:tabs>
          <w:tab w:val="right" w:leader="dot" w:pos="8306"/>
          <w:tab w:val="clear" w:pos="910"/>
          <w:tab w:val="clear" w:pos="8398"/>
        </w:tabs>
        <w:ind w:firstLine="560"/>
      </w:pPr>
      <w:r>
        <w:rPr>
          <w:rFonts w:hint="eastAsia"/>
        </w:rPr>
        <w:t>第七章 保障措施</w:t>
      </w:r>
      <w:r>
        <w:tab/>
      </w:r>
      <w:r>
        <w:t>37</w:t>
      </w:r>
    </w:p>
    <w:p>
      <w:pPr>
        <w:pStyle w:val="20"/>
        <w:tabs>
          <w:tab w:val="right" w:leader="dot" w:pos="8306"/>
          <w:tab w:val="clear" w:pos="985"/>
          <w:tab w:val="clear" w:pos="8398"/>
        </w:tabs>
        <w:ind w:left="640" w:firstLine="560"/>
      </w:pPr>
      <w:r>
        <w:rPr>
          <w:rFonts w:hint="eastAsia"/>
        </w:rPr>
        <w:t>一、加强组织领导</w:t>
      </w:r>
      <w:r>
        <w:tab/>
      </w:r>
      <w:r>
        <w:t>37</w:t>
      </w:r>
    </w:p>
    <w:p>
      <w:pPr>
        <w:pStyle w:val="20"/>
        <w:tabs>
          <w:tab w:val="right" w:leader="dot" w:pos="8306"/>
          <w:tab w:val="clear" w:pos="985"/>
          <w:tab w:val="clear" w:pos="8398"/>
        </w:tabs>
        <w:ind w:left="640" w:firstLine="560"/>
      </w:pPr>
      <w:r>
        <w:rPr>
          <w:rFonts w:hint="eastAsia"/>
        </w:rPr>
        <w:t>二、加大资金投入</w:t>
      </w:r>
      <w:r>
        <w:tab/>
      </w:r>
      <w:r>
        <w:t>38</w:t>
      </w:r>
    </w:p>
    <w:p>
      <w:pPr>
        <w:pStyle w:val="20"/>
        <w:tabs>
          <w:tab w:val="right" w:leader="dot" w:pos="8306"/>
          <w:tab w:val="clear" w:pos="985"/>
          <w:tab w:val="clear" w:pos="8398"/>
        </w:tabs>
        <w:ind w:left="640" w:firstLine="560"/>
      </w:pPr>
      <w:r>
        <w:rPr>
          <w:rFonts w:hint="eastAsia"/>
        </w:rPr>
        <w:t>三、规范建设管理</w:t>
      </w:r>
      <w:r>
        <w:tab/>
      </w:r>
      <w:r>
        <w:t>39</w:t>
      </w:r>
    </w:p>
    <w:p>
      <w:pPr>
        <w:pStyle w:val="20"/>
        <w:tabs>
          <w:tab w:val="right" w:leader="dot" w:pos="8306"/>
          <w:tab w:val="clear" w:pos="985"/>
          <w:tab w:val="clear" w:pos="8398"/>
        </w:tabs>
        <w:ind w:left="640" w:firstLine="560"/>
      </w:pPr>
      <w:r>
        <w:rPr>
          <w:rFonts w:hint="eastAsia"/>
        </w:rPr>
        <w:t>四、注重示范引导</w:t>
      </w:r>
      <w:r>
        <w:tab/>
      </w:r>
      <w:r>
        <w:t>40</w:t>
      </w:r>
    </w:p>
    <w:p>
      <w:pPr>
        <w:pStyle w:val="18"/>
        <w:tabs>
          <w:tab w:val="right" w:leader="dot" w:pos="8306"/>
          <w:tab w:val="clear" w:pos="910"/>
          <w:tab w:val="clear" w:pos="8398"/>
        </w:tabs>
        <w:ind w:firstLine="560"/>
        <w:rPr>
          <w:highlight w:val="none"/>
        </w:rPr>
      </w:pPr>
      <w:r>
        <w:rPr>
          <w:rFonts w:hint="eastAsia"/>
          <w:highlight w:val="none"/>
        </w:rPr>
        <w:t>附表</w:t>
      </w:r>
    </w:p>
    <w:p>
      <w:pPr>
        <w:pStyle w:val="20"/>
        <w:tabs>
          <w:tab w:val="right" w:leader="dot" w:pos="8306"/>
          <w:tab w:val="clear" w:pos="985"/>
          <w:tab w:val="clear" w:pos="8398"/>
        </w:tabs>
        <w:ind w:left="640" w:firstLine="560"/>
      </w:pPr>
      <w:r>
        <w:rPr>
          <w:rFonts w:hint="eastAsia"/>
          <w:spacing w:val="-20"/>
          <w:highlight w:val="none"/>
        </w:rPr>
        <w:t>附表</w:t>
      </w:r>
      <w:r>
        <w:rPr>
          <w:rFonts w:hint="eastAsia"/>
          <w:spacing w:val="-20"/>
        </w:rPr>
        <w:t>01沙坪坝区2021－2030年高标准农田建设时序表</w:t>
      </w:r>
      <w:r>
        <w:tab/>
      </w:r>
      <w:r>
        <w:t>41</w:t>
      </w:r>
    </w:p>
    <w:p>
      <w:pPr>
        <w:pStyle w:val="20"/>
        <w:tabs>
          <w:tab w:val="right" w:leader="dot" w:pos="8306"/>
          <w:tab w:val="clear" w:pos="985"/>
          <w:tab w:val="clear" w:pos="8398"/>
        </w:tabs>
        <w:ind w:left="640" w:firstLine="560"/>
        <w:rPr>
          <w:rFonts w:cs="Times New Roman"/>
          <w:bCs/>
        </w:rPr>
      </w:pPr>
      <w:r>
        <w:rPr>
          <w:rFonts w:hint="eastAsia"/>
          <w:spacing w:val="-20"/>
        </w:rPr>
        <w:t>附表02沙坪坝区2021－2030年高标准农田建设项目总表</w:t>
      </w:r>
      <w:r>
        <w:tab/>
      </w:r>
      <w:r>
        <w:t>42</w:t>
      </w:r>
    </w:p>
    <w:p>
      <w:pPr>
        <w:pStyle w:val="18"/>
        <w:tabs>
          <w:tab w:val="right" w:leader="dot" w:pos="8306"/>
          <w:tab w:val="clear" w:pos="910"/>
          <w:tab w:val="clear" w:pos="8398"/>
        </w:tabs>
        <w:ind w:firstLine="560"/>
      </w:pPr>
      <w:r>
        <w:rPr>
          <w:rFonts w:hint="eastAsia"/>
        </w:rPr>
        <w:t>附图</w:t>
      </w:r>
    </w:p>
    <w:p>
      <w:pPr>
        <w:pStyle w:val="20"/>
        <w:tabs>
          <w:tab w:val="right" w:leader="dot" w:pos="8306"/>
          <w:tab w:val="clear" w:pos="985"/>
          <w:tab w:val="clear" w:pos="8398"/>
        </w:tabs>
        <w:ind w:left="640" w:firstLine="560"/>
      </w:pPr>
      <w:r>
        <w:rPr>
          <w:rFonts w:hint="eastAsia" w:cs="Times New Roman"/>
        </w:rPr>
        <w:t>01沙坪坝区2011-2020年已建高标准农田分布图</w:t>
      </w:r>
      <w:r>
        <w:tab/>
      </w:r>
      <w:r>
        <w:t>4</w:t>
      </w:r>
      <w:r>
        <w:rPr>
          <w:rFonts w:hint="eastAsia"/>
          <w:lang w:val="en-US" w:eastAsia="zh-CN"/>
        </w:rPr>
        <w:t>4</w:t>
      </w:r>
    </w:p>
    <w:p>
      <w:pPr>
        <w:pStyle w:val="20"/>
        <w:tabs>
          <w:tab w:val="right" w:leader="dot" w:pos="8306"/>
          <w:tab w:val="clear" w:pos="985"/>
          <w:tab w:val="clear" w:pos="8398"/>
        </w:tabs>
        <w:ind w:left="640" w:firstLine="560"/>
      </w:pPr>
      <w:r>
        <w:rPr>
          <w:rFonts w:hint="eastAsia" w:cs="Times New Roman"/>
        </w:rPr>
        <w:t>02沙坪坝区高标准农田禁止建设区分布图</w:t>
      </w:r>
      <w:r>
        <w:tab/>
      </w:r>
      <w:r>
        <w:t>4</w:t>
      </w:r>
      <w:r>
        <w:rPr>
          <w:rFonts w:hint="eastAsia"/>
          <w:lang w:val="en-US" w:eastAsia="zh-CN"/>
        </w:rPr>
        <w:t>5</w:t>
      </w:r>
    </w:p>
    <w:p>
      <w:pPr>
        <w:pStyle w:val="20"/>
        <w:tabs>
          <w:tab w:val="right" w:leader="dot" w:pos="8306"/>
          <w:tab w:val="clear" w:pos="985"/>
          <w:tab w:val="clear" w:pos="8398"/>
        </w:tabs>
        <w:ind w:left="640" w:firstLine="560"/>
      </w:pPr>
      <w:r>
        <w:rPr>
          <w:rFonts w:hint="eastAsia" w:cs="Times New Roman"/>
        </w:rPr>
        <w:t>03沙坪坝区高标准农田建设潜力分布图</w:t>
      </w:r>
      <w:r>
        <w:tab/>
      </w:r>
      <w:r>
        <w:t>4</w:t>
      </w:r>
      <w:r>
        <w:rPr>
          <w:rFonts w:hint="eastAsia"/>
          <w:lang w:val="en-US" w:eastAsia="zh-CN"/>
        </w:rPr>
        <w:t>6</w:t>
      </w:r>
    </w:p>
    <w:p>
      <w:pPr>
        <w:pStyle w:val="20"/>
        <w:tabs>
          <w:tab w:val="right" w:leader="dot" w:pos="8306"/>
          <w:tab w:val="clear" w:pos="985"/>
          <w:tab w:val="clear" w:pos="8398"/>
        </w:tabs>
        <w:ind w:left="640" w:firstLine="560"/>
      </w:pPr>
      <w:r>
        <w:rPr>
          <w:rFonts w:hint="eastAsia" w:cs="Times New Roman"/>
        </w:rPr>
        <w:t>04沙坪坝区高标准农田建设总体布局图</w:t>
      </w:r>
      <w:r>
        <w:tab/>
      </w:r>
      <w:r>
        <w:t>4</w:t>
      </w:r>
      <w:r>
        <w:rPr>
          <w:rFonts w:hint="eastAsia"/>
          <w:lang w:val="en-US" w:eastAsia="zh-CN"/>
        </w:rPr>
        <w:t>7</w:t>
      </w:r>
    </w:p>
    <w:p>
      <w:pPr>
        <w:pStyle w:val="20"/>
        <w:tabs>
          <w:tab w:val="right" w:leader="dot" w:pos="8306"/>
          <w:tab w:val="clear" w:pos="985"/>
          <w:tab w:val="clear" w:pos="8398"/>
        </w:tabs>
        <w:ind w:left="640" w:firstLine="560"/>
      </w:pPr>
      <w:r>
        <w:rPr>
          <w:rFonts w:hint="eastAsia" w:cs="Times New Roman"/>
        </w:rPr>
        <w:t>05沙坪坝区高标准农田建设重点项目布局图</w:t>
      </w:r>
      <w:r>
        <w:tab/>
      </w:r>
      <w:r>
        <w:t>4</w:t>
      </w:r>
      <w:r>
        <w:rPr>
          <w:rFonts w:hint="eastAsia"/>
          <w:lang w:val="en-US" w:eastAsia="zh-CN"/>
        </w:rPr>
        <w:t>8</w:t>
      </w:r>
    </w:p>
    <w:p>
      <w:pPr>
        <w:pStyle w:val="20"/>
        <w:tabs>
          <w:tab w:val="right" w:leader="dot" w:pos="8306"/>
          <w:tab w:val="clear" w:pos="985"/>
          <w:tab w:val="clear" w:pos="8398"/>
        </w:tabs>
        <w:ind w:left="640" w:firstLine="560"/>
      </w:pPr>
      <w:r>
        <w:rPr>
          <w:rFonts w:hint="eastAsia" w:cs="Times New Roman"/>
        </w:rPr>
        <w:t>0</w:t>
      </w:r>
      <w:r>
        <w:rPr>
          <w:rFonts w:hint="eastAsia" w:cs="Times New Roman"/>
          <w:lang w:val="en-US" w:eastAsia="zh-CN"/>
        </w:rPr>
        <w:t>6</w:t>
      </w:r>
      <w:r>
        <w:rPr>
          <w:rFonts w:hint="eastAsia" w:cs="Times New Roman"/>
        </w:rPr>
        <w:t>沙坪坝区高标准农田建设总体布局图</w:t>
      </w:r>
      <w:r>
        <w:rPr>
          <w:rFonts w:hint="eastAsia" w:cs="Times New Roman"/>
          <w:highlight w:val="none"/>
          <w:lang w:eastAsia="zh-CN"/>
        </w:rPr>
        <w:t>（</w:t>
      </w:r>
      <w:r>
        <w:rPr>
          <w:rFonts w:hint="eastAsia" w:cs="Times New Roman"/>
        </w:rPr>
        <w:t>2011-2030)</w:t>
      </w:r>
      <w:r>
        <w:tab/>
      </w:r>
      <w:r>
        <w:t>4</w:t>
      </w:r>
      <w:r>
        <w:rPr>
          <w:rFonts w:hint="eastAsia"/>
          <w:lang w:val="en-US" w:eastAsia="zh-CN"/>
        </w:rPr>
        <w:t>9</w:t>
      </w:r>
    </w:p>
    <w:p>
      <w:pPr>
        <w:spacing w:line="594" w:lineRule="exact"/>
        <w:ind w:firstLine="640"/>
        <w:jc w:val="cente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bookmarkStart w:id="0" w:name="_Toc52374921"/>
      <w:bookmarkStart w:id="1" w:name="_Toc31918"/>
    </w:p>
    <w:bookmarkEnd w:id="0"/>
    <w:bookmarkEnd w:id="1"/>
    <w:p>
      <w:pPr>
        <w:pStyle w:val="130"/>
        <w:spacing w:beforeLines="50" w:afterLines="50" w:line="594" w:lineRule="exact"/>
        <w:ind w:firstLine="0" w:firstLineChars="0"/>
        <w:jc w:val="center"/>
        <w:outlineLvl w:val="0"/>
        <w:rPr>
          <w:sz w:val="44"/>
          <w:szCs w:val="44"/>
        </w:rPr>
      </w:pPr>
      <w:r>
        <w:rPr>
          <w:rFonts w:hint="eastAsia" w:ascii="方正黑体_GBK" w:hAnsi="方正黑体_GBK" w:eastAsia="方正黑体_GBK" w:cs="方正黑体_GBK"/>
          <w:spacing w:val="-9"/>
          <w:sz w:val="44"/>
          <w:szCs w:val="44"/>
        </w:rPr>
        <w:t xml:space="preserve"> </w:t>
      </w:r>
      <w:bookmarkStart w:id="2" w:name="_Toc4865"/>
      <w:r>
        <w:rPr>
          <w:rFonts w:hint="eastAsia" w:ascii="方正黑体_GBK" w:hAnsi="方正黑体_GBK" w:eastAsia="方正黑体_GBK" w:cs="方正黑体_GBK"/>
          <w:spacing w:val="-9"/>
          <w:sz w:val="44"/>
          <w:szCs w:val="44"/>
        </w:rPr>
        <w:t>前 言</w:t>
      </w:r>
      <w:bookmarkEnd w:id="2"/>
    </w:p>
    <w:p>
      <w:pPr>
        <w:widowControl/>
        <w:ind w:firstLine="640"/>
        <w:rPr>
          <w:rFonts w:cs="Times New Roman"/>
        </w:rPr>
      </w:pPr>
      <w:r>
        <w:rPr>
          <w:rFonts w:cs="Times New Roman"/>
        </w:rPr>
        <w:t>建设高标准农田，是巩固和提高粮食生产能力、保障国家粮食安全的关键举措。习近平总书记指出，中国人的饭碗要牢牢端在自己手里，而且里面应该主要装中国粮；手中有粮、心中不慌在任何时候都是真理，要加快推动“藏粮于地、藏粮于技”战略落实落地；18亿亩耕地必须实至名归，农田就是农田，而且必须是良田；要突出抓好耕地保护和地力提升，坚定不移抓好高标准农田建设，提高建设标准和质量，真正实现旱涝保收、高产稳产。</w:t>
      </w:r>
    </w:p>
    <w:p>
      <w:pPr>
        <w:widowControl/>
        <w:ind w:firstLine="640"/>
        <w:rPr>
          <w:rFonts w:cs="Times New Roman"/>
        </w:rPr>
      </w:pPr>
      <w:r>
        <w:rPr>
          <w:rFonts w:cs="Times New Roman"/>
        </w:rPr>
        <w:t>2019年中央1号文件提出“修编全国高标准农田建设总体规划，统一规划布局、建设标准、组织实施、验收考核、上图入库”。2020年中央1号文件强调“加快修编建设规划”。2021年中央1号文件提出“实施新一轮高标准农田建设规划”。2021年8月，国务院批复《全国高标准农田建设规划（2021—2030年）》，要求“加快推进省、市、县级高标准农田建设规划编制，细化政策措施，将建设任务分解到市、县，落实到地块”。2022年4月，重庆市政府批复《重庆市高标准农田建设规划（2021—2030年）》，明确了各区县规划期建设任务和相关要求。根据全国、全市对高标准农田建设规划的相关要求，结合沙坪坝区实际，编制了《沙坪坝区高标准农田建设规划（2021—2030年）》（以下简称《规划》）。</w:t>
      </w:r>
    </w:p>
    <w:p>
      <w:pPr>
        <w:pStyle w:val="2"/>
        <w:keepNext w:val="0"/>
        <w:keepLines w:val="0"/>
        <w:pageBreakBefore w:val="0"/>
        <w:widowControl w:val="0"/>
        <w:kinsoku/>
        <w:wordWrap/>
        <w:overflowPunct/>
        <w:topLinePunct w:val="0"/>
        <w:autoSpaceDE/>
        <w:autoSpaceDN/>
        <w:bidi w:val="0"/>
        <w:adjustRightInd/>
        <w:snapToGrid/>
        <w:spacing w:before="0" w:after="0"/>
        <w:jc w:val="left"/>
        <w:textAlignment w:val="auto"/>
        <w:rPr>
          <w:rFonts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《规划》于2022年</w:t>
      </w:r>
      <w:r>
        <w:rPr>
          <w:rFonts w:hint="eastAsia" w:ascii="Times New Roman" w:hAnsi="Times New Roman" w:cs="Times New Roman"/>
          <w:b w:val="0"/>
          <w:bCs w:val="0"/>
          <w:kern w:val="2"/>
          <w:sz w:val="32"/>
          <w:szCs w:val="32"/>
          <w:lang w:val="en-US" w:eastAsia="zh-CN" w:bidi="ar-SA"/>
        </w:rPr>
        <w:t>7</w:t>
      </w:r>
      <w:r>
        <w:rPr>
          <w:rFonts w:hint="eastAsia" w:ascii="Times New Roman" w:hAnsi="Times New Roman" w:eastAsia="方正仿宋_GBK" w:cs="Times New Roman"/>
          <w:b w:val="0"/>
          <w:bCs w:val="0"/>
          <w:kern w:val="2"/>
          <w:sz w:val="32"/>
          <w:szCs w:val="32"/>
          <w:lang w:val="en-US" w:eastAsia="zh-CN" w:bidi="ar-SA"/>
        </w:rPr>
        <w:t>月</w:t>
      </w:r>
      <w:r>
        <w:rPr>
          <w:rFonts w:hint="eastAsia" w:ascii="Times New Roman" w:hAnsi="Times New Roman" w:cs="Times New Roman"/>
          <w:b w:val="0"/>
          <w:bCs w:val="0"/>
          <w:kern w:val="2"/>
          <w:sz w:val="32"/>
          <w:szCs w:val="32"/>
          <w:lang w:val="en-US" w:eastAsia="zh-CN" w:bidi="ar-SA"/>
        </w:rPr>
        <w:t>15</w:t>
      </w:r>
      <w:r>
        <w:rPr>
          <w:rFonts w:hint="eastAsia" w:ascii="Times New Roman" w:hAnsi="Times New Roman" w:eastAsia="方正仿宋_GBK" w:cs="Times New Roman"/>
          <w:b w:val="0"/>
          <w:bCs w:val="0"/>
          <w:kern w:val="2"/>
          <w:sz w:val="32"/>
          <w:szCs w:val="32"/>
          <w:lang w:val="en-US" w:eastAsia="zh-CN" w:bidi="ar-SA"/>
        </w:rPr>
        <w:t>日通过市级评审，2022年9月2日通过区政府十九届21次常务会议审议。</w:t>
      </w:r>
    </w:p>
    <w:p>
      <w:pPr>
        <w:spacing w:line="594" w:lineRule="exact"/>
        <w:ind w:firstLine="640"/>
        <w:rPr>
          <w:rFonts w:cs="Times New Roman"/>
        </w:rPr>
      </w:pPr>
      <w:r>
        <w:rPr>
          <w:rFonts w:cs="Times New Roman"/>
        </w:rPr>
        <w:t>《规划》以习近平新时代中国特色社会主义思想为指导，全面贯彻党的十九大和十九届历次全会精神，以全国、全市高标准农田建设最新规范、标准为依据，以《全国高标准农田建设规划（2021</w:t>
      </w:r>
      <w:r>
        <w:rPr>
          <w:rFonts w:hint="eastAsia" w:cs="Times New Roman"/>
        </w:rPr>
        <w:t>—</w:t>
      </w:r>
      <w:r>
        <w:rPr>
          <w:rFonts w:cs="Times New Roman"/>
        </w:rPr>
        <w:t>2030年）》、《</w:t>
      </w:r>
      <w:r>
        <w:rPr>
          <w:rFonts w:cs="Times New Roman"/>
          <w:color w:val="000000"/>
          <w:kern w:val="0"/>
        </w:rPr>
        <w:t>重庆市高标准农田建设规划（2021—2030年）</w:t>
      </w:r>
      <w:r>
        <w:rPr>
          <w:rFonts w:cs="Times New Roman"/>
        </w:rPr>
        <w:t>》为指引，以沙坪坝区第三次国土调查数据为基底，以“十二五”以来沙坪坝区高标准农田建设实践为基础，衔接了《沙坪坝区农业农村现代化“十四五”规划》、《沙坪坝区歌中诗画田园农业发展规划》等，经过调查研究、多次修改和专家论证而最终形成。《规划》明确了沙坪坝区高标准农田建设的目标任务、建设分区、建设标准、建设内容、建设项目、资金投入、建设监管和后期管护等，对未来十年沙坪坝区高标准农田建设具有指导作用。</w:t>
      </w:r>
    </w:p>
    <w:p>
      <w:pPr>
        <w:spacing w:line="594" w:lineRule="exact"/>
        <w:ind w:firstLine="640"/>
        <w:rPr>
          <w:rStyle w:val="23"/>
          <w:rFonts w:ascii="方正仿宋_GBK" w:hAnsi="方正仿宋_GBK" w:cs="方正仿宋_GBK"/>
          <w:b w:val="0"/>
          <w:bCs/>
        </w:rPr>
        <w:sectPr>
          <w:footerReference r:id="rId13" w:type="default"/>
          <w:pgSz w:w="11906" w:h="16838"/>
          <w:pgMar w:top="1440" w:right="1800" w:bottom="1440" w:left="1800" w:header="851" w:footer="992" w:gutter="0"/>
          <w:pgNumType w:start="1"/>
          <w:cols w:space="425" w:num="1"/>
          <w:docGrid w:type="lines" w:linePitch="312" w:charSpace="0"/>
        </w:sectPr>
      </w:pPr>
      <w:r>
        <w:rPr>
          <w:rFonts w:cs="Times New Roman"/>
        </w:rPr>
        <w:t>《规划》基期年为2020年，规划期为2021</w:t>
      </w:r>
      <w:r>
        <w:rPr>
          <w:rFonts w:hint="eastAsia" w:cs="Times New Roman"/>
        </w:rPr>
        <w:t>—</w:t>
      </w:r>
      <w:r>
        <w:rPr>
          <w:rFonts w:cs="Times New Roman"/>
        </w:rPr>
        <w:t>2030年，展望到2035年。规划范围为沙坪坝区涉农9个镇街。</w:t>
      </w:r>
    </w:p>
    <w:p>
      <w:pPr>
        <w:ind w:firstLine="640"/>
      </w:pPr>
      <w:r>
        <w:rPr>
          <w:rFonts w:hint="eastAsia"/>
        </w:rPr>
        <w:br w:type="page"/>
      </w:r>
    </w:p>
    <w:p>
      <w:pPr>
        <w:pStyle w:val="3"/>
        <w:numPr>
          <w:ilvl w:val="0"/>
          <w:numId w:val="2"/>
        </w:numPr>
      </w:pPr>
      <w:bookmarkStart w:id="3" w:name="_Toc17967"/>
      <w:r>
        <w:rPr>
          <w:rFonts w:hint="eastAsia"/>
        </w:rPr>
        <w:t>背景与形势</w:t>
      </w:r>
      <w:bookmarkEnd w:id="3"/>
    </w:p>
    <w:p>
      <w:pPr>
        <w:pStyle w:val="4"/>
        <w:numPr>
          <w:ilvl w:val="0"/>
          <w:numId w:val="3"/>
        </w:numPr>
        <w:ind w:firstLineChars="0"/>
      </w:pPr>
      <w:r>
        <w:rPr>
          <w:rFonts w:hint="eastAsia"/>
          <w:lang w:val="en-US" w:eastAsia="zh-CN"/>
        </w:rPr>
        <w:t>基本情况</w:t>
      </w:r>
    </w:p>
    <w:p>
      <w:pPr>
        <w:pStyle w:val="5"/>
        <w:numPr>
          <w:ilvl w:val="0"/>
          <w:numId w:val="4"/>
        </w:numPr>
        <w:ind w:firstLineChars="0"/>
        <w:rPr>
          <w:rFonts w:hint="eastAsia" w:ascii="方正仿宋_GBK" w:cs="Times New Roman"/>
          <w:lang w:val="zh-TW"/>
        </w:rPr>
      </w:pPr>
      <w:r>
        <w:rPr>
          <w:rFonts w:hint="eastAsia"/>
        </w:rPr>
        <w:t>地理区位</w:t>
      </w:r>
    </w:p>
    <w:p>
      <w:pPr>
        <w:ind w:firstLine="640"/>
        <w:rPr>
          <w:rFonts w:ascii="方正仿宋_GBK" w:cs="Times New Roman"/>
          <w:lang w:val="zh-TW"/>
        </w:rPr>
      </w:pPr>
      <w:r>
        <w:rPr>
          <w:rFonts w:hint="eastAsia" w:ascii="方正仿宋_GBK" w:cs="Times New Roman"/>
          <w:lang w:val="zh-TW"/>
        </w:rPr>
        <w:t>沙坪坝区位于重庆市主城区西部，东隔嘉陵江与江北区、渝北区相望，东南紧邻渝中区，南接九龙坡区，西依缙云山与璧山区毗邻，北与北碚区相连。沙坪坝区地处成渝双城经济圈腹地，是“成渝双城经济圈”联动的重要节点，是重庆主城向西辐射的桥头堡，是重庆高新区、西部（重庆）科学城核心的承载区，区位优势明显。</w:t>
      </w:r>
    </w:p>
    <w:p>
      <w:pPr>
        <w:pStyle w:val="13"/>
        <w:spacing w:beforeLines="50" w:afterLines="50" w:line="240" w:lineRule="auto"/>
        <w:ind w:firstLine="640"/>
        <w:rPr>
          <w:rFonts w:hint="eastAsia" w:ascii="Times New Roman" w:hAnsi="Times New Roman" w:eastAsia="方正仿宋_GBK" w:cs="方正仿宋_GBK"/>
          <w:sz w:val="32"/>
          <w:szCs w:val="32"/>
          <w:lang w:val="zh-TW" w:eastAsia="zh-CN"/>
        </w:rPr>
      </w:pPr>
      <w:r>
        <w:rPr>
          <w:rFonts w:hint="eastAsia" w:ascii="Times New Roman" w:hAnsi="Times New Roman" w:eastAsia="方正仿宋_GBK" w:cs="方正仿宋_GBK"/>
          <w:sz w:val="32"/>
          <w:szCs w:val="32"/>
          <w:lang w:val="zh-TW" w:eastAsia="zh-CN"/>
        </w:rPr>
        <w:drawing>
          <wp:anchor distT="0" distB="0" distL="114300" distR="114300" simplePos="0" relativeHeight="251661312" behindDoc="1" locked="0" layoutInCell="1" allowOverlap="1">
            <wp:simplePos x="0" y="0"/>
            <wp:positionH relativeFrom="column">
              <wp:posOffset>389890</wp:posOffset>
            </wp:positionH>
            <wp:positionV relativeFrom="paragraph">
              <wp:posOffset>14605</wp:posOffset>
            </wp:positionV>
            <wp:extent cx="4951730" cy="4628515"/>
            <wp:effectExtent l="0" t="0" r="1270" b="635"/>
            <wp:wrapNone/>
            <wp:docPr id="2" name="图片 2" descr="C:\Users\yangchang\Desktop\图片555.jpg图片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angchang\Desktop\图片555.jpg图片555"/>
                    <pic:cNvPicPr>
                      <a:picLocks noChangeAspect="1"/>
                    </pic:cNvPicPr>
                  </pic:nvPicPr>
                  <pic:blipFill>
                    <a:blip r:embed="rId16"/>
                    <a:srcRect t="5292" b="8752"/>
                    <a:stretch>
                      <a:fillRect/>
                    </a:stretch>
                  </pic:blipFill>
                  <pic:spPr>
                    <a:xfrm>
                      <a:off x="0" y="0"/>
                      <a:ext cx="4951730" cy="4628515"/>
                    </a:xfrm>
                    <a:prstGeom prst="rect">
                      <a:avLst/>
                    </a:prstGeom>
                  </pic:spPr>
                </pic:pic>
              </a:graphicData>
            </a:graphic>
          </wp:anchor>
        </w:drawing>
      </w:r>
    </w:p>
    <w:p>
      <w:pPr>
        <w:pStyle w:val="13"/>
        <w:spacing w:beforeLines="50" w:afterLines="50" w:line="240" w:lineRule="auto"/>
        <w:ind w:firstLine="640"/>
        <w:rPr>
          <w:rFonts w:hint="eastAsia" w:ascii="Times New Roman" w:hAnsi="Times New Roman" w:eastAsia="方正仿宋_GBK" w:cs="方正仿宋_GBK"/>
          <w:sz w:val="32"/>
          <w:szCs w:val="32"/>
          <w:lang w:val="zh-TW" w:eastAsia="zh-CN"/>
        </w:rPr>
      </w:pPr>
    </w:p>
    <w:p>
      <w:pPr>
        <w:pStyle w:val="13"/>
        <w:ind w:firstLine="640"/>
        <w:rPr>
          <w:rFonts w:ascii="Times New Roman" w:hAnsi="Times New Roman" w:eastAsia="方正仿宋_GBK" w:cs="方正仿宋_GBK"/>
          <w:sz w:val="32"/>
          <w:szCs w:val="32"/>
          <w:lang w:val="zh-TW"/>
        </w:rPr>
      </w:pPr>
    </w:p>
    <w:p>
      <w:pPr>
        <w:spacing w:line="240" w:lineRule="auto"/>
        <w:ind w:firstLine="643"/>
        <w:rPr>
          <w:rFonts w:cs="方正仿宋_GBK"/>
          <w:b/>
          <w:bCs/>
        </w:rPr>
      </w:pPr>
      <w:r>
        <mc:AlternateContent>
          <mc:Choice Requires="wps">
            <w:drawing>
              <wp:anchor distT="0" distB="0" distL="114300" distR="114300" simplePos="0" relativeHeight="251666432" behindDoc="0" locked="0" layoutInCell="1" allowOverlap="1">
                <wp:simplePos x="0" y="0"/>
                <wp:positionH relativeFrom="column">
                  <wp:posOffset>525145</wp:posOffset>
                </wp:positionH>
                <wp:positionV relativeFrom="paragraph">
                  <wp:posOffset>384175</wp:posOffset>
                </wp:positionV>
                <wp:extent cx="2437765" cy="436245"/>
                <wp:effectExtent l="0" t="0" r="0" b="0"/>
                <wp:wrapNone/>
                <wp:docPr id="19" name="文本框 17"/>
                <wp:cNvGraphicFramePr/>
                <a:graphic xmlns:a="http://schemas.openxmlformats.org/drawingml/2006/main">
                  <a:graphicData uri="http://schemas.microsoft.com/office/word/2010/wordprocessingShape">
                    <wps:wsp>
                      <wps:cNvSpPr txBox="1"/>
                      <wps:spPr>
                        <a:xfrm>
                          <a:off x="0" y="0"/>
                          <a:ext cx="1572895" cy="930910"/>
                        </a:xfrm>
                        <a:prstGeom prst="rect">
                          <a:avLst/>
                        </a:prstGeom>
                        <a:noFill/>
                        <a:ln w="6350">
                          <a:noFill/>
                        </a:ln>
                        <a:effectLst/>
                      </wps:spPr>
                      <wps:txbx>
                        <w:txbxContent>
                          <w:p>
                            <w:pPr>
                              <w:spacing w:line="240" w:lineRule="auto"/>
                              <w:ind w:firstLine="0" w:firstLineChars="0"/>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 xml:space="preserve">图1-1 </w:t>
                            </w:r>
                            <w:r>
                              <w:rPr>
                                <w:rFonts w:hint="eastAsia" w:ascii="方正楷体_GBK" w:hAnsi="方正楷体_GBK" w:eastAsia="方正楷体_GBK" w:cs="方正楷体_GBK"/>
                                <w:sz w:val="24"/>
                                <w:szCs w:val="24"/>
                                <w:lang w:val="en-US" w:eastAsia="zh-CN"/>
                              </w:rPr>
                              <w:t>主城都市区在重庆市</w:t>
                            </w:r>
                            <w:r>
                              <w:rPr>
                                <w:rFonts w:hint="eastAsia" w:ascii="方正楷体_GBK" w:hAnsi="方正楷体_GBK" w:eastAsia="方正楷体_GBK" w:cs="方正楷体_GBK"/>
                                <w:sz w:val="24"/>
                                <w:szCs w:val="24"/>
                              </w:rPr>
                              <w:t>区位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6" o:spt="202" type="#_x0000_t202" style="position:absolute;left:0pt;margin-left:41.35pt;margin-top:30.25pt;height:34.35pt;width:191.95pt;z-index:251666432;mso-width-relative:page;mso-height-relative:page;" filled="f" stroked="f" coordsize="21600,21600" o:gfxdata="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OwjjDaAAAACQEAAA8AAAAAAAAAAQAgAAAAIgAAAGRycy9kb3ducmV2LnhtbFBLAQIUABQA&#10;AAAIAIdO4kDUZTAQJwIAACgEAAAOAAAAAAAAAAEAIAAAACkBAABkcnMvZTJvRG9jLnhtbFBLBQYA&#10;AAAABgAGAFkBAADCBQAAAAA=&#10;">
                <v:fill on="f" focussize="0,0"/>
                <v:stroke on="f" weight="0.5pt"/>
                <v:imagedata o:title=""/>
                <o:lock v:ext="edit" aspectratio="f"/>
                <v:textbox>
                  <w:txbxContent>
                    <w:p>
                      <w:pPr>
                        <w:spacing w:line="240" w:lineRule="auto"/>
                        <w:ind w:firstLine="0" w:firstLineChars="0"/>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 xml:space="preserve">图1-1 </w:t>
                      </w:r>
                      <w:r>
                        <w:rPr>
                          <w:rFonts w:hint="eastAsia" w:ascii="方正楷体_GBK" w:hAnsi="方正楷体_GBK" w:eastAsia="方正楷体_GBK" w:cs="方正楷体_GBK"/>
                          <w:sz w:val="24"/>
                          <w:szCs w:val="24"/>
                          <w:lang w:val="en-US" w:eastAsia="zh-CN"/>
                        </w:rPr>
                        <w:t>主城都市区在重庆市</w:t>
                      </w:r>
                      <w:r>
                        <w:rPr>
                          <w:rFonts w:hint="eastAsia" w:ascii="方正楷体_GBK" w:hAnsi="方正楷体_GBK" w:eastAsia="方正楷体_GBK" w:cs="方正楷体_GBK"/>
                          <w:sz w:val="24"/>
                          <w:szCs w:val="24"/>
                        </w:rPr>
                        <w:t>区位</w:t>
                      </w:r>
                    </w:p>
                  </w:txbxContent>
                </v:textbox>
              </v:shape>
            </w:pict>
          </mc:Fallback>
        </mc:AlternateContent>
      </w:r>
    </w:p>
    <w:p>
      <w:pPr>
        <w:spacing w:line="240" w:lineRule="auto"/>
        <w:ind w:firstLine="643"/>
        <w:rPr>
          <w:rFonts w:cs="方正仿宋_GBK"/>
          <w:b/>
          <w:bCs/>
        </w:rPr>
      </w:pPr>
      <w:r>
        <mc:AlternateContent>
          <mc:Choice Requires="wps">
            <w:drawing>
              <wp:anchor distT="0" distB="0" distL="114300" distR="114300" simplePos="0" relativeHeight="251663360" behindDoc="0" locked="0" layoutInCell="1" allowOverlap="1">
                <wp:simplePos x="0" y="0"/>
                <wp:positionH relativeFrom="column">
                  <wp:posOffset>2906395</wp:posOffset>
                </wp:positionH>
                <wp:positionV relativeFrom="paragraph">
                  <wp:posOffset>1270</wp:posOffset>
                </wp:positionV>
                <wp:extent cx="2437765" cy="4362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572895" cy="930910"/>
                        </a:xfrm>
                        <a:prstGeom prst="rect">
                          <a:avLst/>
                        </a:prstGeom>
                        <a:noFill/>
                        <a:ln w="6350">
                          <a:noFill/>
                        </a:ln>
                        <a:effectLst/>
                      </wps:spPr>
                      <wps:txbx>
                        <w:txbxContent>
                          <w:p>
                            <w:pPr>
                              <w:spacing w:line="240" w:lineRule="auto"/>
                              <w:ind w:firstLine="0" w:firstLineChars="0"/>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图1-</w:t>
                            </w:r>
                            <w:r>
                              <w:rPr>
                                <w:rFonts w:hint="eastAsia" w:ascii="方正楷体_GBK" w:hAnsi="方正楷体_GBK" w:eastAsia="方正楷体_GBK" w:cs="方正楷体_GBK"/>
                                <w:sz w:val="24"/>
                                <w:szCs w:val="24"/>
                                <w:lang w:val="en-US" w:eastAsia="zh-CN"/>
                              </w:rPr>
                              <w:t>2</w:t>
                            </w:r>
                            <w:r>
                              <w:rPr>
                                <w:rFonts w:hint="eastAsia" w:ascii="方正楷体_GBK" w:hAnsi="方正楷体_GBK" w:eastAsia="方正楷体_GBK" w:cs="方正楷体_GBK"/>
                                <w:sz w:val="24"/>
                                <w:szCs w:val="24"/>
                              </w:rPr>
                              <w:t xml:space="preserve"> 沙坪坝在</w:t>
                            </w:r>
                            <w:r>
                              <w:rPr>
                                <w:rFonts w:hint="eastAsia" w:ascii="方正楷体_GBK" w:hAnsi="方正楷体_GBK" w:eastAsia="方正楷体_GBK" w:cs="方正楷体_GBK"/>
                                <w:sz w:val="24"/>
                                <w:szCs w:val="24"/>
                                <w:lang w:val="en-US" w:eastAsia="zh-CN"/>
                              </w:rPr>
                              <w:t>主城都市区</w:t>
                            </w:r>
                            <w:r>
                              <w:rPr>
                                <w:rFonts w:hint="eastAsia" w:ascii="方正楷体_GBK" w:hAnsi="方正楷体_GBK" w:eastAsia="方正楷体_GBK" w:cs="方正楷体_GBK"/>
                                <w:sz w:val="24"/>
                                <w:szCs w:val="24"/>
                              </w:rPr>
                              <w:t>区位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85pt;margin-top:0.1pt;height:34.35pt;width:191.95pt;z-index:251663360;mso-width-relative:page;mso-height-relative:page;" filled="f" stroked="f" coordsize="21600,21600" o:gfxdata="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F4eI2QAAAAcBAAAPAAAAAAAAAAEAIAAAACIAAABkcnMvZG93bnJldi54bWxQSwECFAAUAAAA&#10;CACHTuJAVAmEoyYCAAAoBAAADgAAAAAAAAABACAAAAAoAQAAZHJzL2Uyb0RvYy54bWxQSwUGAAAA&#10;AAYABgBZAQAAwAUAAAAA&#10;">
                <v:fill on="f" focussize="0,0"/>
                <v:stroke on="f" weight="0.5pt"/>
                <v:imagedata o:title=""/>
                <o:lock v:ext="edit" aspectratio="f"/>
                <v:textbox>
                  <w:txbxContent>
                    <w:p>
                      <w:pPr>
                        <w:spacing w:line="240" w:lineRule="auto"/>
                        <w:ind w:firstLine="0" w:firstLineChars="0"/>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图1-</w:t>
                      </w:r>
                      <w:r>
                        <w:rPr>
                          <w:rFonts w:hint="eastAsia" w:ascii="方正楷体_GBK" w:hAnsi="方正楷体_GBK" w:eastAsia="方正楷体_GBK" w:cs="方正楷体_GBK"/>
                          <w:sz w:val="24"/>
                          <w:szCs w:val="24"/>
                          <w:lang w:val="en-US" w:eastAsia="zh-CN"/>
                        </w:rPr>
                        <w:t>2</w:t>
                      </w:r>
                      <w:r>
                        <w:rPr>
                          <w:rFonts w:hint="eastAsia" w:ascii="方正楷体_GBK" w:hAnsi="方正楷体_GBK" w:eastAsia="方正楷体_GBK" w:cs="方正楷体_GBK"/>
                          <w:sz w:val="24"/>
                          <w:szCs w:val="24"/>
                        </w:rPr>
                        <w:t xml:space="preserve"> 沙坪坝在</w:t>
                      </w:r>
                      <w:r>
                        <w:rPr>
                          <w:rFonts w:hint="eastAsia" w:ascii="方正楷体_GBK" w:hAnsi="方正楷体_GBK" w:eastAsia="方正楷体_GBK" w:cs="方正楷体_GBK"/>
                          <w:sz w:val="24"/>
                          <w:szCs w:val="24"/>
                          <w:lang w:val="en-US" w:eastAsia="zh-CN"/>
                        </w:rPr>
                        <w:t>主城都市区</w:t>
                      </w:r>
                      <w:r>
                        <w:rPr>
                          <w:rFonts w:hint="eastAsia" w:ascii="方正楷体_GBK" w:hAnsi="方正楷体_GBK" w:eastAsia="方正楷体_GBK" w:cs="方正楷体_GBK"/>
                          <w:sz w:val="24"/>
                          <w:szCs w:val="24"/>
                        </w:rPr>
                        <w:t>区位</w:t>
                      </w:r>
                    </w:p>
                  </w:txbxContent>
                </v:textbox>
              </v:shape>
            </w:pict>
          </mc:Fallback>
        </mc:AlternateContent>
      </w:r>
    </w:p>
    <w:p>
      <w:pPr>
        <w:spacing w:line="240" w:lineRule="auto"/>
        <w:ind w:firstLine="640"/>
        <w:rPr>
          <w:rFonts w:cs="方正仿宋_GBK"/>
          <w:b/>
          <w:bCs/>
        </w:rPr>
      </w:pPr>
    </w:p>
    <w:p>
      <w:pPr>
        <w:spacing w:line="240" w:lineRule="auto"/>
        <w:ind w:firstLine="643"/>
        <w:rPr>
          <w:rFonts w:cs="方正仿宋_GBK"/>
          <w:b/>
          <w:bCs/>
        </w:rPr>
      </w:pPr>
    </w:p>
    <w:p>
      <w:pPr>
        <w:spacing w:line="240" w:lineRule="auto"/>
        <w:ind w:firstLine="643"/>
        <w:rPr>
          <w:rFonts w:cs="方正仿宋_GBK"/>
          <w:b/>
          <w:bCs/>
        </w:rPr>
      </w:pPr>
    </w:p>
    <w:p>
      <w:pPr>
        <w:spacing w:line="240" w:lineRule="auto"/>
        <w:ind w:firstLine="643"/>
        <w:rPr>
          <w:rFonts w:cs="方正仿宋_GBK"/>
          <w:b/>
          <w:bCs/>
        </w:rPr>
      </w:pPr>
    </w:p>
    <w:p>
      <w:pPr>
        <w:spacing w:line="240" w:lineRule="auto"/>
        <w:ind w:firstLine="643"/>
        <w:rPr>
          <w:rFonts w:cs="方正仿宋_GBK"/>
          <w:b/>
          <w:bCs/>
        </w:rPr>
      </w:pPr>
    </w:p>
    <w:p>
      <w:pPr>
        <w:pStyle w:val="11"/>
        <w:ind w:left="0" w:firstLine="0" w:firstLineChars="0"/>
        <w:rPr>
          <w:rFonts w:ascii="Times New Roman" w:hAnsi="Times New Roman" w:eastAsia="方正仿宋_GBK" w:cs="方正仿宋_GBK"/>
          <w:b/>
          <w:bCs/>
        </w:rPr>
      </w:pPr>
      <w:r>
        <mc:AlternateContent>
          <mc:Choice Requires="wps">
            <w:drawing>
              <wp:anchor distT="0" distB="0" distL="114300" distR="114300" simplePos="0" relativeHeight="251664384" behindDoc="0" locked="0" layoutInCell="1" allowOverlap="1">
                <wp:simplePos x="0" y="0"/>
                <wp:positionH relativeFrom="column">
                  <wp:posOffset>995680</wp:posOffset>
                </wp:positionH>
                <wp:positionV relativeFrom="paragraph">
                  <wp:posOffset>317500</wp:posOffset>
                </wp:positionV>
                <wp:extent cx="3914775" cy="38798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542415" cy="930910"/>
                        </a:xfrm>
                        <a:prstGeom prst="rect">
                          <a:avLst/>
                        </a:prstGeom>
                        <a:noFill/>
                        <a:ln w="6350">
                          <a:noFill/>
                        </a:ln>
                        <a:effectLst/>
                      </wps:spPr>
                      <wps:txbx>
                        <w:txbxContent>
                          <w:p>
                            <w:pPr>
                              <w:spacing w:line="240" w:lineRule="auto"/>
                              <w:ind w:firstLine="0" w:firstLineChars="0"/>
                              <w:jc w:val="center"/>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图1-</w:t>
                            </w:r>
                            <w:r>
                              <w:rPr>
                                <w:rFonts w:hint="eastAsia" w:ascii="方正楷体_GBK" w:hAnsi="方正楷体_GBK" w:eastAsia="方正楷体_GBK" w:cs="方正楷体_GBK"/>
                                <w:sz w:val="24"/>
                                <w:szCs w:val="24"/>
                                <w:lang w:val="en-US" w:eastAsia="zh-CN"/>
                              </w:rPr>
                              <w:t>3</w:t>
                            </w:r>
                            <w:r>
                              <w:rPr>
                                <w:rFonts w:hint="eastAsia" w:ascii="方正楷体_GBK" w:hAnsi="方正楷体_GBK" w:eastAsia="方正楷体_GBK" w:cs="方正楷体_GBK"/>
                                <w:sz w:val="24"/>
                                <w:szCs w:val="24"/>
                              </w:rPr>
                              <w:t xml:space="preserve"> 沙坪坝在成渝经济圈区位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pt;margin-top:25pt;height:30.55pt;width:308.25pt;z-index:251664384;mso-width-relative:page;mso-height-relative:page;" filled="f" stroked="f" coordsize="21600,21600" o:gfxdata="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4uB2QAAAAoBAAAPAAAAAAAAAAEAIAAAACIAAABkcnMvZG93bnJldi54bWxQSwECFAAUAAAA&#10;CACHTuJA1Khc4yYCAAAoBAAADgAAAAAAAAABACAAAAAoAQAAZHJzL2Uyb0RvYy54bWxQSwUGAAAA&#10;AAYABgBZAQAAwAUAAAAA&#10;">
                <v:fill on="f" focussize="0,0"/>
                <v:stroke on="f" weight="0.5pt"/>
                <v:imagedata o:title=""/>
                <o:lock v:ext="edit" aspectratio="f"/>
                <v:textbox>
                  <w:txbxContent>
                    <w:p>
                      <w:pPr>
                        <w:spacing w:line="240" w:lineRule="auto"/>
                        <w:ind w:firstLine="0" w:firstLineChars="0"/>
                        <w:jc w:val="center"/>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图1-</w:t>
                      </w:r>
                      <w:r>
                        <w:rPr>
                          <w:rFonts w:hint="eastAsia" w:ascii="方正楷体_GBK" w:hAnsi="方正楷体_GBK" w:eastAsia="方正楷体_GBK" w:cs="方正楷体_GBK"/>
                          <w:sz w:val="24"/>
                          <w:szCs w:val="24"/>
                          <w:lang w:val="en-US" w:eastAsia="zh-CN"/>
                        </w:rPr>
                        <w:t>3</w:t>
                      </w:r>
                      <w:r>
                        <w:rPr>
                          <w:rFonts w:hint="eastAsia" w:ascii="方正楷体_GBK" w:hAnsi="方正楷体_GBK" w:eastAsia="方正楷体_GBK" w:cs="方正楷体_GBK"/>
                          <w:sz w:val="24"/>
                          <w:szCs w:val="24"/>
                        </w:rPr>
                        <w:t xml:space="preserve"> 沙坪坝在成渝经济圈区位</w:t>
                      </w:r>
                    </w:p>
                  </w:txbxContent>
                </v:textbox>
              </v:shape>
            </w:pict>
          </mc:Fallback>
        </mc:AlternateContent>
      </w:r>
    </w:p>
    <w:p>
      <w:pPr>
        <w:pStyle w:val="5"/>
        <w:numPr>
          <w:ilvl w:val="0"/>
          <w:numId w:val="4"/>
        </w:numPr>
        <w:ind w:firstLineChars="0"/>
      </w:pPr>
      <w:r>
        <w:rPr>
          <w:rFonts w:hint="eastAsia"/>
        </w:rPr>
        <w:t>地形地貌</w:t>
      </w:r>
    </w:p>
    <w:p>
      <w:pPr>
        <w:ind w:firstLine="640"/>
        <w:rPr>
          <w:rFonts w:cs="Times New Roman"/>
        </w:rPr>
      </w:pPr>
      <w:r>
        <w:rPr>
          <w:rFonts w:cs="Times New Roman"/>
        </w:rPr>
        <w:t>沙坪坝区地貌归属于川东平行岭谷低山丘陵区，地形由窄条状山脉和宽缓的丘陵台地组成。地貌特征为：低山与丘陵、台地（平坝）相间分布；丘陵、台地面积大，山地面积小，其中丘陵、台地面积约257.5平方千米，占全区总面积的65%，山地面积约138.3平方千米，占全区总面积的35%。</w:t>
      </w:r>
    </w:p>
    <w:p>
      <w:pPr>
        <w:ind w:firstLine="640"/>
        <w:jc w:val="center"/>
        <w:rPr>
          <w:rFonts w:cs="方正仿宋_GBK"/>
        </w:rPr>
      </w:pPr>
      <w:r>
        <w:rPr>
          <w:rFonts w:hint="eastAsia" w:cs="方正仿宋_GBK"/>
        </w:rPr>
        <w:drawing>
          <wp:anchor distT="0" distB="0" distL="114300" distR="114300" simplePos="0" relativeHeight="251660288" behindDoc="0" locked="0" layoutInCell="1" allowOverlap="1">
            <wp:simplePos x="0" y="0"/>
            <wp:positionH relativeFrom="column">
              <wp:posOffset>655320</wp:posOffset>
            </wp:positionH>
            <wp:positionV relativeFrom="paragraph">
              <wp:posOffset>159385</wp:posOffset>
            </wp:positionV>
            <wp:extent cx="4420870" cy="5579745"/>
            <wp:effectExtent l="0" t="0" r="13970" b="13335"/>
            <wp:wrapNone/>
            <wp:docPr id="12" name="图片 12" descr="沙坪坝区地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沙坪坝区地势"/>
                    <pic:cNvPicPr>
                      <a:picLocks noChangeAspect="1"/>
                    </pic:cNvPicPr>
                  </pic:nvPicPr>
                  <pic:blipFill>
                    <a:blip r:embed="rId17" cstate="print"/>
                    <a:stretch>
                      <a:fillRect/>
                    </a:stretch>
                  </pic:blipFill>
                  <pic:spPr>
                    <a:xfrm>
                      <a:off x="0" y="0"/>
                      <a:ext cx="4420870" cy="5579745"/>
                    </a:xfrm>
                    <a:prstGeom prst="rect">
                      <a:avLst/>
                    </a:prstGeom>
                  </pic:spPr>
                </pic:pic>
              </a:graphicData>
            </a:graphic>
          </wp:anchor>
        </w:drawing>
      </w:r>
    </w:p>
    <w:p>
      <w:pPr>
        <w:pStyle w:val="13"/>
        <w:ind w:firstLine="640"/>
        <w:rPr>
          <w:rFonts w:ascii="Times New Roman" w:hAnsi="Times New Roman" w:eastAsia="方正仿宋_GBK" w:cs="方正仿宋_GBK"/>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pStyle w:val="13"/>
        <w:ind w:firstLine="643"/>
        <w:rPr>
          <w:rFonts w:ascii="Times New Roman" w:hAnsi="Times New Roman" w:eastAsia="方正仿宋_GBK" w:cs="方正仿宋_GBK"/>
          <w:b/>
          <w:bCs/>
          <w:sz w:val="32"/>
          <w:szCs w:val="32"/>
        </w:rPr>
      </w:pPr>
    </w:p>
    <w:p>
      <w:pPr>
        <w:spacing w:line="240" w:lineRule="auto"/>
        <w:ind w:firstLine="643"/>
        <w:rPr>
          <w:rFonts w:cs="方正仿宋_GBK"/>
          <w:b/>
          <w:bCs/>
        </w:rPr>
      </w:pPr>
      <w:r>
        <w:rPr>
          <w:b/>
          <w:bCs/>
        </w:rPr>
        <mc:AlternateContent>
          <mc:Choice Requires="wps">
            <w:drawing>
              <wp:anchor distT="0" distB="0" distL="114300" distR="114300" simplePos="0" relativeHeight="251661312" behindDoc="0" locked="0" layoutInCell="1" allowOverlap="1">
                <wp:simplePos x="0" y="0"/>
                <wp:positionH relativeFrom="column">
                  <wp:posOffset>1683385</wp:posOffset>
                </wp:positionH>
                <wp:positionV relativeFrom="paragraph">
                  <wp:posOffset>313055</wp:posOffset>
                </wp:positionV>
                <wp:extent cx="2366645" cy="467360"/>
                <wp:effectExtent l="0" t="0" r="0" b="0"/>
                <wp:wrapNone/>
                <wp:docPr id="14" name="文本框 13"/>
                <wp:cNvGraphicFramePr/>
                <a:graphic xmlns:a="http://schemas.openxmlformats.org/drawingml/2006/main">
                  <a:graphicData uri="http://schemas.microsoft.com/office/word/2010/wordprocessingShape">
                    <wps:wsp>
                      <wps:cNvSpPr txBox="1"/>
                      <wps:spPr>
                        <a:xfrm>
                          <a:off x="0" y="0"/>
                          <a:ext cx="2366645" cy="467360"/>
                        </a:xfrm>
                        <a:prstGeom prst="rect">
                          <a:avLst/>
                        </a:prstGeom>
                        <a:noFill/>
                        <a:ln w="6350">
                          <a:noFill/>
                        </a:ln>
                        <a:effectLst/>
                      </wps:spPr>
                      <wps:txbx>
                        <w:txbxContent>
                          <w:p>
                            <w:pPr>
                              <w:spacing w:line="560" w:lineRule="exact"/>
                              <w:ind w:firstLine="0" w:firstLineChars="0"/>
                              <w:jc w:val="center"/>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图1-</w:t>
                            </w:r>
                            <w:r>
                              <w:rPr>
                                <w:rFonts w:hint="eastAsia" w:ascii="方正楷体_GBK" w:hAnsi="方正楷体_GBK" w:eastAsia="方正楷体_GBK" w:cs="方正楷体_GBK"/>
                                <w:sz w:val="24"/>
                                <w:szCs w:val="24"/>
                                <w:lang w:val="en-US" w:eastAsia="zh-CN"/>
                              </w:rPr>
                              <w:t>4</w:t>
                            </w:r>
                            <w:r>
                              <w:rPr>
                                <w:rFonts w:hint="eastAsia" w:ascii="方正楷体_GBK" w:hAnsi="方正楷体_GBK" w:eastAsia="方正楷体_GBK" w:cs="方正楷体_GBK"/>
                                <w:sz w:val="24"/>
                                <w:szCs w:val="24"/>
                              </w:rPr>
                              <w:t xml:space="preserve"> 沙坪坝区地形地貌图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132.55pt;margin-top:24.65pt;height:36.8pt;width:186.35pt;z-index:251661312;mso-width-relative:page;mso-height-relative:page;" filled="f" stroked="f" coordsize="21600,21600" o:gfxdata="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UKUF9sAAAAKAQAADwAAAAAAAAABACAAAAAiAAAAZHJzL2Rvd25yZXYueG1sUEsBAhQAFAAA&#10;AAgAh07iQPqa7AAlAgAAKAQAAA4AAAAAAAAAAQAgAAAAKgEAAGRycy9lMm9Eb2MueG1sUEsFBgAA&#10;AAAGAAYAWQEAAMEFAAAAAA==&#10;">
                <v:fill on="f" focussize="0,0"/>
                <v:stroke on="f" weight="0.5pt"/>
                <v:imagedata o:title=""/>
                <o:lock v:ext="edit" aspectratio="f"/>
                <v:textbox>
                  <w:txbxContent>
                    <w:p>
                      <w:pPr>
                        <w:spacing w:line="560" w:lineRule="exact"/>
                        <w:ind w:firstLine="0" w:firstLineChars="0"/>
                        <w:jc w:val="center"/>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图1-</w:t>
                      </w:r>
                      <w:r>
                        <w:rPr>
                          <w:rFonts w:hint="eastAsia" w:ascii="方正楷体_GBK" w:hAnsi="方正楷体_GBK" w:eastAsia="方正楷体_GBK" w:cs="方正楷体_GBK"/>
                          <w:sz w:val="24"/>
                          <w:szCs w:val="24"/>
                          <w:lang w:val="en-US" w:eastAsia="zh-CN"/>
                        </w:rPr>
                        <w:t>4</w:t>
                      </w:r>
                      <w:r>
                        <w:rPr>
                          <w:rFonts w:hint="eastAsia" w:ascii="方正楷体_GBK" w:hAnsi="方正楷体_GBK" w:eastAsia="方正楷体_GBK" w:cs="方正楷体_GBK"/>
                          <w:sz w:val="24"/>
                          <w:szCs w:val="24"/>
                        </w:rPr>
                        <w:t xml:space="preserve"> 沙坪坝区地形地貌图</w:t>
                      </w:r>
                    </w:p>
                  </w:txbxContent>
                </v:textbox>
              </v:shape>
            </w:pict>
          </mc:Fallback>
        </mc:AlternateContent>
      </w:r>
    </w:p>
    <w:p>
      <w:pPr>
        <w:pStyle w:val="5"/>
        <w:numPr>
          <w:ilvl w:val="0"/>
          <w:numId w:val="4"/>
        </w:numPr>
        <w:ind w:firstLineChars="0"/>
      </w:pPr>
      <w:r>
        <w:rPr>
          <w:rFonts w:hint="eastAsia"/>
        </w:rPr>
        <w:t>气候条件</w:t>
      </w:r>
    </w:p>
    <w:p>
      <w:pPr>
        <w:widowControl/>
        <w:spacing w:line="594" w:lineRule="exact"/>
        <w:ind w:firstLine="640"/>
        <w:jc w:val="both"/>
        <w:rPr>
          <w:rFonts w:cs="方正仿宋_GBK"/>
        </w:rPr>
      </w:pPr>
      <w:r>
        <w:rPr>
          <w:rFonts w:hint="eastAsia" w:cs="方正仿宋_GBK"/>
        </w:rPr>
        <w:t>沙坪坝区气候属于中亚热带季风性湿润气候区，气候温和、四季分明、雨量充沛。最冷月平均气温7.8℃，最热月平均气温28.5℃，年平均气温18.3℃，无霜期341 .6天，主要集中在 5-10月，日照年均值为1228.6小时，具有冬暖夏热和春秋多变的特点。年降水量1082.9毫米。由于地形</w:t>
      </w:r>
      <w:r>
        <w:rPr>
          <w:rFonts w:hint="eastAsia" w:cs="方正仿宋_GBK"/>
          <w:highlight w:val="none"/>
        </w:rPr>
        <w:t>地热</w:t>
      </w:r>
      <w:r>
        <w:rPr>
          <w:rFonts w:hint="eastAsia" w:cs="方正仿宋_GBK"/>
        </w:rPr>
        <w:t>相差较大，各地气候差异较显著，伏旱、低温、阴雨、冰雹、大风、寒潮等灾害性天气时有发生。</w:t>
      </w:r>
    </w:p>
    <w:p>
      <w:pPr>
        <w:pStyle w:val="5"/>
        <w:numPr>
          <w:ilvl w:val="0"/>
          <w:numId w:val="4"/>
        </w:numPr>
        <w:ind w:firstLineChars="0"/>
      </w:pPr>
      <w:r>
        <w:rPr>
          <w:rFonts w:hint="eastAsia"/>
        </w:rPr>
        <w:t>土壤情况</w:t>
      </w:r>
    </w:p>
    <w:p>
      <w:pPr>
        <w:ind w:firstLine="640"/>
      </w:pPr>
      <w:r>
        <w:rPr>
          <w:rFonts w:hint="eastAsia"/>
        </w:rPr>
        <w:t>全区的耕地土壤类型分为水稻土、潮土、紫色土、石灰岩土、黄壤5个土类，以水稻土和紫色土为主。土壤分布受中梁山和缙云山地形影响较大。水稻土主要分布在中梁山和缙云山之间的丘陵地区，紫色土主要分布在中梁山脉台地。</w:t>
      </w:r>
    </w:p>
    <w:p>
      <w:pPr>
        <w:ind w:firstLine="640"/>
        <w:jc w:val="both"/>
        <w:rPr>
          <w:spacing w:val="0"/>
        </w:rPr>
      </w:pPr>
      <w:r>
        <w:rPr>
          <w:rFonts w:hint="eastAsia"/>
          <w:spacing w:val="0"/>
        </w:rPr>
        <w:t>依据沙坪坝区</w:t>
      </w:r>
      <w:r>
        <w:rPr>
          <w:rFonts w:hint="eastAsia"/>
          <w:spacing w:val="0"/>
          <w:lang w:val="en-US" w:eastAsia="zh-CN"/>
        </w:rPr>
        <w:t>2018年</w:t>
      </w:r>
      <w:r>
        <w:rPr>
          <w:rFonts w:hint="eastAsia"/>
          <w:spacing w:val="0"/>
        </w:rPr>
        <w:t>耕地质量评价报告按照全国土壤普查土壤养分分级标准，全区66.28%耕地有机质含量处于适量水平以上，48.23%耕地土壤pH值呈酸性和微酸性，91.36%耕地碱解氮处于适量水平以上，100%耕地有效磷处于适量水平以上，93.79%耕地速效钾处于适量水平以上。</w:t>
      </w:r>
    </w:p>
    <w:p>
      <w:pPr>
        <w:pStyle w:val="5"/>
        <w:numPr>
          <w:ilvl w:val="0"/>
          <w:numId w:val="4"/>
        </w:numPr>
        <w:ind w:firstLineChars="0"/>
      </w:pPr>
      <w:r>
        <w:rPr>
          <w:rFonts w:hint="eastAsia"/>
        </w:rPr>
        <w:t>涉农镇街耕地情况</w:t>
      </w:r>
    </w:p>
    <w:p>
      <w:pPr>
        <w:ind w:firstLine="640"/>
        <w:jc w:val="both"/>
      </w:pPr>
      <w:r>
        <w:rPr>
          <w:rFonts w:hint="eastAsia"/>
        </w:rPr>
        <w:t>沙坪坝区9个涉农镇街包括：凤凰镇、青木关镇、中梁镇、回龙坝镇、土主街道、歌乐山街道、丰文街道、井口街道和覃家岗街道。9个涉农镇街耕地面积74946.01亩</w:t>
      </w:r>
      <w:r>
        <w:rPr>
          <w:rFonts w:hint="eastAsia"/>
          <w:vertAlign w:val="superscript"/>
        </w:rPr>
        <w:t>【</w:t>
      </w:r>
      <w:r>
        <w:rPr>
          <w:rFonts w:hint="eastAsia"/>
          <w:sz w:val="36"/>
          <w:szCs w:val="36"/>
          <w:vertAlign w:val="superscript"/>
        </w:rPr>
        <w:t>1</w:t>
      </w:r>
      <w:r>
        <w:rPr>
          <w:rFonts w:hint="eastAsia"/>
          <w:vertAlign w:val="superscript"/>
        </w:rPr>
        <w:t xml:space="preserve">】 </w:t>
      </w:r>
      <w:r>
        <w:rPr>
          <w:rFonts w:hint="eastAsia"/>
        </w:rPr>
        <w:t>。从耕地类型看，旱地占65.86%；水田占33.88%；水浇地占0.26%；从耕地坡度看，6度（含6度）占38.91%，6~25</w:t>
      </w:r>
      <w:r>
        <w:rPr>
          <w:rFonts w:hint="eastAsia" w:ascii="方正仿宋_GBK" w:hAnsi="方正仿宋_GBK" w:cs="方正仿宋_GBK"/>
        </w:rPr>
        <w:t>度占</w:t>
      </w:r>
      <w:r>
        <w:rPr>
          <w:rFonts w:hint="eastAsia"/>
        </w:rPr>
        <w:t>57.38%</w:t>
      </w:r>
      <w:r>
        <w:rPr>
          <w:rFonts w:hint="eastAsia" w:ascii="方正仿宋_GBK" w:hAnsi="方正仿宋_GBK" w:cs="方正仿宋_GBK"/>
        </w:rPr>
        <w:t>，</w:t>
      </w:r>
      <w:r>
        <w:rPr>
          <w:rFonts w:hint="eastAsia"/>
        </w:rPr>
        <w:t>25</w:t>
      </w:r>
      <w:r>
        <w:rPr>
          <w:rFonts w:hint="eastAsia" w:ascii="方正仿宋_GBK" w:hAnsi="方正仿宋_GBK" w:cs="方正仿宋_GBK"/>
        </w:rPr>
        <w:t>度以上占</w:t>
      </w:r>
      <w:r>
        <w:rPr>
          <w:rFonts w:hint="eastAsia"/>
        </w:rPr>
        <w:t>3.71%；从耕地质量看</w:t>
      </w:r>
      <w:r>
        <w:rPr>
          <w:rFonts w:hint="eastAsia" w:ascii="方正仿宋_GBK" w:hAnsi="方正仿宋_GBK" w:cs="方正仿宋_GBK"/>
        </w:rPr>
        <w:t>，一级地占</w:t>
      </w:r>
      <w:r>
        <w:rPr>
          <w:rFonts w:hint="eastAsia"/>
        </w:rPr>
        <w:t>16.67%</w:t>
      </w:r>
      <w:r>
        <w:rPr>
          <w:rFonts w:hint="eastAsia" w:ascii="方正仿宋_GBK" w:hAnsi="方正仿宋_GBK" w:cs="方正仿宋_GBK"/>
        </w:rPr>
        <w:t>，</w:t>
      </w:r>
      <w:r>
        <w:rPr>
          <w:rFonts w:hint="eastAsia" w:ascii="方正仿宋_GBK" w:hAnsi="方正仿宋_GBK" w:cs="方正仿宋_GBK"/>
          <w:highlight w:val="none"/>
        </w:rPr>
        <w:t>二级地占</w:t>
      </w:r>
      <w:r>
        <w:rPr>
          <w:rFonts w:hint="eastAsia"/>
        </w:rPr>
        <w:t>17.46%</w:t>
      </w:r>
      <w:r>
        <w:rPr>
          <w:rFonts w:hint="eastAsia" w:ascii="方正仿宋_GBK" w:hAnsi="方正仿宋_GBK" w:cs="方正仿宋_GBK"/>
        </w:rPr>
        <w:t>，</w:t>
      </w:r>
      <w:r>
        <w:rPr>
          <w:rFonts w:hint="eastAsia" w:ascii="方正仿宋_GBK" w:hAnsi="方正仿宋_GBK" w:cs="方正仿宋_GBK"/>
          <w:highlight w:val="none"/>
        </w:rPr>
        <w:t>三级地占</w:t>
      </w:r>
      <w:r>
        <w:rPr>
          <w:rFonts w:hint="eastAsia"/>
        </w:rPr>
        <w:t>25.76%</w:t>
      </w:r>
      <w:r>
        <w:rPr>
          <w:rFonts w:hint="eastAsia" w:ascii="方正仿宋_GBK" w:hAnsi="方正仿宋_GBK" w:cs="方正仿宋_GBK"/>
        </w:rPr>
        <w:t>，</w:t>
      </w:r>
      <w:r>
        <w:rPr>
          <w:rFonts w:hint="eastAsia" w:ascii="方正仿宋_GBK" w:hAnsi="方正仿宋_GBK" w:cs="方正仿宋_GBK"/>
          <w:highlight w:val="none"/>
        </w:rPr>
        <w:t>四级地占</w:t>
      </w:r>
      <w:r>
        <w:rPr>
          <w:rFonts w:hint="eastAsia"/>
        </w:rPr>
        <w:t>17.53%</w:t>
      </w:r>
      <w:r>
        <w:rPr>
          <w:rFonts w:hint="eastAsia" w:ascii="方正仿宋_GBK" w:hAnsi="方正仿宋_GBK" w:cs="方正仿宋_GBK"/>
        </w:rPr>
        <w:t>，</w:t>
      </w:r>
      <w:r>
        <w:rPr>
          <w:rFonts w:hint="eastAsia" w:ascii="方正仿宋_GBK" w:hAnsi="方正仿宋_GBK" w:cs="方正仿宋_GBK"/>
          <w:highlight w:val="none"/>
        </w:rPr>
        <w:t>五级地占</w:t>
      </w:r>
      <w:r>
        <w:rPr>
          <w:rFonts w:hint="eastAsia"/>
        </w:rPr>
        <w:t>7.68%</w:t>
      </w:r>
      <w:r>
        <w:rPr>
          <w:rFonts w:hint="eastAsia" w:ascii="方正仿宋_GBK" w:hAnsi="方正仿宋_GBK" w:cs="方正仿宋_GBK"/>
        </w:rPr>
        <w:t>，六到</w:t>
      </w:r>
      <w:r>
        <w:rPr>
          <w:rFonts w:hint="eastAsia" w:ascii="方正仿宋_GBK" w:hAnsi="方正仿宋_GBK" w:cs="方正仿宋_GBK"/>
          <w:highlight w:val="none"/>
        </w:rPr>
        <w:t>十级地占</w:t>
      </w:r>
      <w:r>
        <w:rPr>
          <w:rFonts w:hint="eastAsia"/>
        </w:rPr>
        <w:t>14.91%</w:t>
      </w:r>
      <w:r>
        <w:rPr>
          <w:rFonts w:hint="eastAsia" w:ascii="方正仿宋_GBK" w:hAnsi="方正仿宋_GBK" w:cs="方正仿宋_GBK"/>
        </w:rPr>
        <w:t>，耕地质量综合等级为</w:t>
      </w:r>
      <w:r>
        <w:rPr>
          <w:rFonts w:hint="eastAsia"/>
        </w:rPr>
        <w:t>3.3</w:t>
      </w:r>
      <w:r>
        <w:rPr>
          <w:rFonts w:hint="eastAsia" w:ascii="方正仿宋_GBK" w:hAnsi="方正仿宋_GBK" w:cs="方正仿宋_GBK"/>
        </w:rPr>
        <w:t>。</w:t>
      </w:r>
    </w:p>
    <w:p>
      <w:pPr>
        <w:pStyle w:val="5"/>
        <w:numPr>
          <w:ilvl w:val="0"/>
          <w:numId w:val="4"/>
        </w:numPr>
        <w:ind w:firstLineChars="0"/>
      </w:pPr>
      <w:r>
        <w:rPr>
          <w:rFonts w:hint="eastAsia"/>
        </w:rPr>
        <w:t>河流水系</w:t>
      </w:r>
    </w:p>
    <w:p>
      <w:pPr>
        <w:spacing w:line="594" w:lineRule="exact"/>
        <w:ind w:firstLine="640"/>
        <w:rPr>
          <w:rFonts w:cs="方正仿宋_GBK"/>
        </w:rPr>
      </w:pPr>
      <w:r>
        <w:rPr>
          <w:rFonts w:hint="eastAsia" w:cs="方正仿宋_GBK"/>
        </w:rPr>
        <w:t>沙坪坝区境内河流均属嘉陵江水系，现有包括清水溪、凤凰溪、詹家溪、跳蹬河、梁滩河、龙凤河、虎溪河、青木溪、苏家桥河、桥东河、西溪河等次级河流及支流10余条。境内流域面积大于1000 km</w:t>
      </w:r>
      <w:r>
        <w:rPr>
          <w:rFonts w:hint="eastAsia" w:cs="方正仿宋_GBK"/>
          <w:vertAlign w:val="superscript"/>
        </w:rPr>
        <w:t>2</w:t>
      </w:r>
      <w:r>
        <w:rPr>
          <w:rFonts w:hint="eastAsia" w:cs="方正仿宋_GBK"/>
        </w:rPr>
        <w:t>以上的河流有嘉陵江过境河流，境内流域面积小于1000 km</w:t>
      </w:r>
      <w:r>
        <w:rPr>
          <w:rFonts w:hint="eastAsia" w:cs="方正仿宋_GBK"/>
          <w:vertAlign w:val="superscript"/>
        </w:rPr>
        <w:t>2</w:t>
      </w:r>
      <w:r>
        <w:rPr>
          <w:rFonts w:hint="eastAsia" w:cs="方正仿宋_GBK"/>
        </w:rPr>
        <w:t>以下的河流，嘉陵江的一级支流主要有：清水溪、南溪口溪和梁滩河。</w:t>
      </w:r>
    </w:p>
    <w:p>
      <w:pPr>
        <w:pStyle w:val="5"/>
        <w:numPr>
          <w:ilvl w:val="0"/>
          <w:numId w:val="4"/>
        </w:numPr>
        <w:ind w:firstLineChars="0"/>
      </w:pPr>
      <w:r>
        <w:rPr>
          <w:rFonts w:hint="eastAsia"/>
        </w:rPr>
        <w:t>农业产业现状</w:t>
      </w:r>
    </w:p>
    <w:p>
      <w:pPr>
        <w:ind w:firstLine="480" w:firstLineChars="150"/>
      </w:pPr>
      <w:r>
        <mc:AlternateContent>
          <mc:Choice Requires="wps">
            <w:drawing>
              <wp:anchor distT="0" distB="0" distL="114300" distR="114300" simplePos="0" relativeHeight="251665408" behindDoc="0" locked="0" layoutInCell="1" allowOverlap="1">
                <wp:simplePos x="0" y="0"/>
                <wp:positionH relativeFrom="column">
                  <wp:posOffset>43180</wp:posOffset>
                </wp:positionH>
                <wp:positionV relativeFrom="paragraph">
                  <wp:posOffset>3150870</wp:posOffset>
                </wp:positionV>
                <wp:extent cx="5836285" cy="686435"/>
                <wp:effectExtent l="0" t="0" r="12065" b="18415"/>
                <wp:wrapNone/>
                <wp:docPr id="16" name="文本框 1"/>
                <wp:cNvGraphicFramePr/>
                <a:graphic xmlns:a="http://schemas.openxmlformats.org/drawingml/2006/main">
                  <a:graphicData uri="http://schemas.microsoft.com/office/word/2010/wordprocessingShape">
                    <wps:wsp>
                      <wps:cNvSpPr txBox="1"/>
                      <wps:spPr>
                        <a:xfrm>
                          <a:off x="1233805" y="9453245"/>
                          <a:ext cx="5755005" cy="686435"/>
                        </a:xfrm>
                        <a:prstGeom prst="rect">
                          <a:avLst/>
                        </a:prstGeom>
                        <a:solidFill>
                          <a:srgbClr val="FFFFFF"/>
                        </a:solidFill>
                        <a:ln w="6350">
                          <a:noFill/>
                        </a:ln>
                        <a:effectLst/>
                      </wps:spPr>
                      <wps:txbx>
                        <w:txbxContent>
                          <w:p>
                            <w:pPr>
                              <w:snapToGrid w:val="0"/>
                              <w:spacing w:line="240" w:lineRule="auto"/>
                              <w:ind w:firstLine="0" w:firstLineChars="0"/>
                              <w:rPr>
                                <w:rFonts w:ascii="方正楷体_GBK" w:hAnsi="方正楷体_GBK" w:eastAsia="方正楷体_GBK" w:cs="方正楷体_GBK"/>
                                <w:sz w:val="18"/>
                                <w:szCs w:val="18"/>
                              </w:rPr>
                            </w:pPr>
                            <w:r>
                              <w:rPr>
                                <w:rFonts w:hint="eastAsia" w:ascii="方正楷体_GBK" w:hAnsi="方正楷体_GBK" w:eastAsia="方正楷体_GBK" w:cs="方正楷体_GBK"/>
                                <w:sz w:val="18"/>
                                <w:szCs w:val="18"/>
                              </w:rPr>
                              <w:t>【1】 9个涉农镇街耕地面积74946.01亩，数据采用的是TBMJ（俗称毛面积）；三调公开数据全区耕地面积65290.65亩，采用的是TBDLMJ（俗称净面积），二者统计口径不一样。高标准农田规划和设计均采用TBMJ（俗称毛面积）。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4pt;margin-top:248.1pt;height:54.05pt;width:459.55pt;z-index:251665408;mso-width-relative:page;mso-height-relative:page;" fillcolor="#FFFFFF" filled="t" stroked="f" coordsize="21600,21600" o:gfxdata="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MO8QrVAAAACQEAAA8AAAAAAAAAAQAgAAAA&#10;IgAAAGRycy9kb3ducmV2LnhtbFBLAQIUABQAAAAIAIdO4kAq0apYRwIAAFwEAAAOAAAAAAAAAAEA&#10;IAAAACQBAABkcnMvZTJvRG9jLnhtbFBLBQYAAAAABgAGAFkBAADdBQAAAAA=&#10;">
                <v:fill on="t" focussize="0,0"/>
                <v:stroke on="f" weight="0.5pt"/>
                <v:imagedata o:title=""/>
                <o:lock v:ext="edit" aspectratio="f"/>
                <v:textbox>
                  <w:txbxContent>
                    <w:p>
                      <w:pPr>
                        <w:snapToGrid w:val="0"/>
                        <w:spacing w:line="240" w:lineRule="auto"/>
                        <w:ind w:firstLine="0" w:firstLineChars="0"/>
                        <w:rPr>
                          <w:rFonts w:ascii="方正楷体_GBK" w:hAnsi="方正楷体_GBK" w:eastAsia="方正楷体_GBK" w:cs="方正楷体_GBK"/>
                          <w:sz w:val="18"/>
                          <w:szCs w:val="18"/>
                        </w:rPr>
                      </w:pPr>
                      <w:r>
                        <w:rPr>
                          <w:rFonts w:hint="eastAsia" w:ascii="方正楷体_GBK" w:hAnsi="方正楷体_GBK" w:eastAsia="方正楷体_GBK" w:cs="方正楷体_GBK"/>
                          <w:sz w:val="18"/>
                          <w:szCs w:val="18"/>
                        </w:rPr>
                        <w:t>【1】 9个涉农镇街耕地面积74946.01亩，数据采用的是TBMJ（俗称毛面积）；三调公开数据全区耕地面积65290.65亩，采用的是TBDLMJ（俗称净面积），二者统计口径不一样。高标准农田规划和设计均采用TBMJ（俗称毛面积）。</w:t>
                      </w:r>
                    </w:p>
                  </w:txbxContent>
                </v:textbox>
              </v:shape>
            </w:pict>
          </mc:Fallback>
        </mc:AlternateContent>
      </w:r>
      <w:r>
        <w:rPr>
          <w:rFonts w:hint="eastAsia" w:cs="方正仿宋_GBK"/>
        </w:rPr>
        <w:t>根据《2020年重庆市沙坪坝区国民经济和社会发展统计公报》，2020年实现地区生产总值（GDP）1013.9亿元，其中第一产业增加值4.5亿元，第二产业增加值322.4亿元，第三产业增加值687.0亿元。全年粮食作物播种面积3.73万亩，粮食作物总产量1.03万吨，全年蔬菜播种面积2.53万亩，蔬菜总产量3.8万吨。</w:t>
      </w:r>
      <w:r>
        <w:rPr>
          <w:rFonts w:hint="eastAsia"/>
        </w:rPr>
        <w:t>“十三五”以来，沙坪坝区有序开展农村乱占耕地专项整治，严肃查处违规建房、植树种草、挖湖造景等行为，坚决守住耕地保护底线。大力发展都市现代农业，农业产业以精品蔬菜和精品粮油为主，并着眼</w:t>
      </w:r>
      <w:r>
        <w:rPr>
          <w:rFonts w:hint="eastAsia"/>
          <w:highlight w:val="none"/>
        </w:rPr>
        <w:t>一二三产业</w:t>
      </w:r>
      <w:r>
        <w:rPr>
          <w:rFonts w:hint="eastAsia"/>
        </w:rPr>
        <w:t>融合，大力发展赏花摘果、亲子研学、休闲垂钓、民宿餐饮等。截至目前，打造休闲农业及乡村旅游精品线路3条，培育农业龙头企业33家，打造市级名牌农产品6个、“巴味渝珍”授权产品40个、创建重庆市休闲农业与乡村旅游示范镇、村8个，农产品网络零售额超亿元。</w:t>
      </w:r>
    </w:p>
    <w:p>
      <w:pPr>
        <w:pStyle w:val="5"/>
        <w:numPr>
          <w:ilvl w:val="0"/>
          <w:numId w:val="4"/>
        </w:numPr>
        <w:ind w:firstLineChars="0"/>
      </w:pPr>
      <w:r>
        <w:rPr>
          <w:rFonts w:hint="eastAsia"/>
        </w:rPr>
        <w:t>高标准农田建设潜力</w:t>
      </w:r>
    </w:p>
    <w:p>
      <w:pPr>
        <w:pStyle w:val="13"/>
        <w:ind w:firstLine="640"/>
        <w:jc w:val="both"/>
        <w:rPr>
          <w:rFonts w:hint="eastAsia" w:ascii="Times New Roman" w:hAnsi="Times New Roman" w:eastAsia="方正仿宋_GBK" w:cstheme="minorBidi"/>
          <w:sz w:val="32"/>
          <w:szCs w:val="32"/>
          <w:lang w:val="en-US" w:eastAsia="zh-CN"/>
        </w:rPr>
      </w:pPr>
      <w:r>
        <w:rPr>
          <w:rFonts w:hint="eastAsia" w:ascii="Times New Roman" w:hAnsi="Times New Roman" w:eastAsia="方正仿宋_GBK" w:cstheme="minorBidi"/>
          <w:sz w:val="32"/>
          <w:szCs w:val="32"/>
        </w:rPr>
        <w:t>根据第三次国土调查数据成果中耕</w:t>
      </w:r>
      <w:r>
        <w:rPr>
          <w:rFonts w:hint="eastAsia" w:ascii="Times New Roman" w:hAnsi="Times New Roman" w:eastAsia="方正仿宋_GBK" w:cstheme="minorBidi"/>
          <w:sz w:val="32"/>
          <w:szCs w:val="32"/>
          <w:highlight w:val="none"/>
        </w:rPr>
        <w:t>地数据</w:t>
      </w:r>
      <w:r>
        <w:rPr>
          <w:rFonts w:hint="eastAsia" w:ascii="Times New Roman" w:hAnsi="Times New Roman" w:eastAsia="方正仿宋_GBK" w:cstheme="minorBidi"/>
          <w:sz w:val="32"/>
          <w:szCs w:val="32"/>
        </w:rPr>
        <w:t>，综合生态保护红线范围、城镇开发边界范围、已建设高标准农田、25度以上</w:t>
      </w:r>
      <w:r>
        <w:rPr>
          <w:rFonts w:hint="eastAsia" w:ascii="Times New Roman" w:hAnsi="Times New Roman" w:eastAsia="方正仿宋_GBK" w:cstheme="minorBidi"/>
          <w:sz w:val="32"/>
          <w:szCs w:val="32"/>
          <w:highlight w:val="none"/>
        </w:rPr>
        <w:t>耕地和退</w:t>
      </w:r>
      <w:r>
        <w:rPr>
          <w:rFonts w:hint="eastAsia" w:ascii="Times New Roman" w:hAnsi="Times New Roman" w:eastAsia="方正仿宋_GBK" w:cstheme="minorBidi"/>
          <w:sz w:val="32"/>
          <w:szCs w:val="32"/>
        </w:rPr>
        <w:t>耕还林地、</w:t>
      </w:r>
      <w:r>
        <w:rPr>
          <w:rFonts w:hint="eastAsia" w:ascii="Times New Roman" w:hAnsi="Times New Roman" w:eastAsia="方正仿宋_GBK" w:cstheme="minorBidi"/>
          <w:sz w:val="32"/>
          <w:szCs w:val="32"/>
          <w:highlight w:val="none"/>
        </w:rPr>
        <w:t>恢复地类等</w:t>
      </w:r>
      <w:r>
        <w:rPr>
          <w:rFonts w:hint="eastAsia" w:ascii="Times New Roman" w:hAnsi="Times New Roman" w:eastAsia="方正仿宋_GBK" w:cstheme="minorBidi"/>
          <w:sz w:val="32"/>
          <w:szCs w:val="32"/>
        </w:rPr>
        <w:t>各要素，得到沙坪坝区高标准农田建设潜力面积</w:t>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60</w:t>
      </w:r>
      <w:r>
        <w:rPr>
          <w:rFonts w:hint="eastAsia" w:ascii="方正仿宋_GBK" w:hAnsi="方正仿宋_GBK" w:eastAsia="方正仿宋_GBK" w:cs="方正仿宋_GBK"/>
          <w:sz w:val="32"/>
          <w:szCs w:val="32"/>
        </w:rPr>
        <w:t>万亩，其中</w:t>
      </w:r>
      <w:r>
        <w:rPr>
          <w:rFonts w:hint="eastAsia" w:ascii="方正仿宋_GBK" w:hAnsi="方正仿宋_GBK" w:eastAsia="方正仿宋_GBK" w:cs="方正仿宋_GBK"/>
          <w:sz w:val="32"/>
          <w:szCs w:val="32"/>
          <w:lang w:val="en-US" w:eastAsia="zh-CN"/>
        </w:rPr>
        <w:t>耕地中</w:t>
      </w:r>
      <w:r>
        <w:rPr>
          <w:rFonts w:hint="eastAsia" w:ascii="方正仿宋_GBK" w:hAnsi="方正仿宋_GBK" w:eastAsia="方正仿宋_GBK" w:cs="方正仿宋_GBK"/>
          <w:sz w:val="32"/>
          <w:szCs w:val="32"/>
        </w:rPr>
        <w:t>新建潜力</w:t>
      </w:r>
      <w:r>
        <w:rPr>
          <w:rFonts w:hint="eastAsia" w:ascii="方正仿宋_GBK" w:hAnsi="方正仿宋_GBK" w:eastAsia="方正仿宋_GBK" w:cs="方正仿宋_GBK"/>
          <w:sz w:val="32"/>
          <w:szCs w:val="32"/>
          <w:lang w:val="en-US" w:eastAsia="zh-CN"/>
        </w:rPr>
        <w:t>1.83</w:t>
      </w:r>
      <w:r>
        <w:rPr>
          <w:rFonts w:hint="eastAsia" w:ascii="方正仿宋_GBK" w:hAnsi="方正仿宋_GBK" w:eastAsia="方正仿宋_GBK" w:cs="方正仿宋_GBK"/>
          <w:sz w:val="32"/>
          <w:szCs w:val="32"/>
        </w:rPr>
        <w:t>万亩，改造提升潜力</w:t>
      </w:r>
      <w:r>
        <w:rPr>
          <w:rFonts w:hint="eastAsia" w:ascii="方正仿宋_GBK" w:hAnsi="方正仿宋_GBK" w:eastAsia="方正仿宋_GBK" w:cs="方正仿宋_GBK"/>
          <w:sz w:val="32"/>
          <w:szCs w:val="32"/>
          <w:lang w:val="en-US" w:eastAsia="zh-CN"/>
        </w:rPr>
        <w:t>1.44</w:t>
      </w:r>
      <w:r>
        <w:rPr>
          <w:rFonts w:hint="eastAsia" w:ascii="方正仿宋_GBK" w:hAnsi="方正仿宋_GBK" w:eastAsia="方正仿宋_GBK" w:cs="方正仿宋_GBK"/>
          <w:sz w:val="32"/>
          <w:szCs w:val="32"/>
        </w:rPr>
        <w:t>万亩</w:t>
      </w:r>
      <w:r>
        <w:rPr>
          <w:rFonts w:hint="eastAsia" w:ascii="方正仿宋_GBK" w:hAnsi="方正仿宋_GBK" w:eastAsia="方正仿宋_GBK" w:cs="方正仿宋_GBK"/>
          <w:sz w:val="32"/>
          <w:szCs w:val="32"/>
          <w:lang w:val="en-US" w:eastAsia="zh-CN"/>
        </w:rPr>
        <w:t>；恢复地类中</w:t>
      </w:r>
      <w:r>
        <w:rPr>
          <w:rFonts w:hint="eastAsia" w:ascii="方正仿宋_GBK" w:hAnsi="方正仿宋_GBK" w:eastAsia="方正仿宋_GBK" w:cs="方正仿宋_GBK"/>
          <w:sz w:val="32"/>
          <w:szCs w:val="32"/>
        </w:rPr>
        <w:t>新建潜力</w:t>
      </w:r>
      <w:r>
        <w:rPr>
          <w:rFonts w:hint="eastAsia" w:ascii="方正仿宋_GBK" w:hAnsi="方正仿宋_GBK" w:eastAsia="方正仿宋_GBK" w:cs="方正仿宋_GBK"/>
          <w:sz w:val="32"/>
          <w:szCs w:val="32"/>
          <w:lang w:val="en-US" w:eastAsia="zh-CN"/>
        </w:rPr>
        <w:t>0.65万亩，</w:t>
      </w:r>
      <w:r>
        <w:rPr>
          <w:rFonts w:hint="eastAsia" w:ascii="方正仿宋_GBK" w:hAnsi="方正仿宋_GBK" w:eastAsia="方正仿宋_GBK" w:cs="方正仿宋_GBK"/>
          <w:sz w:val="32"/>
          <w:szCs w:val="32"/>
        </w:rPr>
        <w:t>改造提升潜力</w:t>
      </w:r>
      <w:r>
        <w:rPr>
          <w:rFonts w:hint="eastAsia" w:ascii="方正仿宋_GBK" w:hAnsi="方正仿宋_GBK" w:eastAsia="方正仿宋_GBK" w:cs="方正仿宋_GBK"/>
          <w:sz w:val="32"/>
          <w:szCs w:val="32"/>
          <w:lang w:val="en-US" w:eastAsia="zh-CN"/>
        </w:rPr>
        <w:t>0.68</w:t>
      </w:r>
      <w:r>
        <w:rPr>
          <w:rFonts w:hint="eastAsia" w:ascii="Times New Roman" w:hAnsi="Times New Roman" w:eastAsia="方正仿宋_GBK" w:cstheme="minorBidi"/>
          <w:sz w:val="32"/>
          <w:szCs w:val="32"/>
        </w:rPr>
        <w:t>万亩。</w:t>
      </w:r>
    </w:p>
    <w:p>
      <w:pPr>
        <w:pStyle w:val="4"/>
        <w:numPr>
          <w:ilvl w:val="0"/>
          <w:numId w:val="3"/>
        </w:numPr>
        <w:ind w:firstLineChars="0"/>
      </w:pPr>
      <w:bookmarkStart w:id="4" w:name="_Toc28542"/>
      <w:r>
        <w:rPr>
          <w:rFonts w:hint="eastAsia"/>
        </w:rPr>
        <w:t>建设成效</w:t>
      </w:r>
      <w:bookmarkEnd w:id="4"/>
    </w:p>
    <w:p>
      <w:pPr>
        <w:pStyle w:val="5"/>
        <w:numPr>
          <w:ilvl w:val="0"/>
          <w:numId w:val="5"/>
        </w:numPr>
        <w:ind w:firstLine="640"/>
      </w:pPr>
      <w:r>
        <w:rPr>
          <w:rFonts w:hint="eastAsia"/>
        </w:rPr>
        <w:t>全面完成目标任务，建成项目全部上图入库</w:t>
      </w:r>
    </w:p>
    <w:p>
      <w:pPr>
        <w:ind w:firstLine="640"/>
      </w:pPr>
      <w:r>
        <w:rPr>
          <w:rFonts w:hint="eastAsia"/>
        </w:rPr>
        <w:t>截至2020年，沙坪坝区实施高标准农田建设项目10个，高标准农田上图面积3.89万亩，超额完成市级下达的建设任务3.49万亩。根据《农业农村部关于开展“十二五”以来高标准农田建设评估工作的通知》（农建发〔2019〕4号）要求，对 2011-2018年期间已竣工验收项目进行了清查评估，评估结果为：2011-2017年期间，共计实施高标准农田建设项目7个，建成高标准农田面积2.36万亩，全部上图入库。2018—2020年，实施高标准农田建设项目3个，建成高标准农田面积1.53万亩，目前全部通过市级验收并上图入库。</w:t>
      </w:r>
    </w:p>
    <w:p>
      <w:pPr>
        <w:pStyle w:val="5"/>
        <w:numPr>
          <w:ilvl w:val="0"/>
          <w:numId w:val="5"/>
        </w:numPr>
        <w:ind w:firstLine="640"/>
      </w:pPr>
      <w:r>
        <w:rPr>
          <w:rFonts w:hint="eastAsia"/>
        </w:rPr>
        <w:t>农田基础设施得到改善，粮食综合生产能力明显提高</w:t>
      </w:r>
    </w:p>
    <w:p>
      <w:pPr>
        <w:ind w:firstLine="640"/>
      </w:pPr>
      <w:r>
        <w:t>累计建成生产道路约46km，机耕道16.6km，排水沟</w:t>
      </w:r>
      <w:r>
        <w:rPr>
          <w:rFonts w:hint="eastAsia"/>
        </w:rPr>
        <w:t>约</w:t>
      </w:r>
      <w:r>
        <w:t>30km，蓄水池20余口，山坪塘10口等</w:t>
      </w:r>
      <w:r>
        <w:rPr>
          <w:rFonts w:hint="eastAsia"/>
        </w:rPr>
        <w:t>工程设施。</w:t>
      </w:r>
      <w:r>
        <w:t>粮油、蔬菜等</w:t>
      </w:r>
      <w:r>
        <w:rPr>
          <w:rFonts w:hint="eastAsia"/>
        </w:rPr>
        <w:t>农作物生产的</w:t>
      </w:r>
      <w:r>
        <w:t>基</w:t>
      </w:r>
      <w:r>
        <w:rPr>
          <w:highlight w:val="none"/>
        </w:rPr>
        <w:t>础</w:t>
      </w:r>
      <w:r>
        <w:rPr>
          <w:rFonts w:hint="eastAsia"/>
          <w:highlight w:val="none"/>
        </w:rPr>
        <w:t>设施</w:t>
      </w:r>
      <w:r>
        <w:rPr>
          <w:rFonts w:hint="eastAsia"/>
        </w:rPr>
        <w:t>得到极大</w:t>
      </w:r>
      <w:r>
        <w:t>改善，农田抗洪、水土保持能力得到提升</w:t>
      </w:r>
      <w:r>
        <w:rPr>
          <w:rFonts w:hint="eastAsia"/>
        </w:rPr>
        <w:t>，方便了农民群众农事操作和生产出行，降低</w:t>
      </w:r>
      <w:r>
        <w:t>了</w:t>
      </w:r>
      <w:r>
        <w:rPr>
          <w:rFonts w:hint="eastAsia"/>
        </w:rPr>
        <w:t>劳动力</w:t>
      </w:r>
      <w:r>
        <w:t>成本</w:t>
      </w:r>
      <w:r>
        <w:rPr>
          <w:rFonts w:hint="eastAsia"/>
        </w:rPr>
        <w:t>。建成的高标准农田，亩均</w:t>
      </w:r>
      <w:r>
        <w:t>粮食产能</w:t>
      </w:r>
      <w:r>
        <w:rPr>
          <w:rFonts w:hint="eastAsia"/>
        </w:rPr>
        <w:t>增加</w:t>
      </w:r>
      <w:r>
        <w:t>10%</w:t>
      </w:r>
      <w:r>
        <w:rPr>
          <w:rFonts w:hint="eastAsia"/>
        </w:rPr>
        <w:t>，</w:t>
      </w:r>
      <w:r>
        <w:t>为稳定和提高粮食生产奠定了坚实基础。</w:t>
      </w:r>
    </w:p>
    <w:p>
      <w:pPr>
        <w:pStyle w:val="5"/>
        <w:numPr>
          <w:ilvl w:val="0"/>
          <w:numId w:val="5"/>
        </w:numPr>
        <w:ind w:firstLine="640"/>
      </w:pPr>
      <w:r>
        <w:rPr>
          <w:rFonts w:hint="eastAsia"/>
        </w:rPr>
        <w:t>农业产业基地形象迅速提升，农旅融合发展成效突出</w:t>
      </w:r>
    </w:p>
    <w:p>
      <w:pPr>
        <w:spacing w:beforeLines="50"/>
        <w:ind w:firstLine="640"/>
        <w:rPr>
          <w:rFonts w:cs="方正仿宋_GBK"/>
        </w:rPr>
      </w:pPr>
      <w:r>
        <w:rPr>
          <w:rFonts w:hint="eastAsia" w:cs="方正仿宋_GBK"/>
        </w:rPr>
        <w:t>沙坪坝区以高标准农田建设为基础，以农业产业发展为载体，致力打造歌乐山中梁诗画田园、凤凰花卉产业园、回龙坝伏淡季水果环山产业带，建成了</w:t>
      </w:r>
      <w:r>
        <w:rPr>
          <w:rFonts w:cs="方正仿宋_GBK"/>
        </w:rPr>
        <w:t>1个</w:t>
      </w:r>
      <w:r>
        <w:rPr>
          <w:rFonts w:cs="方正仿宋_GBK"/>
          <w:highlight w:val="none"/>
        </w:rPr>
        <w:t>农业部</w:t>
      </w:r>
      <w:r>
        <w:rPr>
          <w:rFonts w:cs="方正仿宋_GBK"/>
        </w:rPr>
        <w:t>蔬菜标准园</w:t>
      </w:r>
      <w:r>
        <w:rPr>
          <w:rFonts w:hint="eastAsia" w:cs="方正仿宋_GBK"/>
        </w:rPr>
        <w:t>、</w:t>
      </w:r>
      <w:r>
        <w:rPr>
          <w:rFonts w:cs="方正仿宋_GBK"/>
        </w:rPr>
        <w:t>2个市级现代农业示范园区</w:t>
      </w:r>
      <w:r>
        <w:rPr>
          <w:rFonts w:hint="eastAsia" w:cs="方正仿宋_GBK"/>
        </w:rPr>
        <w:t>、60余个集生产、采摘、体验、休闲、科普为一体的休闲农业观光园，一三产业融合发展迅速。高标准农田建设不但完善了农田基础设施，而且使得一大批农业产业基地形象迅速提升，建成的这些基地</w:t>
      </w:r>
      <w:r>
        <w:rPr>
          <w:rFonts w:hint="eastAsia" w:cs="方正仿宋_GBK"/>
          <w:highlight w:val="none"/>
        </w:rPr>
        <w:t>成为了</w:t>
      </w:r>
      <w:r>
        <w:rPr>
          <w:rFonts w:hint="eastAsia" w:cs="方正仿宋_GBK"/>
        </w:rPr>
        <w:t>重庆市民休闲观光的后花园。</w:t>
      </w:r>
    </w:p>
    <w:p>
      <w:pPr>
        <w:pStyle w:val="4"/>
        <w:numPr>
          <w:ilvl w:val="0"/>
          <w:numId w:val="3"/>
        </w:numPr>
        <w:ind w:firstLineChars="0"/>
      </w:pPr>
      <w:bookmarkStart w:id="5" w:name="_Toc10170"/>
      <w:bookmarkStart w:id="6" w:name="_Toc100673889"/>
      <w:bookmarkStart w:id="7" w:name="_Toc15750"/>
      <w:r>
        <w:rPr>
          <w:rFonts w:hint="eastAsia"/>
        </w:rPr>
        <w:t>建设经验</w:t>
      </w:r>
      <w:bookmarkEnd w:id="5"/>
    </w:p>
    <w:p>
      <w:pPr>
        <w:pStyle w:val="5"/>
        <w:numPr>
          <w:ilvl w:val="0"/>
          <w:numId w:val="6"/>
        </w:numPr>
        <w:ind w:firstLine="640"/>
      </w:pPr>
      <w:r>
        <w:rPr>
          <w:rFonts w:hint="eastAsia"/>
        </w:rPr>
        <w:t>合理布局，连片推进</w:t>
      </w:r>
    </w:p>
    <w:p>
      <w:pPr>
        <w:spacing w:line="594" w:lineRule="exact"/>
        <w:ind w:firstLine="640"/>
        <w:rPr>
          <w:rFonts w:cs="方正仿宋_GBK"/>
        </w:rPr>
      </w:pPr>
      <w:r>
        <w:rPr>
          <w:rFonts w:hint="eastAsia" w:cs="方正仿宋_GBK"/>
        </w:rPr>
        <w:t>沙坪坝区高标准农田建设跟着产业走，产业在哪里，高标准农田就建在哪里。围绕农业产业发展，合理布局高标准农田建设项目，以产业基地为点，串点成片，一片一片建设。截至2020年，在中梁乡村振兴示范带、回龙坝环山产业带、凤凰花卉产业园、歌乐山休闲农业带等4大片区，连片推进高标准农田建设。</w:t>
      </w:r>
    </w:p>
    <w:p>
      <w:pPr>
        <w:pStyle w:val="5"/>
        <w:numPr>
          <w:ilvl w:val="0"/>
          <w:numId w:val="6"/>
        </w:numPr>
        <w:ind w:firstLine="640"/>
      </w:pPr>
      <w:r>
        <w:rPr>
          <w:rFonts w:hint="eastAsia"/>
        </w:rPr>
        <w:t>严把关口，规范管理</w:t>
      </w:r>
    </w:p>
    <w:p>
      <w:pPr>
        <w:spacing w:line="594" w:lineRule="exact"/>
        <w:ind w:firstLine="640"/>
        <w:rPr>
          <w:rFonts w:cs="方正仿宋_GBK"/>
        </w:rPr>
      </w:pPr>
      <w:r>
        <w:rPr>
          <w:rFonts w:hint="eastAsia" w:cs="方正仿宋_GBK"/>
        </w:rPr>
        <w:t>在项目实施中，沙坪坝区严格执行高标准农田项目公示制、法人制、招投标制、建设监理制等制度，重点抓好质量、程序、资金等方面的管理。在项目管理中，严把“三个关口”：一是把好工程招投标关。项目实施方案批复后，严格按照项目管理的相关规定，经区发改委概算评审、区财政评审中心预算评审后，进入市公共资源交易中心公开招标，通过公开招标，最终确定施工单位。二是把好质量监管关。严格落实项目建设，力求将工程做好、做实、做精，严把对工程原材料、工艺、数量、质量，施工安全进行全面把关，从根本上杜绝“豆腐渣”工程的产生。三是把好财务管理关。严格执行《高标准农田项目资金管理办法》和重庆市有关文件的规定严格加强财务管理。</w:t>
      </w:r>
    </w:p>
    <w:p>
      <w:pPr>
        <w:pStyle w:val="5"/>
        <w:numPr>
          <w:ilvl w:val="0"/>
          <w:numId w:val="6"/>
        </w:numPr>
        <w:ind w:firstLine="640"/>
      </w:pPr>
      <w:r>
        <w:rPr>
          <w:rFonts w:hint="eastAsia"/>
        </w:rPr>
        <w:t>建管并重，及时移交</w:t>
      </w:r>
    </w:p>
    <w:p>
      <w:pPr>
        <w:spacing w:line="594" w:lineRule="exact"/>
        <w:ind w:firstLine="640"/>
        <w:rPr>
          <w:rFonts w:cs="方正仿宋_GBK"/>
        </w:rPr>
      </w:pPr>
      <w:r>
        <w:rPr>
          <w:rFonts w:hint="eastAsia" w:cs="方正仿宋_GBK"/>
        </w:rPr>
        <w:t>高标准农田“三分靠建、七分靠管”。沙坪坝区常态化推进高标准农田建后管护工作，制定管护制度、明确管护主体、落实管护责任，2011—2020年实施的高标准农田项目全部竣工验收，并完成移交，所有工程设施持续正常运行。项目完成并通过市级验收后，沙坪坝区农业农村委及时将所建工程设施移交给当地镇街并签订管护协议，随后，当地镇街及时移交给项目所在村委会并明确管护责任，做到了管护主体、管护责任双落实。</w:t>
      </w:r>
    </w:p>
    <w:p>
      <w:pPr>
        <w:pStyle w:val="4"/>
        <w:numPr>
          <w:ilvl w:val="0"/>
          <w:numId w:val="3"/>
        </w:numPr>
        <w:ind w:firstLineChars="0"/>
      </w:pPr>
      <w:bookmarkStart w:id="8" w:name="_Toc4682"/>
      <w:r>
        <w:rPr>
          <w:rFonts w:hint="eastAsia"/>
        </w:rPr>
        <w:t>制约因素</w:t>
      </w:r>
      <w:bookmarkEnd w:id="8"/>
    </w:p>
    <w:p>
      <w:pPr>
        <w:pStyle w:val="5"/>
        <w:numPr>
          <w:ilvl w:val="0"/>
          <w:numId w:val="7"/>
        </w:numPr>
        <w:ind w:firstLine="640"/>
      </w:pPr>
      <w:r>
        <w:rPr>
          <w:rFonts w:hint="eastAsia"/>
        </w:rPr>
        <w:t>中梁山脉耕地水源短缺</w:t>
      </w:r>
    </w:p>
    <w:p>
      <w:pPr>
        <w:pStyle w:val="13"/>
        <w:spacing w:line="594" w:lineRule="exact"/>
        <w:ind w:firstLine="640"/>
        <w:rPr>
          <w:rFonts w:ascii="Times New Roman" w:hAnsi="Times New Roman" w:eastAsia="方正仿宋_GBK" w:cs="Times New Roman"/>
          <w:sz w:val="32"/>
          <w:szCs w:val="32"/>
        </w:rPr>
      </w:pPr>
      <w:r>
        <w:rPr>
          <w:rFonts w:hint="eastAsia" w:ascii="Times New Roman" w:hAnsi="Times New Roman" w:eastAsia="方正仿宋_GBK" w:cs="方正仿宋_GBK"/>
          <w:sz w:val="32"/>
          <w:szCs w:val="32"/>
        </w:rPr>
        <w:t>中梁山背斜低山</w:t>
      </w:r>
      <w:r>
        <w:rPr>
          <w:rFonts w:ascii="Times New Roman" w:hAnsi="Times New Roman" w:eastAsia="方正仿宋_GBK" w:cs="Times New Roman"/>
          <w:sz w:val="32"/>
          <w:szCs w:val="32"/>
        </w:rPr>
        <w:t>地区</w:t>
      </w:r>
      <w:r>
        <w:rPr>
          <w:rFonts w:hint="eastAsia" w:ascii="Times New Roman" w:hAnsi="Times New Roman" w:eastAsia="方正仿宋_GBK" w:cs="Times New Roman"/>
          <w:sz w:val="32"/>
          <w:szCs w:val="32"/>
        </w:rPr>
        <w:t>的中梁镇、歌乐山街道、回龙坝镇是沙坪坝区主要农业生产区域，因</w:t>
      </w:r>
      <w:r>
        <w:rPr>
          <w:rFonts w:ascii="Times New Roman" w:hAnsi="Times New Roman" w:eastAsia="方正仿宋_GBK" w:cs="Times New Roman"/>
          <w:sz w:val="32"/>
          <w:szCs w:val="32"/>
        </w:rPr>
        <w:t>属喀斯特地貌</w:t>
      </w:r>
      <w:r>
        <w:rPr>
          <w:rFonts w:hint="eastAsia" w:ascii="Times New Roman" w:hAnsi="Times New Roman" w:eastAsia="方正仿宋_GBK" w:cs="Times New Roman"/>
          <w:sz w:val="32"/>
          <w:szCs w:val="32"/>
        </w:rPr>
        <w:t>，耕地本身蓄水保水能力较弱。近年，因城市发展需要，山脉被多条隧道穿过，导致部分</w:t>
      </w:r>
      <w:r>
        <w:rPr>
          <w:rFonts w:ascii="Times New Roman" w:hAnsi="Times New Roman" w:eastAsia="方正仿宋_GBK" w:cs="Times New Roman"/>
          <w:sz w:val="32"/>
          <w:szCs w:val="32"/>
        </w:rPr>
        <w:t>涵养水源渗漏</w:t>
      </w:r>
      <w:r>
        <w:rPr>
          <w:rFonts w:hint="eastAsia" w:ascii="Times New Roman" w:hAnsi="Times New Roman" w:eastAsia="方正仿宋_GBK" w:cs="Times New Roman"/>
          <w:sz w:val="32"/>
          <w:szCs w:val="32"/>
        </w:rPr>
        <w:t>。因此，该片区必须解决农田灌溉用水问题。</w:t>
      </w:r>
    </w:p>
    <w:p>
      <w:pPr>
        <w:pStyle w:val="5"/>
        <w:numPr>
          <w:ilvl w:val="0"/>
          <w:numId w:val="7"/>
        </w:numPr>
        <w:ind w:firstLine="640"/>
      </w:pPr>
      <w:r>
        <w:rPr>
          <w:rFonts w:hint="eastAsia"/>
        </w:rPr>
        <w:t>梁滩河流域部分耕</w:t>
      </w:r>
      <w:r>
        <w:rPr>
          <w:rFonts w:hint="eastAsia"/>
          <w:highlight w:val="none"/>
        </w:rPr>
        <w:t>地基础设施</w:t>
      </w:r>
      <w:r>
        <w:rPr>
          <w:rFonts w:hint="eastAsia"/>
        </w:rPr>
        <w:t>薄弱</w:t>
      </w:r>
    </w:p>
    <w:p>
      <w:pPr>
        <w:pStyle w:val="13"/>
        <w:spacing w:line="594" w:lineRule="exact"/>
        <w:ind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位于梁滩河流域的部分耕地，因多年来被划定为控规区域，没有开展高标准农田建设，</w:t>
      </w:r>
      <w:r>
        <w:rPr>
          <w:rFonts w:hint="eastAsia" w:ascii="Times New Roman" w:hAnsi="Times New Roman" w:eastAsia="方正仿宋_GBK" w:cs="方正仿宋_GBK"/>
          <w:sz w:val="32"/>
          <w:szCs w:val="32"/>
          <w:highlight w:val="none"/>
        </w:rPr>
        <w:t>其它</w:t>
      </w:r>
      <w:r>
        <w:rPr>
          <w:rFonts w:hint="eastAsia" w:ascii="Times New Roman" w:hAnsi="Times New Roman" w:eastAsia="方正仿宋_GBK" w:cs="方正仿宋_GBK"/>
          <w:sz w:val="32"/>
          <w:szCs w:val="32"/>
        </w:rPr>
        <w:t>项目也少有投入，使得农田基础设施薄弱，亟待改善。本次国土空间规划中，将该片区纳入城镇开发边界以外，因此该片区的农田基础设施建设被提上议事日程。</w:t>
      </w:r>
    </w:p>
    <w:p>
      <w:pPr>
        <w:pStyle w:val="5"/>
        <w:numPr>
          <w:ilvl w:val="0"/>
          <w:numId w:val="7"/>
        </w:numPr>
        <w:ind w:firstLine="640"/>
      </w:pPr>
      <w:r>
        <w:rPr>
          <w:rFonts w:hint="eastAsia"/>
        </w:rPr>
        <w:t>土壤酸化问题突出</w:t>
      </w:r>
    </w:p>
    <w:p>
      <w:pPr>
        <w:pStyle w:val="21"/>
        <w:widowControl/>
        <w:spacing w:beforeAutospacing="0" w:afterAutospacing="0" w:line="594" w:lineRule="exact"/>
        <w:ind w:firstLine="640"/>
        <w:rPr>
          <w:rFonts w:cs="方正仿宋_GBK"/>
          <w:kern w:val="2"/>
          <w:sz w:val="32"/>
        </w:rPr>
      </w:pPr>
      <w:r>
        <w:rPr>
          <w:rFonts w:hint="eastAsia" w:cs="方正仿宋_GBK"/>
          <w:kern w:val="2"/>
          <w:sz w:val="32"/>
        </w:rPr>
        <w:t>因多年的不合理耕种，使得土壤酸化逐渐加重，据统计，</w:t>
      </w:r>
      <w:r>
        <w:rPr>
          <w:rFonts w:hint="eastAsia" w:cs="方正仿宋_GBK"/>
          <w:sz w:val="32"/>
        </w:rPr>
        <w:t>全区</w:t>
      </w:r>
      <w:r>
        <w:rPr>
          <w:rFonts w:hint="eastAsia" w:cs="方正仿宋_GBK"/>
          <w:kern w:val="2"/>
          <w:sz w:val="32"/>
        </w:rPr>
        <w:t>微酸性及酸性土壤占75%以上。前期高标准农田建设项目未实施土壤培肥与改良、耕地质量监测等内容，建成后的高标准农田也未采取保护性耕作技术推广等措施，导致高标准农田产能难以充分发挥。</w:t>
      </w:r>
    </w:p>
    <w:p>
      <w:pPr>
        <w:pStyle w:val="5"/>
        <w:numPr>
          <w:ilvl w:val="0"/>
          <w:numId w:val="7"/>
        </w:numPr>
        <w:ind w:firstLine="640"/>
      </w:pPr>
      <w:r>
        <w:rPr>
          <w:rFonts w:hint="eastAsia"/>
        </w:rPr>
        <w:t>农田建设投入标准偏低</w:t>
      </w:r>
    </w:p>
    <w:p>
      <w:pPr>
        <w:spacing w:line="594" w:lineRule="exact"/>
        <w:ind w:firstLine="640"/>
        <w:rPr>
          <w:rFonts w:cs="方正仿宋_GBK"/>
        </w:rPr>
      </w:pPr>
      <w:r>
        <w:rPr>
          <w:rFonts w:hint="eastAsia" w:cs="方正仿宋_GBK"/>
        </w:rPr>
        <w:t>据典型调查，丘陵山区旱地亩均投资需3000元、水田需投资5000元才能建成真正的高标准农田。2020年以前，沙坪坝区高标准农田建设亩均投入最多达到1500元左右，因资金缺口较大，所建的高标准农田设施还不完善。同时，经过多年建设，地块比较平整、相对集中连片的区域已实施过项目建设，待建地块建设条件差、建设难度大、建设成本高，</w:t>
      </w:r>
      <w:r>
        <w:rPr>
          <w:rFonts w:hint="eastAsia" w:cs="方正仿宋_GBK"/>
          <w:highlight w:val="none"/>
        </w:rPr>
        <w:t>亟需提高</w:t>
      </w:r>
      <w:r>
        <w:rPr>
          <w:rFonts w:hint="eastAsia" w:cs="方正仿宋_GBK"/>
        </w:rPr>
        <w:t>建设投入标准。</w:t>
      </w:r>
    </w:p>
    <w:p>
      <w:pPr>
        <w:spacing w:line="594" w:lineRule="exact"/>
        <w:ind w:firstLine="640"/>
      </w:pPr>
      <w:r>
        <w:rPr>
          <w:rFonts w:hint="eastAsia" w:cs="方正仿宋_GBK"/>
        </w:rPr>
        <w:br w:type="page"/>
      </w:r>
    </w:p>
    <w:bookmarkEnd w:id="6"/>
    <w:bookmarkEnd w:id="7"/>
    <w:p>
      <w:pPr>
        <w:pStyle w:val="3"/>
        <w:numPr>
          <w:ilvl w:val="0"/>
          <w:numId w:val="2"/>
        </w:numPr>
        <w:spacing w:before="0" w:after="600"/>
        <w:rPr>
          <w:bCs w:val="0"/>
        </w:rPr>
      </w:pPr>
      <w:bookmarkStart w:id="9" w:name="_Toc3772"/>
      <w:r>
        <w:rPr>
          <w:rFonts w:hint="eastAsia"/>
          <w:bCs w:val="0"/>
        </w:rPr>
        <w:t>总体要求</w:t>
      </w:r>
      <w:bookmarkEnd w:id="9"/>
    </w:p>
    <w:p>
      <w:pPr>
        <w:pStyle w:val="4"/>
        <w:numPr>
          <w:ilvl w:val="0"/>
          <w:numId w:val="8"/>
        </w:numPr>
        <w:ind w:firstLineChars="0"/>
      </w:pPr>
      <w:bookmarkStart w:id="10" w:name="_Toc17202"/>
      <w:r>
        <w:rPr>
          <w:rFonts w:hint="eastAsia"/>
        </w:rPr>
        <w:t>指导思想</w:t>
      </w:r>
      <w:bookmarkEnd w:id="10"/>
    </w:p>
    <w:p>
      <w:pPr>
        <w:spacing w:line="580" w:lineRule="exact"/>
        <w:ind w:firstLine="640"/>
        <w:rPr>
          <w:rFonts w:ascii="方正仿宋_GBK" w:hAnsi="方正仿宋_GBK" w:cs="方正仿宋_GBK"/>
        </w:rPr>
      </w:pPr>
      <w:r>
        <w:rPr>
          <w:rFonts w:ascii="方正仿宋_GBK" w:hAnsi="方正仿宋_GBK" w:cs="方正仿宋_GBK"/>
        </w:rPr>
        <w:t>以习近平新时代中国特色社会主义思想为指导，深入贯彻党的十九大和十九届</w:t>
      </w:r>
      <w:r>
        <w:rPr>
          <w:rFonts w:hint="eastAsia" w:ascii="方正仿宋_GBK" w:hAnsi="方正仿宋_GBK" w:cs="方正仿宋_GBK"/>
        </w:rPr>
        <w:t>历次</w:t>
      </w:r>
      <w:r>
        <w:rPr>
          <w:rFonts w:ascii="方正仿宋_GBK" w:hAnsi="方正仿宋_GBK" w:cs="方正仿宋_GBK"/>
        </w:rPr>
        <w:t>全会精神，全面贯彻新发展理念，</w:t>
      </w:r>
      <w:r>
        <w:rPr>
          <w:rFonts w:hint="eastAsia" w:ascii="方正仿宋_GBK" w:hAnsi="方正仿宋_GBK" w:cs="方正仿宋_GBK"/>
        </w:rPr>
        <w:t>落实高质量发展要求，紧紧围绕沙坪坝区建设“科创智核、开放高地、文化名城、美丽都市”的战略目标，抢抓成渝地区双城经济圈建设、全市“一区两群”协调发展和西部（重庆）科学城建设的战略机遇，以</w:t>
      </w:r>
      <w:r>
        <w:rPr>
          <w:rFonts w:ascii="方正仿宋_GBK" w:hAnsi="方正仿宋_GBK" w:cs="方正仿宋_GBK"/>
        </w:rPr>
        <w:t>全面推进乡村振兴、加快农业农村现代化</w:t>
      </w:r>
      <w:r>
        <w:rPr>
          <w:rFonts w:hint="eastAsia" w:ascii="方正仿宋_GBK" w:hAnsi="方正仿宋_GBK" w:cs="方正仿宋_GBK"/>
        </w:rPr>
        <w:t>为总抓手，</w:t>
      </w:r>
      <w:r>
        <w:rPr>
          <w:rFonts w:ascii="方正仿宋_GBK" w:hAnsi="方正仿宋_GBK" w:cs="方正仿宋_GBK"/>
        </w:rPr>
        <w:t>深入实施藏粮于地、藏粮于技战略，</w:t>
      </w:r>
      <w:r>
        <w:rPr>
          <w:rFonts w:hint="eastAsia" w:ascii="方正仿宋_GBK" w:hAnsi="方正仿宋_GBK" w:cs="方正仿宋_GBK"/>
        </w:rPr>
        <w:t>优化高标准农田布局，以改造提升为重点，以“四改”为主线，坚持建设质量与数量并重、</w:t>
      </w:r>
      <w:r>
        <w:rPr>
          <w:rFonts w:ascii="方正仿宋_GBK" w:hAnsi="方正仿宋_GBK" w:cs="方正仿宋_GBK"/>
        </w:rPr>
        <w:t>工程建设和建后管护并重</w:t>
      </w:r>
      <w:r>
        <w:rPr>
          <w:rFonts w:hint="eastAsia" w:ascii="方正仿宋_GBK" w:hAnsi="方正仿宋_GBK" w:cs="方正仿宋_GBK"/>
        </w:rPr>
        <w:t>、</w:t>
      </w:r>
      <w:r>
        <w:rPr>
          <w:rFonts w:ascii="方正仿宋_GBK" w:hAnsi="方正仿宋_GBK" w:cs="方正仿宋_GBK"/>
        </w:rPr>
        <w:t>产能提升和绿色发展相协调，</w:t>
      </w:r>
      <w:r>
        <w:rPr>
          <w:rFonts w:hint="eastAsia" w:ascii="方正仿宋_GBK" w:hAnsi="方正仿宋_GBK" w:cs="方正仿宋_GBK"/>
        </w:rPr>
        <w:t>填平补齐农田基础设施短板，</w:t>
      </w:r>
      <w:r>
        <w:rPr>
          <w:rFonts w:ascii="方正仿宋_GBK" w:hAnsi="方正仿宋_GBK" w:cs="方正仿宋_GBK"/>
        </w:rPr>
        <w:t>提高水土资源利用效率，增强农田防灾抗灾减灾能力，为保障粮食安全和重要农产品有效供给提供坚实基础</w:t>
      </w:r>
      <w:r>
        <w:rPr>
          <w:rFonts w:hint="eastAsia" w:ascii="方正仿宋_GBK" w:hAnsi="方正仿宋_GBK" w:cs="方正仿宋_GBK"/>
        </w:rPr>
        <w:t>，同时为重庆市民休闲、观光、农事体验、农业科普教育搭建美丽诗画田园</w:t>
      </w:r>
      <w:r>
        <w:rPr>
          <w:rFonts w:ascii="方正仿宋_GBK" w:hAnsi="方正仿宋_GBK" w:cs="方正仿宋_GBK"/>
        </w:rPr>
        <w:t>。</w:t>
      </w:r>
    </w:p>
    <w:p>
      <w:pPr>
        <w:pStyle w:val="4"/>
        <w:numPr>
          <w:ilvl w:val="0"/>
          <w:numId w:val="8"/>
        </w:numPr>
        <w:ind w:firstLineChars="0"/>
      </w:pPr>
      <w:bookmarkStart w:id="11" w:name="_Toc19935"/>
      <w:r>
        <w:rPr>
          <w:rFonts w:hint="eastAsia"/>
        </w:rPr>
        <w:t>基本原则</w:t>
      </w:r>
      <w:bookmarkEnd w:id="11"/>
    </w:p>
    <w:p>
      <w:pPr>
        <w:pStyle w:val="5"/>
        <w:numPr>
          <w:ilvl w:val="0"/>
          <w:numId w:val="9"/>
        </w:numPr>
        <w:ind w:firstLine="640"/>
      </w:pPr>
      <w:r>
        <w:rPr>
          <w:rFonts w:hint="eastAsia"/>
        </w:rPr>
        <w:t>政府主导，社会参与</w:t>
      </w:r>
    </w:p>
    <w:p>
      <w:pPr>
        <w:spacing w:line="580" w:lineRule="exact"/>
        <w:ind w:firstLine="640"/>
        <w:rPr>
          <w:rFonts w:ascii="方正仿宋_GBK" w:hAnsi="方正仿宋_GBK" w:cs="方正仿宋_GBK"/>
        </w:rPr>
      </w:pPr>
      <w:r>
        <w:rPr>
          <w:rFonts w:hint="eastAsia" w:ascii="方正仿宋_GBK" w:hAnsi="方正仿宋_GBK" w:cs="方正仿宋_GBK"/>
        </w:rPr>
        <w:t>坚持以中央、市、区财政投资为主，新型农业经营主体、农村集体经济组织和各类社会力量参与投资高标准农田建设的原则。在充分尊重农民意愿、维护农民权益的基础上，规划布局高标准农田建设项目。</w:t>
      </w:r>
    </w:p>
    <w:p>
      <w:pPr>
        <w:pStyle w:val="5"/>
        <w:numPr>
          <w:ilvl w:val="0"/>
          <w:numId w:val="9"/>
        </w:numPr>
        <w:ind w:firstLine="640"/>
      </w:pPr>
      <w:r>
        <w:rPr>
          <w:rFonts w:hint="eastAsia"/>
        </w:rPr>
        <w:t>规划引领，突出重点</w:t>
      </w:r>
    </w:p>
    <w:p>
      <w:pPr>
        <w:spacing w:line="580" w:lineRule="exact"/>
        <w:ind w:firstLine="640"/>
        <w:rPr>
          <w:rFonts w:ascii="方正仿宋_GBK" w:hAnsi="方正仿宋_GBK" w:cs="方正仿宋_GBK"/>
        </w:rPr>
      </w:pPr>
      <w:r>
        <w:rPr>
          <w:rFonts w:hint="eastAsia" w:ascii="方正仿宋_GBK" w:hAnsi="方正仿宋_GBK" w:cs="方正仿宋_GBK"/>
        </w:rPr>
        <w:t>依据沙坪坝区国土空间规划、“十四五”农业农村现代化发展规划等相关规划，落实全市高标准农田建设规划，科学确定高标准农田建设布局，以永久基本农田为基础，围绕粮油、蔬菜产业发展，优先在海拔300米以上的“四山”管制区建设高标准农田。</w:t>
      </w:r>
    </w:p>
    <w:p>
      <w:pPr>
        <w:pStyle w:val="5"/>
        <w:numPr>
          <w:ilvl w:val="0"/>
          <w:numId w:val="9"/>
        </w:numPr>
        <w:ind w:firstLine="640"/>
      </w:pPr>
      <w:r>
        <w:rPr>
          <w:rFonts w:hint="eastAsia"/>
        </w:rPr>
        <w:t>因地制宜，综合治理</w:t>
      </w:r>
    </w:p>
    <w:p>
      <w:pPr>
        <w:pStyle w:val="13"/>
        <w:spacing w:line="580" w:lineRule="exact"/>
        <w:ind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根据地形地貌、农业生产特点及生产主要限制性因素，划分建设区域，确定分区建设重点和内容，统筹推进田、土、水、路、林、电、技、管综合治理，提升农田基础设施水平，满足都市现代农业发展需要。</w:t>
      </w:r>
    </w:p>
    <w:p>
      <w:pPr>
        <w:pStyle w:val="5"/>
        <w:numPr>
          <w:ilvl w:val="0"/>
          <w:numId w:val="9"/>
        </w:numPr>
        <w:ind w:firstLine="640"/>
      </w:pPr>
      <w:r>
        <w:rPr>
          <w:rFonts w:hint="eastAsia"/>
        </w:rPr>
        <w:t>绿色发展，生态优先</w:t>
      </w:r>
    </w:p>
    <w:p>
      <w:pPr>
        <w:spacing w:line="580" w:lineRule="exact"/>
        <w:ind w:firstLine="640"/>
        <w:rPr>
          <w:rFonts w:cs="方正仿宋_GBK"/>
        </w:rPr>
      </w:pPr>
      <w:r>
        <w:rPr>
          <w:rFonts w:hint="eastAsia" w:cs="方正仿宋_GBK"/>
        </w:rPr>
        <w:t>将绿色发展理念贯穿于高标准农田建设全过程，坚持高标准农田建设数量、质量、生态相结合，科学设计工程措施，创新施工工艺，强化耕地质量保护与提升，加强农田生态景观化建设和农田生态系统保育，建设绿色生态高标准农田，实现农业生产和生态保护相协调。</w:t>
      </w:r>
    </w:p>
    <w:p>
      <w:pPr>
        <w:pStyle w:val="5"/>
        <w:numPr>
          <w:ilvl w:val="0"/>
          <w:numId w:val="9"/>
        </w:numPr>
        <w:ind w:firstLine="640"/>
      </w:pPr>
      <w:r>
        <w:rPr>
          <w:rFonts w:hint="eastAsia"/>
        </w:rPr>
        <w:t>依法严管，良田粮用</w:t>
      </w:r>
    </w:p>
    <w:p>
      <w:pPr>
        <w:spacing w:line="580" w:lineRule="exact"/>
        <w:ind w:firstLine="640"/>
        <w:rPr>
          <w:rFonts w:cs="方正仿宋_GBK"/>
        </w:rPr>
      </w:pPr>
      <w:r>
        <w:rPr>
          <w:rFonts w:hint="eastAsia" w:cs="方正仿宋_GBK"/>
        </w:rPr>
        <w:t>强化耕地用途管制，高标准农田建设项目实行耕地“占补平衡”和“进出平衡”。竣工验收合格的高标准农田全面上图入库，原则上全部用于粮食生产，遏制耕地“非农化”、防止耕地“非粮化”。</w:t>
      </w:r>
    </w:p>
    <w:p>
      <w:pPr>
        <w:pStyle w:val="5"/>
        <w:numPr>
          <w:ilvl w:val="0"/>
          <w:numId w:val="9"/>
        </w:numPr>
        <w:ind w:firstLine="640"/>
      </w:pPr>
      <w:r>
        <w:rPr>
          <w:rFonts w:hint="eastAsia"/>
        </w:rPr>
        <w:t>建管并重，长效运行</w:t>
      </w:r>
    </w:p>
    <w:p>
      <w:pPr>
        <w:pStyle w:val="13"/>
        <w:spacing w:line="580" w:lineRule="exact"/>
        <w:ind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建立</w:t>
      </w:r>
      <w:r>
        <w:rPr>
          <w:rFonts w:ascii="Times New Roman" w:hAnsi="Times New Roman" w:eastAsia="方正仿宋_GBK" w:cs="方正仿宋_GBK"/>
          <w:sz w:val="32"/>
          <w:szCs w:val="32"/>
        </w:rPr>
        <w:t>“</w:t>
      </w:r>
      <w:r>
        <w:rPr>
          <w:rFonts w:hint="eastAsia" w:ascii="Times New Roman" w:hAnsi="Times New Roman" w:eastAsia="方正仿宋_GBK" w:cs="方正仿宋_GBK"/>
          <w:sz w:val="32"/>
          <w:szCs w:val="32"/>
        </w:rPr>
        <w:t>区县监督、镇街落实、村级管护”的管护机制，将高标准农田建设的各项工程设施设备全部纳入管护内容，强化及时、有序移交，落实管护责任，确保工程长期发挥效益。开展耕地质量长期跟踪监测，加强高标准农田利用评价，确保高标准农田有效利用。</w:t>
      </w:r>
    </w:p>
    <w:p>
      <w:pPr>
        <w:pStyle w:val="4"/>
        <w:numPr>
          <w:ilvl w:val="0"/>
          <w:numId w:val="8"/>
        </w:numPr>
        <w:ind w:firstLineChars="0"/>
      </w:pPr>
      <w:bookmarkStart w:id="12" w:name="_Toc1369"/>
      <w:r>
        <w:rPr>
          <w:rFonts w:hint="eastAsia"/>
        </w:rPr>
        <w:t>建设目标</w:t>
      </w:r>
      <w:bookmarkEnd w:id="12"/>
    </w:p>
    <w:p>
      <w:pPr>
        <w:spacing w:line="594" w:lineRule="exact"/>
        <w:ind w:firstLine="640"/>
        <w:rPr>
          <w:rFonts w:cs="Times New Roman"/>
        </w:rPr>
      </w:pPr>
      <w:r>
        <w:rPr>
          <w:rFonts w:hint="eastAsia" w:cs="方正仿宋_GBK"/>
        </w:rPr>
        <w:t>按照《重庆市高标准农田建设规划（2021—2030年）》明确的规划期建设任务，结合本区高标准农田潜力，确定沙坪坝区规划期高标准农田建设任务为：</w:t>
      </w:r>
      <w:r>
        <w:rPr>
          <w:rFonts w:hint="eastAsia" w:cs="Times New Roman"/>
        </w:rPr>
        <w:t>到2025年累计建成4.50万亩，累计改造提升0.60万亩；到2030年累计建成4.50万亩，力争达到5万亩，累计改造提升1.50万亩。</w:t>
      </w:r>
    </w:p>
    <w:p>
      <w:pPr>
        <w:pStyle w:val="13"/>
        <w:ind w:firstLine="640"/>
        <w:rPr>
          <w:rFonts w:ascii="Times New Roman" w:hAnsi="Times New Roman" w:eastAsia="方正仿宋_GBK" w:cs="Times New Roman"/>
          <w:sz w:val="32"/>
          <w:szCs w:val="32"/>
        </w:rPr>
      </w:pPr>
      <w:r>
        <w:rPr>
          <w:rFonts w:ascii="Times New Roman" w:hAnsi="Times New Roman" w:eastAsia="方正仿宋_GBK" w:cs="方正仿宋_GBK"/>
          <w:sz w:val="32"/>
          <w:szCs w:val="32"/>
        </w:rPr>
        <mc:AlternateContent>
          <mc:Choice Requires="wps">
            <w:drawing>
              <wp:anchor distT="0" distB="0" distL="114300" distR="114300" simplePos="0" relativeHeight="251659264" behindDoc="0" locked="0" layoutInCell="1" allowOverlap="1">
                <wp:simplePos x="0" y="0"/>
                <wp:positionH relativeFrom="column">
                  <wp:posOffset>334010</wp:posOffset>
                </wp:positionH>
                <wp:positionV relativeFrom="paragraph">
                  <wp:posOffset>38100</wp:posOffset>
                </wp:positionV>
                <wp:extent cx="4488815" cy="321310"/>
                <wp:effectExtent l="0" t="0" r="6985" b="2540"/>
                <wp:wrapNone/>
                <wp:docPr id="13" name="文本框 6"/>
                <wp:cNvGraphicFramePr/>
                <a:graphic xmlns:a="http://schemas.openxmlformats.org/drawingml/2006/main">
                  <a:graphicData uri="http://schemas.microsoft.com/office/word/2010/wordprocessingShape">
                    <wps:wsp>
                      <wps:cNvSpPr txBox="1"/>
                      <wps:spPr>
                        <a:xfrm>
                          <a:off x="0" y="0"/>
                          <a:ext cx="4488815" cy="321310"/>
                        </a:xfrm>
                        <a:prstGeom prst="rect">
                          <a:avLst/>
                        </a:prstGeom>
                        <a:solidFill>
                          <a:srgbClr val="FFFFFF"/>
                        </a:solidFill>
                        <a:ln w="6350">
                          <a:noFill/>
                        </a:ln>
                        <a:effectLst/>
                      </wps:spPr>
                      <wps:txbx>
                        <w:txbxContent>
                          <w:p>
                            <w:pPr>
                              <w:pStyle w:val="130"/>
                              <w:adjustRightInd w:val="0"/>
                              <w:snapToGrid w:val="0"/>
                              <w:spacing w:line="240" w:lineRule="auto"/>
                              <w:ind w:firstLine="0" w:firstLineChars="0"/>
                              <w:jc w:val="center"/>
                              <w:outlineLvl w:val="1"/>
                              <w:rPr>
                                <w:rFonts w:ascii="黑体" w:hAnsi="黑体" w:eastAsia="黑体" w:cs="黑体"/>
                                <w:spacing w:val="-9"/>
                              </w:rPr>
                            </w:pPr>
                            <w:r>
                              <w:rPr>
                                <w:rFonts w:hint="eastAsia" w:ascii="方正仿宋_GBK" w:hAnsi="方正仿宋_GBK" w:cs="方正仿宋_GBK"/>
                                <w:b/>
                                <w:sz w:val="24"/>
                                <w:szCs w:val="24"/>
                              </w:rPr>
                              <w:t>表2-1  沙坪坝区2021－2030年高标准农田建设控制指标表</w:t>
                            </w:r>
                          </w:p>
                          <w:p>
                            <w:pPr>
                              <w:ind w:firstLine="64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26.3pt;margin-top:3pt;height:25.3pt;width:353.45pt;z-index:251659264;mso-width-relative:page;mso-height-relative:page;" fillcolor="#FFFFFF" filled="t" stroked="f" coordsize="21600,21600" o:gfxdata="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a0N6tMAAAAHAQAADwAAAAAAAAABACAAAAAiAAAAZHJzL2Rvd25y&#10;ZXYueG1sUEsBAhQAFAAAAAgAh07iQD8XneQ8AgAAUAQAAA4AAAAAAAAAAQAgAAAAIgEAAGRycy9l&#10;Mm9Eb2MueG1sUEsFBgAAAAAGAAYAWQEAANAFAAAAAA==&#10;">
                <v:fill on="t" focussize="0,0"/>
                <v:stroke on="f" weight="0.5pt"/>
                <v:imagedata o:title=""/>
                <o:lock v:ext="edit" aspectratio="f"/>
                <v:textbox>
                  <w:txbxContent>
                    <w:p>
                      <w:pPr>
                        <w:pStyle w:val="130"/>
                        <w:adjustRightInd w:val="0"/>
                        <w:snapToGrid w:val="0"/>
                        <w:spacing w:line="240" w:lineRule="auto"/>
                        <w:ind w:firstLine="0" w:firstLineChars="0"/>
                        <w:jc w:val="center"/>
                        <w:outlineLvl w:val="1"/>
                        <w:rPr>
                          <w:rFonts w:ascii="黑体" w:hAnsi="黑体" w:eastAsia="黑体" w:cs="黑体"/>
                          <w:spacing w:val="-9"/>
                        </w:rPr>
                      </w:pPr>
                      <w:r>
                        <w:rPr>
                          <w:rFonts w:hint="eastAsia" w:ascii="方正仿宋_GBK" w:hAnsi="方正仿宋_GBK" w:cs="方正仿宋_GBK"/>
                          <w:b/>
                          <w:sz w:val="24"/>
                          <w:szCs w:val="24"/>
                        </w:rPr>
                        <w:t>表2-1  沙坪坝区2021－2030年高标准农田建设控制指标表</w:t>
                      </w:r>
                    </w:p>
                    <w:p>
                      <w:pPr>
                        <w:ind w:firstLine="640"/>
                      </w:pPr>
                    </w:p>
                  </w:txbxContent>
                </v:textbox>
              </v:shape>
            </w:pict>
          </mc:Fallback>
        </mc:AlternateContent>
      </w:r>
    </w:p>
    <w:tbl>
      <w:tblPr>
        <w:tblStyle w:val="28"/>
        <w:tblW w:w="88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0"/>
        <w:gridCol w:w="1581"/>
        <w:gridCol w:w="5255"/>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Align w:val="center"/>
          </w:tcPr>
          <w:p>
            <w:pPr>
              <w:pStyle w:val="142"/>
              <w:adjustRightInd w:val="0"/>
              <w:snapToGrid w:val="0"/>
              <w:spacing w:before="0" w:line="240" w:lineRule="auto"/>
              <w:ind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序号</w:t>
            </w:r>
          </w:p>
        </w:tc>
        <w:tc>
          <w:tcPr>
            <w:tcW w:w="1581" w:type="dxa"/>
            <w:vAlign w:val="center"/>
          </w:tcPr>
          <w:p>
            <w:pPr>
              <w:pStyle w:val="142"/>
              <w:adjustRightInd w:val="0"/>
              <w:snapToGrid w:val="0"/>
              <w:spacing w:before="0" w:line="240" w:lineRule="auto"/>
              <w:ind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指标</w:t>
            </w:r>
          </w:p>
        </w:tc>
        <w:tc>
          <w:tcPr>
            <w:tcW w:w="5255" w:type="dxa"/>
            <w:vAlign w:val="center"/>
          </w:tcPr>
          <w:p>
            <w:pPr>
              <w:pStyle w:val="142"/>
              <w:adjustRightInd w:val="0"/>
              <w:snapToGrid w:val="0"/>
              <w:spacing w:before="0" w:line="240" w:lineRule="auto"/>
              <w:ind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目标值</w:t>
            </w:r>
          </w:p>
        </w:tc>
        <w:tc>
          <w:tcPr>
            <w:tcW w:w="1092" w:type="dxa"/>
            <w:vAlign w:val="center"/>
          </w:tcPr>
          <w:p>
            <w:pPr>
              <w:pStyle w:val="142"/>
              <w:adjustRightInd w:val="0"/>
              <w:snapToGrid w:val="0"/>
              <w:spacing w:before="0" w:line="240" w:lineRule="auto"/>
              <w:ind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Merge w:val="restart"/>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1</w:t>
            </w:r>
          </w:p>
        </w:tc>
        <w:tc>
          <w:tcPr>
            <w:tcW w:w="1581" w:type="dxa"/>
            <w:vMerge w:val="restart"/>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ascii="方正仿宋_GBK" w:hAnsi="方正仿宋_GBK" w:cs="方正仿宋_GBK"/>
                <w:kern w:val="0"/>
                <w:sz w:val="24"/>
                <w:szCs w:val="24"/>
              </w:rPr>
              <w:t>高标准农田建设</w:t>
            </w: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到2025年累计建成高标准农田4.50万亩</w:t>
            </w:r>
          </w:p>
        </w:tc>
        <w:tc>
          <w:tcPr>
            <w:tcW w:w="1092" w:type="dxa"/>
            <w:vMerge w:val="restart"/>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到2025年累计改造提升高标准农田0.60万亩</w:t>
            </w:r>
          </w:p>
        </w:tc>
        <w:tc>
          <w:tcPr>
            <w:tcW w:w="1092"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到2030年累计建成高标准农田4.50万亩</w:t>
            </w:r>
          </w:p>
        </w:tc>
        <w:tc>
          <w:tcPr>
            <w:tcW w:w="1092"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到 2030年累计改造提升高标准农田 1.50万亩</w:t>
            </w:r>
          </w:p>
        </w:tc>
        <w:tc>
          <w:tcPr>
            <w:tcW w:w="1092"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到2025年力争累计建成高标准农田4.</w:t>
            </w:r>
            <w:r>
              <w:rPr>
                <w:rFonts w:hint="eastAsia" w:cs="Times New Roman"/>
                <w:bCs/>
                <w:color w:val="000000"/>
                <w:kern w:val="0"/>
                <w:sz w:val="24"/>
                <w:szCs w:val="24"/>
                <w:lang w:val="en-US" w:eastAsia="zh-CN"/>
              </w:rPr>
              <w:t>8</w:t>
            </w:r>
            <w:r>
              <w:rPr>
                <w:rFonts w:hint="eastAsia" w:cs="Times New Roman"/>
                <w:bCs/>
                <w:color w:val="000000"/>
                <w:kern w:val="0"/>
                <w:sz w:val="24"/>
                <w:szCs w:val="24"/>
              </w:rPr>
              <w:t>7万亩</w:t>
            </w:r>
          </w:p>
        </w:tc>
        <w:tc>
          <w:tcPr>
            <w:tcW w:w="1092" w:type="dxa"/>
            <w:vMerge w:val="restart"/>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到2025年力争累计改造提升高标准农田0.</w:t>
            </w:r>
            <w:r>
              <w:rPr>
                <w:rFonts w:hint="eastAsia" w:cs="Times New Roman"/>
                <w:bCs/>
                <w:color w:val="000000"/>
                <w:kern w:val="0"/>
                <w:sz w:val="24"/>
                <w:szCs w:val="24"/>
                <w:lang w:val="en-US" w:eastAsia="zh-CN"/>
              </w:rPr>
              <w:t>9</w:t>
            </w:r>
            <w:r>
              <w:rPr>
                <w:rFonts w:hint="eastAsia" w:cs="Times New Roman"/>
                <w:bCs/>
                <w:color w:val="000000"/>
                <w:kern w:val="0"/>
                <w:sz w:val="24"/>
                <w:szCs w:val="24"/>
              </w:rPr>
              <w:t>0万亩</w:t>
            </w:r>
          </w:p>
        </w:tc>
        <w:tc>
          <w:tcPr>
            <w:tcW w:w="1092"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到2030年力争累计建成高标准农田5</w:t>
            </w:r>
            <w:r>
              <w:rPr>
                <w:rFonts w:hint="eastAsia" w:cs="Times New Roman"/>
                <w:bCs/>
                <w:color w:val="000000"/>
                <w:kern w:val="0"/>
                <w:sz w:val="24"/>
                <w:szCs w:val="24"/>
                <w:lang w:val="en-US" w:eastAsia="zh-CN"/>
              </w:rPr>
              <w:t>.1</w:t>
            </w:r>
            <w:r>
              <w:rPr>
                <w:rFonts w:hint="eastAsia" w:cs="Times New Roman"/>
                <w:bCs/>
                <w:color w:val="000000"/>
                <w:kern w:val="0"/>
                <w:sz w:val="24"/>
                <w:szCs w:val="24"/>
              </w:rPr>
              <w:t>万亩</w:t>
            </w:r>
          </w:p>
        </w:tc>
        <w:tc>
          <w:tcPr>
            <w:tcW w:w="1092"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hint="eastAsia" w:cs="Times New Roman"/>
                <w:bCs/>
                <w:color w:val="000000"/>
                <w:kern w:val="0"/>
                <w:sz w:val="24"/>
                <w:szCs w:val="24"/>
              </w:rPr>
            </w:pPr>
            <w:r>
              <w:rPr>
                <w:rFonts w:hint="eastAsia" w:cs="Times New Roman"/>
                <w:bCs/>
                <w:color w:val="000000"/>
                <w:kern w:val="0"/>
                <w:sz w:val="24"/>
                <w:szCs w:val="24"/>
              </w:rPr>
              <w:t>到 2030年力争累计改造提升高标准农田 1.</w:t>
            </w:r>
            <w:r>
              <w:rPr>
                <w:rFonts w:hint="eastAsia" w:cs="Times New Roman"/>
                <w:bCs/>
                <w:color w:val="000000"/>
                <w:kern w:val="0"/>
                <w:sz w:val="24"/>
                <w:szCs w:val="24"/>
                <w:lang w:val="en-US" w:eastAsia="zh-CN"/>
              </w:rPr>
              <w:t>6</w:t>
            </w:r>
            <w:r>
              <w:rPr>
                <w:rFonts w:hint="eastAsia" w:cs="Times New Roman"/>
                <w:bCs/>
                <w:color w:val="000000"/>
                <w:kern w:val="0"/>
                <w:sz w:val="24"/>
                <w:szCs w:val="24"/>
              </w:rPr>
              <w:t>万亩</w:t>
            </w:r>
          </w:p>
        </w:tc>
        <w:tc>
          <w:tcPr>
            <w:tcW w:w="1092"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4" w:hRule="atLeast"/>
          <w:jc w:val="center"/>
        </w:trPr>
        <w:tc>
          <w:tcPr>
            <w:tcW w:w="890" w:type="dxa"/>
            <w:vMerge w:val="restart"/>
            <w:vAlign w:val="center"/>
          </w:tcPr>
          <w:p>
            <w:pPr>
              <w:pStyle w:val="142"/>
              <w:snapToGrid w:val="0"/>
              <w:spacing w:before="0" w:line="240" w:lineRule="auto"/>
              <w:ind w:right="17"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2</w:t>
            </w:r>
          </w:p>
        </w:tc>
        <w:tc>
          <w:tcPr>
            <w:tcW w:w="1581" w:type="dxa"/>
            <w:vMerge w:val="restart"/>
            <w:vAlign w:val="center"/>
          </w:tcPr>
          <w:p>
            <w:pPr>
              <w:pStyle w:val="142"/>
              <w:snapToGrid w:val="0"/>
              <w:spacing w:before="0" w:line="240" w:lineRule="auto"/>
              <w:ind w:right="96"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新增粮食综合生产能力</w:t>
            </w:r>
          </w:p>
        </w:tc>
        <w:tc>
          <w:tcPr>
            <w:tcW w:w="5255" w:type="dxa"/>
            <w:vAlign w:val="center"/>
          </w:tcPr>
          <w:p>
            <w:pPr>
              <w:pStyle w:val="142"/>
              <w:snapToGrid w:val="0"/>
              <w:spacing w:before="0" w:line="240" w:lineRule="auto"/>
              <w:ind w:left="104"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新增高标准农田亩均产能提高100公斤左右</w:t>
            </w:r>
          </w:p>
        </w:tc>
        <w:tc>
          <w:tcPr>
            <w:tcW w:w="1092" w:type="dxa"/>
            <w:vMerge w:val="restart"/>
            <w:vAlign w:val="center"/>
          </w:tcPr>
          <w:p>
            <w:pPr>
              <w:pStyle w:val="142"/>
              <w:snapToGrid w:val="0"/>
              <w:spacing w:before="0" w:line="240" w:lineRule="auto"/>
              <w:ind w:right="0" w:firstLine="0" w:firstLineChars="0"/>
              <w:rPr>
                <w:rFonts w:ascii="Times New Roman" w:hAnsi="Times New Roman" w:eastAsia="方正仿宋_GBK" w:cs="Times New Roman"/>
                <w:bCs/>
                <w:color w:val="000000"/>
                <w:kern w:val="0"/>
                <w:sz w:val="24"/>
                <w:szCs w:val="24"/>
                <w:lang w:val="en-US"/>
              </w:rPr>
            </w:pPr>
          </w:p>
          <w:p>
            <w:pPr>
              <w:pStyle w:val="142"/>
              <w:snapToGrid w:val="0"/>
              <w:spacing w:before="0" w:line="240" w:lineRule="auto"/>
              <w:ind w:left="128"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3" w:hRule="atLeast"/>
          <w:jc w:val="center"/>
        </w:trPr>
        <w:tc>
          <w:tcPr>
            <w:tcW w:w="890"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1581"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c>
          <w:tcPr>
            <w:tcW w:w="5255" w:type="dxa"/>
            <w:vAlign w:val="center"/>
          </w:tcPr>
          <w:p>
            <w:pPr>
              <w:widowControl/>
              <w:snapToGrid w:val="0"/>
              <w:spacing w:line="240" w:lineRule="auto"/>
              <w:ind w:firstLine="0" w:firstLineChars="0"/>
              <w:jc w:val="center"/>
              <w:textAlignment w:val="center"/>
              <w:rPr>
                <w:rFonts w:cs="Times New Roman"/>
                <w:bCs/>
                <w:color w:val="000000"/>
                <w:kern w:val="0"/>
                <w:sz w:val="24"/>
                <w:szCs w:val="24"/>
              </w:rPr>
            </w:pPr>
            <w:r>
              <w:rPr>
                <w:rFonts w:hint="eastAsia" w:cs="Times New Roman"/>
                <w:bCs/>
                <w:color w:val="000000"/>
                <w:kern w:val="0"/>
                <w:sz w:val="24"/>
                <w:szCs w:val="24"/>
              </w:rPr>
              <w:t>改造提升高标准农田产能不低于当地高标准农田产能的平均水平</w:t>
            </w:r>
          </w:p>
        </w:tc>
        <w:tc>
          <w:tcPr>
            <w:tcW w:w="1092" w:type="dxa"/>
            <w:vMerge w:val="continue"/>
            <w:vAlign w:val="center"/>
          </w:tcPr>
          <w:p>
            <w:pPr>
              <w:widowControl/>
              <w:snapToGrid w:val="0"/>
              <w:spacing w:line="240" w:lineRule="auto"/>
              <w:ind w:firstLine="0" w:firstLineChars="0"/>
              <w:jc w:val="center"/>
              <w:textAlignment w:val="center"/>
              <w:rPr>
                <w:rFonts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23" w:hRule="atLeast"/>
          <w:jc w:val="center"/>
        </w:trPr>
        <w:tc>
          <w:tcPr>
            <w:tcW w:w="890" w:type="dxa"/>
            <w:vAlign w:val="center"/>
          </w:tcPr>
          <w:p>
            <w:pPr>
              <w:pStyle w:val="142"/>
              <w:snapToGrid w:val="0"/>
              <w:spacing w:before="0" w:line="240" w:lineRule="auto"/>
              <w:ind w:right="17"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3</w:t>
            </w:r>
          </w:p>
        </w:tc>
        <w:tc>
          <w:tcPr>
            <w:tcW w:w="1581" w:type="dxa"/>
            <w:vAlign w:val="center"/>
          </w:tcPr>
          <w:p>
            <w:pPr>
              <w:pStyle w:val="142"/>
              <w:snapToGrid w:val="0"/>
              <w:spacing w:before="0" w:line="240" w:lineRule="auto"/>
              <w:ind w:left="104" w:right="96"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建成高标准农田上图入库覆盖率</w:t>
            </w:r>
          </w:p>
        </w:tc>
        <w:tc>
          <w:tcPr>
            <w:tcW w:w="5255" w:type="dxa"/>
            <w:vAlign w:val="center"/>
          </w:tcPr>
          <w:p>
            <w:pPr>
              <w:pStyle w:val="142"/>
              <w:snapToGrid w:val="0"/>
              <w:spacing w:before="0" w:line="240" w:lineRule="auto"/>
              <w:ind w:left="91"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100%</w:t>
            </w:r>
          </w:p>
        </w:tc>
        <w:tc>
          <w:tcPr>
            <w:tcW w:w="1092" w:type="dxa"/>
            <w:vAlign w:val="center"/>
          </w:tcPr>
          <w:p>
            <w:pPr>
              <w:pStyle w:val="142"/>
              <w:snapToGrid w:val="0"/>
              <w:spacing w:before="0" w:line="240" w:lineRule="auto"/>
              <w:ind w:left="104" w:right="98"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23" w:hRule="atLeast"/>
          <w:jc w:val="center"/>
        </w:trPr>
        <w:tc>
          <w:tcPr>
            <w:tcW w:w="890" w:type="dxa"/>
            <w:vAlign w:val="center"/>
          </w:tcPr>
          <w:p>
            <w:pPr>
              <w:pStyle w:val="142"/>
              <w:snapToGrid w:val="0"/>
              <w:spacing w:before="0" w:line="240" w:lineRule="auto"/>
              <w:ind w:right="17"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4</w:t>
            </w:r>
          </w:p>
        </w:tc>
        <w:tc>
          <w:tcPr>
            <w:tcW w:w="1581" w:type="dxa"/>
            <w:vAlign w:val="center"/>
          </w:tcPr>
          <w:p>
            <w:pPr>
              <w:pStyle w:val="142"/>
              <w:snapToGrid w:val="0"/>
              <w:spacing w:before="0" w:line="240" w:lineRule="auto"/>
              <w:ind w:left="104" w:right="96"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新增耕地</w:t>
            </w:r>
          </w:p>
        </w:tc>
        <w:tc>
          <w:tcPr>
            <w:tcW w:w="5255" w:type="dxa"/>
            <w:vAlign w:val="center"/>
          </w:tcPr>
          <w:p>
            <w:pPr>
              <w:pStyle w:val="142"/>
              <w:snapToGrid w:val="0"/>
              <w:spacing w:before="0" w:line="240" w:lineRule="auto"/>
              <w:ind w:left="91" w:right="0"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eastAsia="zh-CN"/>
              </w:rPr>
              <w:t>15</w:t>
            </w:r>
            <w:r>
              <w:rPr>
                <w:rFonts w:hint="eastAsia" w:ascii="Times New Roman" w:hAnsi="Times New Roman" w:eastAsia="方正仿宋_GBK" w:cs="Times New Roman"/>
                <w:bCs/>
                <w:color w:val="000000"/>
                <w:kern w:val="0"/>
                <w:sz w:val="24"/>
                <w:szCs w:val="24"/>
                <w:lang w:val="en-US"/>
              </w:rPr>
              <w:t>0亩</w:t>
            </w:r>
          </w:p>
        </w:tc>
        <w:tc>
          <w:tcPr>
            <w:tcW w:w="1092" w:type="dxa"/>
            <w:vAlign w:val="center"/>
          </w:tcPr>
          <w:p>
            <w:pPr>
              <w:pStyle w:val="142"/>
              <w:snapToGrid w:val="0"/>
              <w:spacing w:before="0" w:line="240" w:lineRule="auto"/>
              <w:ind w:left="104" w:right="98" w:firstLine="0" w:firstLineChars="0"/>
              <w:rPr>
                <w:rFonts w:ascii="Times New Roman" w:hAnsi="Times New Roman" w:eastAsia="方正仿宋_GBK" w:cs="Times New Roman"/>
                <w:bCs/>
                <w:color w:val="000000"/>
                <w:kern w:val="0"/>
                <w:sz w:val="24"/>
                <w:szCs w:val="24"/>
                <w:lang w:val="en-US"/>
              </w:rPr>
            </w:pPr>
            <w:r>
              <w:rPr>
                <w:rFonts w:hint="eastAsia" w:ascii="Times New Roman" w:hAnsi="Times New Roman" w:eastAsia="方正仿宋_GBK" w:cs="Times New Roman"/>
                <w:bCs/>
                <w:color w:val="000000"/>
                <w:kern w:val="0"/>
                <w:sz w:val="24"/>
                <w:szCs w:val="24"/>
                <w:lang w:val="en-US"/>
              </w:rPr>
              <w:t>预期性</w:t>
            </w:r>
          </w:p>
        </w:tc>
      </w:tr>
    </w:tbl>
    <w:p>
      <w:pPr>
        <w:pStyle w:val="13"/>
        <w:spacing w:line="594"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要达到上述建设目标，2021—2025年需新建高标准农田0.61万亩，力争新建0.</w:t>
      </w:r>
      <w:r>
        <w:rPr>
          <w:rFonts w:hint="eastAsia" w:ascii="Times New Roman" w:hAnsi="Times New Roman" w:eastAsia="方正仿宋_GBK" w:cs="Times New Roman"/>
          <w:sz w:val="32"/>
          <w:szCs w:val="32"/>
          <w:lang w:val="en-US" w:eastAsia="zh-CN"/>
        </w:rPr>
        <w:t>98</w:t>
      </w:r>
      <w:r>
        <w:rPr>
          <w:rFonts w:hint="eastAsia" w:ascii="Times New Roman" w:hAnsi="Times New Roman" w:eastAsia="方正仿宋_GBK" w:cs="Times New Roman"/>
          <w:sz w:val="32"/>
          <w:szCs w:val="32"/>
        </w:rPr>
        <w:t>万亩，需改造提升0.60万亩，力争改造提升0.</w:t>
      </w:r>
      <w:r>
        <w:rPr>
          <w:rFonts w:hint="eastAsia" w:ascii="Times New Roman" w:hAnsi="Times New Roman" w:eastAsia="方正仿宋_GBK" w:cs="Times New Roman"/>
          <w:sz w:val="32"/>
          <w:szCs w:val="32"/>
          <w:lang w:val="en-US" w:eastAsia="zh-CN"/>
        </w:rPr>
        <w:t>9</w:t>
      </w:r>
      <w:r>
        <w:rPr>
          <w:rFonts w:hint="eastAsia" w:ascii="Times New Roman" w:hAnsi="Times New Roman" w:eastAsia="方正仿宋_GBK" w:cs="Times New Roman"/>
          <w:sz w:val="32"/>
          <w:szCs w:val="32"/>
        </w:rPr>
        <w:t>0万亩；2026—2030年力争新建0.</w:t>
      </w:r>
      <w:r>
        <w:rPr>
          <w:rFonts w:hint="eastAsia" w:ascii="Times New Roman" w:hAnsi="Times New Roman" w:eastAsia="方正仿宋_GBK" w:cs="Times New Roman"/>
          <w:sz w:val="32"/>
          <w:szCs w:val="32"/>
          <w:lang w:val="en-US" w:eastAsia="zh-CN"/>
        </w:rPr>
        <w:t>27</w:t>
      </w:r>
      <w:r>
        <w:rPr>
          <w:rFonts w:hint="eastAsia" w:ascii="Times New Roman" w:hAnsi="Times New Roman" w:eastAsia="方正仿宋_GBK" w:cs="Times New Roman"/>
          <w:sz w:val="32"/>
          <w:szCs w:val="32"/>
        </w:rPr>
        <w:t>万亩，需改造提升0.</w:t>
      </w:r>
      <w:r>
        <w:rPr>
          <w:rFonts w:hint="eastAsia" w:ascii="Times New Roman" w:hAnsi="Times New Roman" w:eastAsia="方正仿宋_GBK" w:cs="Times New Roman"/>
          <w:sz w:val="32"/>
          <w:szCs w:val="32"/>
          <w:lang w:val="en-US" w:eastAsia="zh-CN"/>
        </w:rPr>
        <w:t>73</w:t>
      </w:r>
      <w:r>
        <w:rPr>
          <w:rFonts w:hint="eastAsia" w:ascii="Times New Roman" w:hAnsi="Times New Roman" w:eastAsia="方正仿宋_GBK" w:cs="Times New Roman"/>
          <w:sz w:val="32"/>
          <w:szCs w:val="32"/>
        </w:rPr>
        <w:t>万亩。</w:t>
      </w:r>
    </w:p>
    <w:p>
      <w:pPr>
        <w:adjustRightInd w:val="0"/>
        <w:snapToGrid w:val="0"/>
        <w:spacing w:line="594" w:lineRule="exact"/>
        <w:ind w:firstLine="640"/>
      </w:pPr>
      <w:r>
        <w:rPr>
          <w:rFonts w:hint="eastAsia" w:cs="方正仿宋_GBK"/>
        </w:rPr>
        <w:t>到2035年，</w:t>
      </w:r>
      <w:r>
        <w:rPr>
          <w:rFonts w:cs="Times New Roman"/>
        </w:rPr>
        <w:t>通过持续改造提升，全区高标准农田保有量和质量进一步提高，绿色农田、数字农田建设取得成效，支撑粮食生产和重要农产品供给能力进一步提升，形成更高层次、更有效率、更可持续的粮食安全保障基础</w:t>
      </w:r>
      <w:r>
        <w:rPr>
          <w:rFonts w:hint="eastAsia" w:cs="方正仿宋_GBK"/>
        </w:rPr>
        <w:t>。</w:t>
      </w:r>
    </w:p>
    <w:p>
      <w:pPr>
        <w:pStyle w:val="4"/>
        <w:numPr>
          <w:ilvl w:val="0"/>
          <w:numId w:val="8"/>
        </w:numPr>
        <w:ind w:firstLineChars="0"/>
      </w:pPr>
      <w:bookmarkStart w:id="13" w:name="_Toc10588"/>
      <w:r>
        <w:rPr>
          <w:rFonts w:hint="eastAsia"/>
        </w:rPr>
        <w:t>建设时序</w:t>
      </w:r>
      <w:bookmarkEnd w:id="13"/>
    </w:p>
    <w:p>
      <w:pPr>
        <w:spacing w:line="594" w:lineRule="exact"/>
        <w:ind w:firstLine="640"/>
        <w:rPr>
          <w:rFonts w:cs="Times New Roman"/>
        </w:rPr>
      </w:pPr>
      <w:r>
        <w:rPr>
          <w:rFonts w:hint="eastAsia" w:cs="Times New Roman"/>
        </w:rPr>
        <w:t>根据沙坪坝区乡村振兴产业发展和人居环境整治需求，确定规划期高标准农田总体建设时序为：</w:t>
      </w:r>
    </w:p>
    <w:p>
      <w:pPr>
        <w:spacing w:line="594" w:lineRule="exact"/>
        <w:ind w:firstLine="640"/>
        <w:rPr>
          <w:rFonts w:cs="方正仿宋_GBK"/>
        </w:rPr>
      </w:pPr>
      <w:r>
        <w:rPr>
          <w:rFonts w:hint="eastAsia" w:cs="Times New Roman"/>
        </w:rPr>
        <w:t>2021—2022年，主要在中梁镇、歌乐山镇、凤凰镇</w:t>
      </w:r>
      <w:r>
        <w:rPr>
          <w:rFonts w:hint="eastAsia" w:cs="Times New Roman"/>
          <w:lang w:eastAsia="zh-CN"/>
        </w:rPr>
        <w:t>、</w:t>
      </w:r>
      <w:r>
        <w:rPr>
          <w:rFonts w:hint="eastAsia" w:cs="Times New Roman"/>
          <w:lang w:val="en-US" w:eastAsia="zh-CN"/>
        </w:rPr>
        <w:t>回龙坝镇</w:t>
      </w:r>
      <w:r>
        <w:rPr>
          <w:rFonts w:hint="eastAsia" w:cs="Times New Roman"/>
        </w:rPr>
        <w:t>新建高标准农田6800亩，为建设诗画田园打下坚实基础，目前项目正在实施中；在中梁镇、</w:t>
      </w:r>
      <w:r>
        <w:rPr>
          <w:rFonts w:hint="eastAsia" w:cs="Times New Roman"/>
          <w:lang w:val="en-US" w:eastAsia="zh-CN"/>
        </w:rPr>
        <w:t>回龙坝镇改造提升</w:t>
      </w:r>
      <w:r>
        <w:rPr>
          <w:rFonts w:hint="eastAsia" w:cs="Times New Roman"/>
        </w:rPr>
        <w:t>高标准农田</w:t>
      </w:r>
      <w:r>
        <w:rPr>
          <w:rFonts w:hint="eastAsia" w:cs="Times New Roman"/>
          <w:lang w:val="en-US" w:eastAsia="zh-CN"/>
        </w:rPr>
        <w:t>40</w:t>
      </w:r>
      <w:r>
        <w:rPr>
          <w:rFonts w:hint="eastAsia" w:cs="Times New Roman"/>
        </w:rPr>
        <w:t>00亩</w:t>
      </w:r>
      <w:r>
        <w:rPr>
          <w:rFonts w:hint="eastAsia" w:cs="Times New Roman"/>
          <w:lang w:eastAsia="zh-CN"/>
        </w:rPr>
        <w:t>，</w:t>
      </w:r>
      <w:r>
        <w:rPr>
          <w:rFonts w:hint="eastAsia" w:cs="Times New Roman"/>
          <w:lang w:val="en-US" w:eastAsia="zh-CN"/>
        </w:rPr>
        <w:t>目前正在申报中；</w:t>
      </w:r>
      <w:r>
        <w:rPr>
          <w:rFonts w:hint="eastAsia" w:cs="Times New Roman"/>
        </w:rPr>
        <w:t>2023—2025年，在凤凰镇、回龙坝镇新建高标准农田</w:t>
      </w:r>
      <w:r>
        <w:rPr>
          <w:rFonts w:hint="eastAsia" w:cs="Times New Roman"/>
          <w:lang w:val="en-US" w:eastAsia="zh-CN"/>
        </w:rPr>
        <w:t>3</w:t>
      </w:r>
      <w:r>
        <w:rPr>
          <w:rFonts w:hint="eastAsia" w:cs="Times New Roman"/>
        </w:rPr>
        <w:t>000亩，在中梁镇改造提升</w:t>
      </w:r>
      <w:r>
        <w:rPr>
          <w:rFonts w:hint="eastAsia" w:cs="Times New Roman"/>
          <w:lang w:val="en-US" w:eastAsia="zh-CN"/>
        </w:rPr>
        <w:t>5</w:t>
      </w:r>
      <w:r>
        <w:rPr>
          <w:rFonts w:hint="eastAsia" w:cs="Times New Roman"/>
        </w:rPr>
        <w:t>000亩；2026—2030年，在中梁镇</w:t>
      </w:r>
      <w:r>
        <w:rPr>
          <w:rFonts w:hint="eastAsia" w:cs="Times New Roman"/>
          <w:lang w:val="en-US" w:eastAsia="zh-CN"/>
        </w:rPr>
        <w:t>以</w:t>
      </w:r>
      <w:r>
        <w:rPr>
          <w:rFonts w:hint="eastAsia" w:cs="Times New Roman"/>
        </w:rPr>
        <w:t>改造提升</w:t>
      </w:r>
      <w:r>
        <w:rPr>
          <w:rFonts w:hint="eastAsia" w:cs="Times New Roman"/>
          <w:lang w:val="en-US" w:eastAsia="zh-CN"/>
        </w:rPr>
        <w:t>为主建设</w:t>
      </w:r>
      <w:r>
        <w:rPr>
          <w:rFonts w:hint="eastAsia" w:cs="Times New Roman"/>
        </w:rPr>
        <w:t>高标准农田</w:t>
      </w:r>
      <w:r>
        <w:rPr>
          <w:rFonts w:hint="eastAsia" w:cs="Times New Roman"/>
          <w:lang w:val="en-US" w:eastAsia="zh-CN"/>
        </w:rPr>
        <w:t>6</w:t>
      </w:r>
      <w:r>
        <w:rPr>
          <w:rFonts w:hint="eastAsia" w:cs="Times New Roman"/>
        </w:rPr>
        <w:t>000亩</w:t>
      </w:r>
      <w:r>
        <w:rPr>
          <w:rFonts w:hint="eastAsia" w:cs="Times New Roman"/>
          <w:lang w:eastAsia="zh-CN"/>
        </w:rPr>
        <w:t>，</w:t>
      </w:r>
      <w:r>
        <w:rPr>
          <w:rFonts w:hint="eastAsia" w:cs="Times New Roman"/>
        </w:rPr>
        <w:t>在回龙坝镇新建高标准农田</w:t>
      </w:r>
      <w:r>
        <w:rPr>
          <w:rFonts w:hint="eastAsia" w:cs="Times New Roman"/>
          <w:lang w:val="en-US" w:eastAsia="zh-CN"/>
        </w:rPr>
        <w:t>2</w:t>
      </w:r>
      <w:r>
        <w:rPr>
          <w:rFonts w:hint="eastAsia" w:cs="Times New Roman"/>
        </w:rPr>
        <w:t>000亩，</w:t>
      </w:r>
      <w:r>
        <w:rPr>
          <w:rFonts w:hint="eastAsia" w:cs="Times New Roman"/>
          <w:lang w:val="en-US" w:eastAsia="zh-CN"/>
        </w:rPr>
        <w:t>在凤凰镇以改造提升为主建设</w:t>
      </w:r>
      <w:r>
        <w:rPr>
          <w:rFonts w:hint="eastAsia" w:cs="Times New Roman"/>
        </w:rPr>
        <w:t>高标准农田</w:t>
      </w:r>
      <w:r>
        <w:rPr>
          <w:rFonts w:hint="eastAsia" w:cs="Times New Roman"/>
          <w:lang w:val="en-US" w:eastAsia="zh-CN"/>
        </w:rPr>
        <w:t>2000亩，</w:t>
      </w:r>
      <w:r>
        <w:rPr>
          <w:rFonts w:hint="eastAsia" w:cs="方正仿宋_GBK"/>
        </w:rPr>
        <w:t>建设时序总表详见附表1。</w:t>
      </w:r>
    </w:p>
    <w:p>
      <w:pPr>
        <w:pStyle w:val="3"/>
        <w:numPr>
          <w:ilvl w:val="0"/>
          <w:numId w:val="2"/>
        </w:numPr>
        <w:spacing w:before="0" w:after="600"/>
        <w:rPr>
          <w:bCs w:val="0"/>
        </w:rPr>
        <w:sectPr>
          <w:footerReference r:id="rId14" w:type="default"/>
          <w:type w:val="continuous"/>
          <w:pgSz w:w="11906" w:h="16838"/>
          <w:pgMar w:top="1800" w:right="1440" w:bottom="1800" w:left="1440" w:header="851" w:footer="992" w:gutter="0"/>
          <w:cols w:space="425" w:num="1"/>
          <w:docGrid w:type="lines" w:linePitch="312" w:charSpace="0"/>
        </w:sectPr>
      </w:pPr>
      <w:bookmarkStart w:id="14" w:name="_Toc11053"/>
    </w:p>
    <w:p>
      <w:pPr>
        <w:pStyle w:val="3"/>
        <w:numPr>
          <w:ilvl w:val="0"/>
          <w:numId w:val="2"/>
        </w:numPr>
        <w:spacing w:before="0" w:after="600"/>
        <w:rPr>
          <w:bCs w:val="0"/>
        </w:rPr>
      </w:pPr>
      <w:r>
        <w:rPr>
          <w:rFonts w:hint="eastAsia"/>
          <w:bCs w:val="0"/>
        </w:rPr>
        <w:t>建设分区和项目安排</w:t>
      </w:r>
      <w:bookmarkEnd w:id="14"/>
    </w:p>
    <w:p>
      <w:pPr>
        <w:pStyle w:val="4"/>
        <w:numPr>
          <w:ilvl w:val="0"/>
          <w:numId w:val="10"/>
        </w:numPr>
        <w:ind w:firstLineChars="0"/>
      </w:pPr>
      <w:bookmarkStart w:id="15" w:name="_Toc14818"/>
      <w:bookmarkStart w:id="16" w:name="_Toc13466"/>
      <w:r>
        <w:t>建设分区</w:t>
      </w:r>
      <w:bookmarkEnd w:id="15"/>
      <w:r>
        <w:rPr>
          <w:rFonts w:hint="eastAsia"/>
        </w:rPr>
        <w:t>与分区建设指引</w:t>
      </w:r>
      <w:bookmarkEnd w:id="16"/>
    </w:p>
    <w:p>
      <w:pPr>
        <w:ind w:firstLine="643"/>
        <w:rPr>
          <w:rFonts w:hint="default" w:eastAsia="方正仿宋_GBK" w:cs="方正仿宋_GBK"/>
          <w:lang w:val="en-US" w:eastAsia="zh-CN"/>
        </w:rPr>
      </w:pPr>
      <w:r>
        <w:rPr>
          <w:rFonts w:hint="eastAsia" w:cs="方正仿宋_GBK"/>
        </w:rPr>
        <w:t>在</w:t>
      </w:r>
      <w:r>
        <w:rPr>
          <w:rFonts w:cs="方正仿宋_GBK"/>
        </w:rPr>
        <w:t>全市高标准农田建设</w:t>
      </w:r>
      <w:r>
        <w:rPr>
          <w:rFonts w:hint="eastAsia" w:cs="方正仿宋_GBK"/>
        </w:rPr>
        <w:t>“</w:t>
      </w:r>
      <w:r>
        <w:rPr>
          <w:rFonts w:cs="方正仿宋_GBK"/>
        </w:rPr>
        <w:t>一带三区五流域</w:t>
      </w:r>
      <w:r>
        <w:rPr>
          <w:rFonts w:hint="eastAsia" w:cs="方正仿宋_GBK"/>
        </w:rPr>
        <w:t>”</w:t>
      </w:r>
      <w:r>
        <w:rPr>
          <w:rFonts w:cs="方正仿宋_GBK"/>
        </w:rPr>
        <w:t>的空间格局中，</w:t>
      </w:r>
      <w:r>
        <w:rPr>
          <w:rFonts w:hint="eastAsia" w:cs="方正仿宋_GBK"/>
        </w:rPr>
        <w:t>沙坪坝</w:t>
      </w:r>
      <w:r>
        <w:rPr>
          <w:rFonts w:cs="方正仿宋_GBK"/>
        </w:rPr>
        <w:t>区属于丘陵谷地高标准农田建设区。统筹考虑</w:t>
      </w:r>
      <w:r>
        <w:rPr>
          <w:rFonts w:hint="eastAsia" w:cs="方正仿宋_GBK"/>
        </w:rPr>
        <w:t>沙坪坝区地形地貌、</w:t>
      </w:r>
      <w:r>
        <w:rPr>
          <w:rFonts w:cs="方正仿宋_GBK"/>
        </w:rPr>
        <w:t>各镇（街）耕地</w:t>
      </w:r>
      <w:r>
        <w:rPr>
          <w:rFonts w:hint="eastAsia" w:cs="方正仿宋_GBK"/>
        </w:rPr>
        <w:t>分布</w:t>
      </w:r>
      <w:r>
        <w:rPr>
          <w:rFonts w:cs="方正仿宋_GBK"/>
        </w:rPr>
        <w:t>、</w:t>
      </w:r>
      <w:r>
        <w:rPr>
          <w:rFonts w:hint="eastAsia" w:cs="方正仿宋_GBK"/>
        </w:rPr>
        <w:t>农业产业发展</w:t>
      </w:r>
      <w:r>
        <w:rPr>
          <w:rFonts w:cs="方正仿宋_GBK"/>
        </w:rPr>
        <w:t>等因素，确定</w:t>
      </w:r>
      <w:r>
        <w:rPr>
          <w:rFonts w:hint="eastAsia" w:cs="方正仿宋_GBK"/>
        </w:rPr>
        <w:t>沙坪坝</w:t>
      </w:r>
      <w:r>
        <w:rPr>
          <w:rFonts w:cs="方正仿宋_GBK"/>
        </w:rPr>
        <w:t>区高标准农田建设</w:t>
      </w:r>
      <w:r>
        <w:rPr>
          <w:rFonts w:hint="eastAsia" w:cs="方正仿宋_GBK"/>
        </w:rPr>
        <w:t>总体布局为“一带两区”，即：</w:t>
      </w:r>
      <w:r>
        <w:rPr>
          <w:rFonts w:cs="方正仿宋_GBK"/>
        </w:rPr>
        <w:t>中梁山</w:t>
      </w:r>
      <w:r>
        <w:rPr>
          <w:rFonts w:hint="eastAsia" w:cs="方正仿宋_GBK"/>
        </w:rPr>
        <w:t>脉渡淡蔬菜</w:t>
      </w:r>
      <w:r>
        <w:rPr>
          <w:rFonts w:cs="方正仿宋_GBK"/>
        </w:rPr>
        <w:t>高标准农田建设</w:t>
      </w:r>
      <w:r>
        <w:rPr>
          <w:rFonts w:hint="eastAsia" w:cs="方正仿宋_GBK"/>
        </w:rPr>
        <w:t>带、梁滩河流域特色粮油</w:t>
      </w:r>
      <w:r>
        <w:rPr>
          <w:rFonts w:cs="方正仿宋_GBK"/>
        </w:rPr>
        <w:t>高标准农田建设区</w:t>
      </w:r>
      <w:r>
        <w:rPr>
          <w:rFonts w:hint="eastAsia" w:cs="方正仿宋_GBK"/>
        </w:rPr>
        <w:t>、缙云山脉都市休闲乡村</w:t>
      </w:r>
      <w:r>
        <w:rPr>
          <w:rFonts w:cs="方正仿宋_GBK"/>
        </w:rPr>
        <w:t>高标准农田建设区</w:t>
      </w:r>
      <w:r>
        <w:rPr>
          <w:rFonts w:hint="eastAsia" w:cs="方正仿宋_GBK"/>
        </w:rPr>
        <w:t>。</w:t>
      </w:r>
      <w:r>
        <w:rPr>
          <w:rFonts w:hint="eastAsia" w:cs="方正仿宋_GBK"/>
          <w:lang w:val="en-US" w:eastAsia="zh-CN"/>
        </w:rPr>
        <w:t>详见图3-1</w:t>
      </w:r>
    </w:p>
    <w:p>
      <w:pPr>
        <w:ind w:firstLine="643"/>
      </w:pPr>
      <w:r>
        <w:rPr>
          <w:rFonts w:cs="方正仿宋_GBK"/>
          <w:b/>
          <w:bCs/>
        </w:rPr>
        <w:t>中梁山</w:t>
      </w:r>
      <w:r>
        <w:rPr>
          <w:rFonts w:hint="eastAsia" w:cs="方正仿宋_GBK"/>
          <w:b/>
          <w:bCs/>
        </w:rPr>
        <w:t>脉渡淡蔬菜</w:t>
      </w:r>
      <w:r>
        <w:rPr>
          <w:rFonts w:cs="方正仿宋_GBK"/>
          <w:b/>
          <w:bCs/>
        </w:rPr>
        <w:t>高标准农田建设</w:t>
      </w:r>
      <w:r>
        <w:rPr>
          <w:rFonts w:hint="eastAsia" w:cs="方正仿宋_GBK"/>
          <w:b/>
          <w:bCs/>
        </w:rPr>
        <w:t>带：</w:t>
      </w:r>
      <w:r>
        <w:rPr>
          <w:rFonts w:hint="eastAsia" w:cs="方正仿宋_GBK"/>
        </w:rPr>
        <w:t>包括中梁镇、歌乐山街道全域和回龙坝镇四龙村、大桥村、大水沟村等海拔300米</w:t>
      </w:r>
      <w:r>
        <w:rPr>
          <w:rFonts w:cs="方正仿宋_GBK"/>
        </w:rPr>
        <w:t>以上区域</w:t>
      </w:r>
      <w:r>
        <w:rPr>
          <w:rFonts w:hint="eastAsia" w:cs="方正仿宋_GBK"/>
        </w:rPr>
        <w:t>。高标准农田潜力面积约为2.</w:t>
      </w:r>
      <w:r>
        <w:rPr>
          <w:rFonts w:hint="eastAsia" w:cs="方正仿宋_GBK"/>
          <w:lang w:val="en-US" w:eastAsia="zh-CN"/>
        </w:rPr>
        <w:t>99</w:t>
      </w:r>
      <w:r>
        <w:rPr>
          <w:rFonts w:hint="eastAsia" w:cs="方正仿宋_GBK"/>
        </w:rPr>
        <w:t>万亩，其中新建潜力</w:t>
      </w:r>
      <w:r>
        <w:rPr>
          <w:rFonts w:hint="eastAsia" w:cs="方正仿宋_GBK"/>
          <w:lang w:val="en-US" w:eastAsia="zh-CN"/>
        </w:rPr>
        <w:t>1.19</w:t>
      </w:r>
      <w:r>
        <w:rPr>
          <w:rFonts w:hint="eastAsia" w:cs="方正仿宋_GBK"/>
        </w:rPr>
        <w:t>万亩，改造提升潜力1.</w:t>
      </w:r>
      <w:r>
        <w:rPr>
          <w:rFonts w:hint="eastAsia" w:cs="方正仿宋_GBK"/>
          <w:lang w:val="en-US" w:eastAsia="zh-CN"/>
        </w:rPr>
        <w:t>8</w:t>
      </w:r>
      <w:r>
        <w:rPr>
          <w:rFonts w:hint="eastAsia" w:cs="方正仿宋_GBK"/>
        </w:rPr>
        <w:t>万亩。该区域</w:t>
      </w:r>
      <w:r>
        <w:rPr>
          <w:rFonts w:cs="方正仿宋_GBK"/>
        </w:rPr>
        <w:t>的中梁</w:t>
      </w:r>
      <w:r>
        <w:rPr>
          <w:rFonts w:hint="eastAsia" w:cs="方正仿宋_GBK"/>
        </w:rPr>
        <w:t>镇</w:t>
      </w:r>
      <w:r>
        <w:rPr>
          <w:rFonts w:cs="方正仿宋_GBK"/>
        </w:rPr>
        <w:t>和歌乐山街道是重庆市中海拔</w:t>
      </w:r>
      <w:r>
        <w:rPr>
          <w:rFonts w:hint="eastAsia" w:cs="方正仿宋_GBK"/>
        </w:rPr>
        <w:t>地区</w:t>
      </w:r>
      <w:r>
        <w:rPr>
          <w:rFonts w:cs="方正仿宋_GBK"/>
        </w:rPr>
        <w:t>渡</w:t>
      </w:r>
      <w:r>
        <w:rPr>
          <w:rFonts w:hint="eastAsia" w:cs="方正仿宋_GBK"/>
        </w:rPr>
        <w:t>淡蔬菜</w:t>
      </w:r>
      <w:r>
        <w:rPr>
          <w:rFonts w:cs="方正仿宋_GBK"/>
        </w:rPr>
        <w:t>基地，农产品保供功能突出。</w:t>
      </w:r>
      <w:r>
        <w:rPr>
          <w:rFonts w:hint="eastAsia" w:cs="方正仿宋_GBK"/>
        </w:rPr>
        <w:t>因此该区域高标准农田建设围绕渡淡蔬菜产业基地进行布局，针对耕地蓄水短板和土壤酸化问题，高标准</w:t>
      </w:r>
      <w:r>
        <w:rPr>
          <w:rFonts w:cs="方正仿宋_GBK"/>
        </w:rPr>
        <w:t>农田建设以提升水利设施配套和耕地质量为主攻方向，加强田、土、水、路、林、电、技、管综合整治，</w:t>
      </w:r>
      <w:r>
        <w:rPr>
          <w:rFonts w:cs="Times New Roman"/>
        </w:rPr>
        <w:t>着力打造特色明显、集聚集约、绿色生态、增效增收的</w:t>
      </w:r>
      <w:r>
        <w:rPr>
          <w:rFonts w:hint="eastAsia" w:cs="Times New Roman"/>
        </w:rPr>
        <w:t>都市现代</w:t>
      </w:r>
      <w:r>
        <w:rPr>
          <w:rFonts w:cs="Times New Roman"/>
        </w:rPr>
        <w:t>农业</w:t>
      </w:r>
      <w:r>
        <w:rPr>
          <w:rFonts w:hint="eastAsia" w:cs="Times New Roman"/>
        </w:rPr>
        <w:t>示范，在保障主城区“菜篮子”产品重要供给的基础上</w:t>
      </w:r>
      <w:r>
        <w:rPr>
          <w:rFonts w:cs="Times New Roman"/>
        </w:rPr>
        <w:t>，拓展休闲观光功能</w:t>
      </w:r>
      <w:r>
        <w:rPr>
          <w:rFonts w:hint="eastAsia" w:cs="Times New Roman"/>
        </w:rPr>
        <w:t>。</w:t>
      </w:r>
    </w:p>
    <w:p>
      <w:pPr>
        <w:pStyle w:val="13"/>
        <w:ind w:firstLine="0" w:firstLineChars="0"/>
        <w:jc w:val="center"/>
        <w:rPr>
          <w:rFonts w:ascii="Times New Roman" w:hAnsi="Times New Roman" w:eastAsia="方正仿宋_GBK" w:cs="Times New Roman"/>
          <w:b/>
          <w:bCs/>
          <w:sz w:val="28"/>
          <w:szCs w:val="22"/>
        </w:rPr>
      </w:pPr>
      <w:r>
        <w:rPr>
          <w:rFonts w:ascii="Times New Roman" w:hAnsi="Times New Roman" w:eastAsia="方正仿宋_GBK" w:cs="Times New Roman"/>
          <w:b/>
          <w:bCs/>
          <w:sz w:val="28"/>
          <w:szCs w:val="22"/>
        </w:rPr>
        <w:t xml:space="preserve">专栏1 </w:t>
      </w:r>
      <w:r>
        <w:rPr>
          <w:rFonts w:hint="eastAsia" w:ascii="Times New Roman" w:hAnsi="Times New Roman" w:eastAsia="方正仿宋_GBK" w:cs="Times New Roman"/>
          <w:b/>
          <w:bCs/>
          <w:sz w:val="28"/>
          <w:szCs w:val="22"/>
        </w:rPr>
        <w:t>中梁山脉渡淡蔬菜高标准农田建设带工程建设指引</w:t>
      </w:r>
    </w:p>
    <w:tbl>
      <w:tblPr>
        <w:tblStyle w:val="29"/>
        <w:tblW w:w="8670" w:type="dxa"/>
        <w:tblInd w:w="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70" w:type="dxa"/>
            <w:vAlign w:val="center"/>
          </w:tcPr>
          <w:p>
            <w:pPr>
              <w:widowControl/>
              <w:spacing w:line="240" w:lineRule="auto"/>
              <w:ind w:firstLine="560"/>
              <w:jc w:val="left"/>
              <w:rPr>
                <w:sz w:val="28"/>
                <w:szCs w:val="28"/>
              </w:rPr>
            </w:pPr>
            <w:r>
              <w:rPr>
                <w:rFonts w:hint="eastAsia"/>
                <w:sz w:val="28"/>
                <w:szCs w:val="28"/>
              </w:rPr>
              <w:t>1</w:t>
            </w:r>
            <w:r>
              <w:rPr>
                <w:sz w:val="28"/>
                <w:szCs w:val="28"/>
              </w:rPr>
              <w:t>.</w:t>
            </w:r>
            <w:r>
              <w:rPr>
                <w:rFonts w:hint="eastAsia"/>
                <w:sz w:val="28"/>
                <w:szCs w:val="28"/>
              </w:rPr>
              <w:t>以</w:t>
            </w:r>
            <w:r>
              <w:rPr>
                <w:rFonts w:hint="eastAsia" w:ascii="方正仿宋_GBK"/>
                <w:sz w:val="28"/>
                <w:szCs w:val="28"/>
              </w:rPr>
              <w:t>蓄水灌溉为主，</w:t>
            </w:r>
            <w:r>
              <w:rPr>
                <w:rFonts w:hint="eastAsia"/>
                <w:sz w:val="28"/>
                <w:szCs w:val="28"/>
              </w:rPr>
              <w:t>完善</w:t>
            </w:r>
            <w:r>
              <w:rPr>
                <w:rFonts w:hint="eastAsia" w:ascii="方正仿宋_GBK"/>
                <w:sz w:val="28"/>
                <w:szCs w:val="28"/>
              </w:rPr>
              <w:t>囤水田、蓄水池、泵站等水源工程设施，加强雨水集蓄利用，开展灌溉沟渠整治，增强田间补灌能力和排洪排涝能力。大力推广管灌、喷灌、微灌等高效节水灌溉，提高水资源利用效率。配套输配电设施，满足生产和管理需要。水田灌溉设计保证率达到</w:t>
            </w:r>
            <w:r>
              <w:rPr>
                <w:sz w:val="28"/>
                <w:szCs w:val="28"/>
              </w:rPr>
              <w:t>85%</w:t>
            </w:r>
            <w:r>
              <w:rPr>
                <w:rFonts w:hint="eastAsia" w:ascii="方正仿宋_GBK"/>
                <w:sz w:val="28"/>
                <w:szCs w:val="28"/>
              </w:rPr>
              <w:t>以上，旱地灌溉设计保证率达到</w:t>
            </w:r>
            <w:r>
              <w:rPr>
                <w:sz w:val="28"/>
                <w:szCs w:val="28"/>
              </w:rPr>
              <w:t>75%</w:t>
            </w:r>
            <w:r>
              <w:rPr>
                <w:rFonts w:hint="eastAsia" w:ascii="方正仿宋_GBK"/>
                <w:sz w:val="28"/>
                <w:szCs w:val="28"/>
              </w:rPr>
              <w:t>以上，喷灌、微灌区的灌溉设计保证率达到</w:t>
            </w:r>
            <w:r>
              <w:rPr>
                <w:sz w:val="28"/>
                <w:szCs w:val="28"/>
              </w:rPr>
              <w:t>85%~95%</w:t>
            </w:r>
            <w:r>
              <w:rPr>
                <w:rFonts w:hint="eastAsia" w:ascii="方正仿宋_GBK"/>
                <w:sz w:val="28"/>
                <w:szCs w:val="28"/>
              </w:rPr>
              <w:t>，水稻区农田排水设计暴雨重现期达到</w:t>
            </w:r>
            <w:r>
              <w:rPr>
                <w:sz w:val="28"/>
                <w:szCs w:val="28"/>
              </w:rPr>
              <w:t>10</w:t>
            </w:r>
            <w:r>
              <w:rPr>
                <w:rFonts w:hint="eastAsia" w:ascii="方正仿宋_GBK"/>
                <w:sz w:val="28"/>
                <w:szCs w:val="28"/>
              </w:rPr>
              <w:t>年一遇，旱作区农田排水设计暴雨重现期达到</w:t>
            </w:r>
            <w:r>
              <w:rPr>
                <w:sz w:val="28"/>
                <w:szCs w:val="28"/>
              </w:rPr>
              <w:t>5~10</w:t>
            </w:r>
            <w:r>
              <w:rPr>
                <w:rFonts w:hint="eastAsia" w:ascii="方正仿宋_GBK"/>
                <w:sz w:val="28"/>
                <w:szCs w:val="28"/>
              </w:rPr>
              <w:t>年一遇。</w:t>
            </w:r>
          </w:p>
          <w:p>
            <w:pPr>
              <w:widowControl/>
              <w:spacing w:line="240" w:lineRule="auto"/>
              <w:ind w:firstLine="560"/>
              <w:jc w:val="both"/>
              <w:rPr>
                <w:sz w:val="28"/>
                <w:szCs w:val="28"/>
              </w:rPr>
            </w:pPr>
            <w:r>
              <w:rPr>
                <w:rFonts w:hint="eastAsia"/>
                <w:sz w:val="28"/>
                <w:szCs w:val="28"/>
              </w:rPr>
              <w:t>2</w:t>
            </w:r>
            <w:r>
              <w:rPr>
                <w:sz w:val="28"/>
                <w:szCs w:val="28"/>
              </w:rPr>
              <w:t>.</w:t>
            </w:r>
            <w:r>
              <w:rPr>
                <w:rFonts w:hint="eastAsia" w:ascii="方正仿宋_GBK"/>
                <w:sz w:val="28"/>
                <w:szCs w:val="28"/>
              </w:rPr>
              <w:t>提档田间道路系统，原有道路改造应充分利用地形展线，力求短而直，符合规模机械化生产要求，田间干道与项目区内、外等级公路相连接，减少工程量、降低工程造价。机耕路路面宽度宜为</w:t>
            </w:r>
            <w:r>
              <w:rPr>
                <w:sz w:val="28"/>
                <w:szCs w:val="28"/>
              </w:rPr>
              <w:t>3~4m</w:t>
            </w:r>
            <w:r>
              <w:rPr>
                <w:rFonts w:hint="eastAsia" w:ascii="方正仿宋_GBK"/>
                <w:sz w:val="28"/>
                <w:szCs w:val="28"/>
              </w:rPr>
              <w:t>，宜采用泥结石、碎石、混凝土等材质；</w:t>
            </w:r>
            <w:r>
              <w:rPr>
                <w:sz w:val="28"/>
                <w:szCs w:val="28"/>
              </w:rPr>
              <w:t>生产路路面宽度宜为1~3m</w:t>
            </w:r>
            <w:r>
              <w:rPr>
                <w:rFonts w:hint="eastAsia" w:ascii="方正仿宋_GBK"/>
                <w:sz w:val="28"/>
                <w:szCs w:val="28"/>
              </w:rPr>
              <w:t>，宜采用泥结石、碎石、素土材质。</w:t>
            </w:r>
            <w:r>
              <w:rPr>
                <w:sz w:val="28"/>
                <w:szCs w:val="28"/>
              </w:rPr>
              <w:t>田间道路通达度不低于90%</w:t>
            </w:r>
            <w:r>
              <w:rPr>
                <w:rFonts w:hint="eastAsia" w:ascii="方正仿宋_GBK"/>
                <w:sz w:val="28"/>
                <w:szCs w:val="28"/>
              </w:rPr>
              <w:t>。</w:t>
            </w:r>
          </w:p>
          <w:p>
            <w:pPr>
              <w:pStyle w:val="13"/>
              <w:spacing w:line="240" w:lineRule="auto"/>
              <w:ind w:firstLine="560"/>
              <w:jc w:val="both"/>
              <w:rPr>
                <w:rFonts w:ascii="方正仿宋_GBK" w:hAnsi="方正仿宋_GBK" w:eastAsia="方正仿宋_GBK" w:cs="方正仿宋_GBK"/>
                <w:sz w:val="28"/>
                <w:szCs w:val="28"/>
              </w:rPr>
            </w:pPr>
            <w:r>
              <w:rPr>
                <w:rFonts w:hint="eastAsia" w:ascii="方正仿宋_GBK" w:hAnsi="Times New Roman" w:eastAsia="方正仿宋_GBK" w:cstheme="minorBidi"/>
                <w:sz w:val="28"/>
                <w:szCs w:val="28"/>
              </w:rPr>
              <w:t>3.培肥耕地地力，采取粮（绿）肥轮作、秸秆还田、增施有机肥等综合措施，提升土壤有机质含量。实施测土配方施肥，促进土壤养分相对均衡。结合耕地质量监测点现状分布，持续开展长期定位监测。土壤有机质含量宜达到</w:t>
            </w:r>
            <w:r>
              <w:rPr>
                <w:rFonts w:hint="eastAsia" w:ascii="Times New Roman" w:hAnsi="Times New Roman" w:eastAsia="方正仿宋_GBK" w:cs="方正仿宋_GBK"/>
                <w:sz w:val="32"/>
                <w:szCs w:val="32"/>
              </w:rPr>
              <w:t>20g/kg</w:t>
            </w:r>
            <w:r>
              <w:rPr>
                <w:rFonts w:hint="eastAsia" w:ascii="方正仿宋_GBK" w:hAnsi="Times New Roman" w:eastAsia="方正仿宋_GBK" w:cstheme="minorBidi"/>
                <w:sz w:val="28"/>
                <w:szCs w:val="28"/>
              </w:rPr>
              <w:t>以上，土壤pH值一般保持在</w:t>
            </w:r>
            <w:r>
              <w:rPr>
                <w:rFonts w:hint="eastAsia" w:ascii="Times New Roman" w:hAnsi="Times New Roman" w:eastAsia="方正仿宋_GBK" w:cstheme="minorBidi"/>
                <w:sz w:val="28"/>
                <w:szCs w:val="28"/>
              </w:rPr>
              <w:t>5.5~7.5</w:t>
            </w:r>
            <w:r>
              <w:rPr>
                <w:rFonts w:hint="eastAsia" w:ascii="方正仿宋_GBK" w:hAnsi="Times New Roman" w:eastAsia="方正仿宋_GBK" w:cstheme="minorBidi"/>
                <w:sz w:val="28"/>
                <w:szCs w:val="28"/>
              </w:rPr>
              <w:t>，耕地质量等级宜达到</w:t>
            </w:r>
            <w:r>
              <w:rPr>
                <w:rFonts w:hint="eastAsia" w:ascii="Times New Roman" w:hAnsi="Times New Roman" w:eastAsia="方正仿宋_GBK" w:cstheme="minorBidi"/>
                <w:sz w:val="28"/>
                <w:szCs w:val="28"/>
              </w:rPr>
              <w:t>4.5</w:t>
            </w:r>
            <w:r>
              <w:rPr>
                <w:rFonts w:hint="eastAsia" w:ascii="方正仿宋_GBK" w:hAnsi="Times New Roman" w:eastAsia="方正仿宋_GBK" w:cstheme="minorBidi"/>
                <w:sz w:val="28"/>
                <w:szCs w:val="28"/>
              </w:rPr>
              <w:t>等以上。</w:t>
            </w:r>
          </w:p>
        </w:tc>
      </w:tr>
    </w:tbl>
    <w:p>
      <w:pPr>
        <w:spacing w:beforeLines="50"/>
        <w:ind w:firstLine="643"/>
        <w:rPr>
          <w:rFonts w:cs="Times New Roman"/>
        </w:rPr>
      </w:pPr>
      <w:r>
        <w:rPr>
          <w:rFonts w:hint="eastAsia" w:cs="方正仿宋_GBK"/>
          <w:b/>
          <w:bCs/>
        </w:rPr>
        <w:t>梁滩河流域特色粮油</w:t>
      </w:r>
      <w:r>
        <w:rPr>
          <w:rFonts w:cs="方正仿宋_GBK"/>
          <w:b/>
          <w:bCs/>
        </w:rPr>
        <w:t>高标准农田建设区</w:t>
      </w:r>
      <w:r>
        <w:rPr>
          <w:rFonts w:hint="eastAsia" w:cs="方正仿宋_GBK"/>
          <w:b/>
          <w:bCs/>
        </w:rPr>
        <w:t>：</w:t>
      </w:r>
      <w:r>
        <w:rPr>
          <w:rFonts w:hint="eastAsia" w:cs="Times New Roman"/>
        </w:rPr>
        <w:t>主要包</w:t>
      </w:r>
      <w:r>
        <w:rPr>
          <w:rFonts w:hint="eastAsia" w:cs="方正仿宋_GBK"/>
        </w:rPr>
        <w:t>括凤凰镇八字桥村、胡南坝村、五福村和回龙坝镇梁滩桥村、青龙庙村、五云山村、西溪桥村、真武山村等。高标准农田潜力面积约为1.</w:t>
      </w:r>
      <w:r>
        <w:rPr>
          <w:rFonts w:hint="eastAsia" w:cs="方正仿宋_GBK"/>
          <w:lang w:val="en-US" w:eastAsia="zh-CN"/>
        </w:rPr>
        <w:t>4</w:t>
      </w:r>
      <w:r>
        <w:rPr>
          <w:rFonts w:hint="eastAsia" w:cs="方正仿宋_GBK"/>
        </w:rPr>
        <w:t>万亩，其中新建潜力</w:t>
      </w:r>
      <w:r>
        <w:rPr>
          <w:rFonts w:hint="eastAsia" w:cs="方正仿宋_GBK"/>
          <w:lang w:val="en-US" w:eastAsia="zh-CN"/>
        </w:rPr>
        <w:t>1.1</w:t>
      </w:r>
      <w:r>
        <w:rPr>
          <w:rFonts w:hint="eastAsia" w:cs="方正仿宋_GBK"/>
        </w:rPr>
        <w:t>万亩，改造提升潜力0.</w:t>
      </w:r>
      <w:r>
        <w:rPr>
          <w:rFonts w:hint="eastAsia" w:cs="方正仿宋_GBK"/>
          <w:lang w:val="en-US" w:eastAsia="zh-CN"/>
        </w:rPr>
        <w:t>3</w:t>
      </w:r>
      <w:r>
        <w:rPr>
          <w:rFonts w:hint="eastAsia" w:cs="方正仿宋_GBK"/>
        </w:rPr>
        <w:t>万亩。</w:t>
      </w:r>
      <w:r>
        <w:rPr>
          <w:rFonts w:cs="Times New Roman"/>
        </w:rPr>
        <w:t>该区域</w:t>
      </w:r>
      <w:r>
        <w:rPr>
          <w:rFonts w:hint="eastAsia" w:cs="Times New Roman"/>
        </w:rPr>
        <w:t>水源</w:t>
      </w:r>
      <w:r>
        <w:rPr>
          <w:rFonts w:cs="Times New Roman"/>
        </w:rPr>
        <w:t>丰富，地形起伏</w:t>
      </w:r>
      <w:r>
        <w:rPr>
          <w:rFonts w:hint="eastAsia" w:cs="Times New Roman"/>
        </w:rPr>
        <w:t>相对</w:t>
      </w:r>
      <w:r>
        <w:rPr>
          <w:rFonts w:cs="Times New Roman"/>
        </w:rPr>
        <w:t>较小，缓坡坪坝沿</w:t>
      </w:r>
      <w:r>
        <w:rPr>
          <w:rFonts w:hint="eastAsia" w:cs="Times New Roman"/>
        </w:rPr>
        <w:t>粱滩河</w:t>
      </w:r>
      <w:r>
        <w:rPr>
          <w:rFonts w:cs="Times New Roman"/>
        </w:rPr>
        <w:t>分布，土地较为集中连片，</w:t>
      </w:r>
      <w:r>
        <w:rPr>
          <w:rFonts w:hint="eastAsia" w:cs="Times New Roman"/>
        </w:rPr>
        <w:t>以</w:t>
      </w:r>
      <w:r>
        <w:rPr>
          <w:rFonts w:cs="Times New Roman"/>
        </w:rPr>
        <w:t>优质水稻、糯玉米、优质红薯等特色粮油生产为主</w:t>
      </w:r>
      <w:r>
        <w:rPr>
          <w:rFonts w:hint="eastAsia" w:cs="Times New Roman"/>
        </w:rPr>
        <w:t>，同时</w:t>
      </w:r>
      <w:r>
        <w:rPr>
          <w:rFonts w:cs="Times New Roman"/>
        </w:rPr>
        <w:t>承担着水源涵养、土壤保持和生物多样性保护重任。</w:t>
      </w:r>
      <w:r>
        <w:rPr>
          <w:rFonts w:hint="eastAsia" w:cs="方正仿宋_GBK"/>
        </w:rPr>
        <w:t>高标准农田建设</w:t>
      </w:r>
      <w:r>
        <w:rPr>
          <w:rFonts w:hint="eastAsia" w:cs="Times New Roman"/>
        </w:rPr>
        <w:t>围绕特色粮油</w:t>
      </w:r>
      <w:r>
        <w:rPr>
          <w:rFonts w:hint="eastAsia" w:cs="方正仿宋_GBK"/>
        </w:rPr>
        <w:t>产业区域进行布局</w:t>
      </w:r>
      <w:r>
        <w:rPr>
          <w:rFonts w:hint="eastAsia" w:cs="Times New Roman"/>
        </w:rPr>
        <w:t>，以</w:t>
      </w:r>
      <w:r>
        <w:rPr>
          <w:rFonts w:cs="Times New Roman"/>
        </w:rPr>
        <w:t>生态农田建设为目标，以提升耕地生态功能</w:t>
      </w:r>
      <w:r>
        <w:rPr>
          <w:rFonts w:hint="eastAsia" w:cs="Times New Roman"/>
        </w:rPr>
        <w:t>和</w:t>
      </w:r>
      <w:r>
        <w:rPr>
          <w:rFonts w:cs="Times New Roman"/>
        </w:rPr>
        <w:t>水土流失治理工程为主攻方向，</w:t>
      </w:r>
      <w:bookmarkStart w:id="17" w:name="_Hlk55851099"/>
      <w:r>
        <w:rPr>
          <w:rFonts w:cs="方正仿宋_GBK"/>
        </w:rPr>
        <w:t>提高田间设施配置密度和规格、提升农机作业水平</w:t>
      </w:r>
      <w:bookmarkEnd w:id="17"/>
      <w:r>
        <w:rPr>
          <w:rFonts w:hint="eastAsia" w:cs="Times New Roman"/>
        </w:rPr>
        <w:t>，</w:t>
      </w:r>
      <w:r>
        <w:rPr>
          <w:rFonts w:cs="Times New Roman"/>
        </w:rPr>
        <w:t>兼顾流域生态环境保护与修复。</w:t>
      </w:r>
    </w:p>
    <w:p>
      <w:pPr>
        <w:pStyle w:val="13"/>
        <w:ind w:firstLine="0" w:firstLineChars="0"/>
        <w:jc w:val="center"/>
        <w:rPr>
          <w:rFonts w:ascii="方正仿宋_GBK" w:hAnsi="方正仿宋_GBK" w:eastAsia="方正仿宋_GBK" w:cs="方正仿宋_GBK"/>
          <w:b/>
          <w:bCs/>
          <w:sz w:val="28"/>
          <w:szCs w:val="22"/>
        </w:rPr>
      </w:pPr>
      <w:r>
        <w:rPr>
          <w:rFonts w:hint="eastAsia" w:ascii="方正仿宋_GBK" w:hAnsi="方正仿宋_GBK" w:eastAsia="方正仿宋_GBK" w:cs="方正仿宋_GBK"/>
          <w:b/>
          <w:bCs/>
          <w:sz w:val="28"/>
          <w:szCs w:val="22"/>
        </w:rPr>
        <w:t>专栏2 梁滩河流域特色粮油高标准农田建设区工程建设指引</w:t>
      </w:r>
    </w:p>
    <w:tbl>
      <w:tblPr>
        <w:tblStyle w:val="29"/>
        <w:tblW w:w="8655"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55" w:type="dxa"/>
            <w:vAlign w:val="center"/>
          </w:tcPr>
          <w:p>
            <w:pPr>
              <w:widowControl/>
              <w:numPr>
                <w:ilvl w:val="0"/>
                <w:numId w:val="11"/>
              </w:numPr>
              <w:spacing w:line="240" w:lineRule="auto"/>
              <w:ind w:firstLine="560"/>
              <w:jc w:val="both"/>
              <w:rPr>
                <w:rFonts w:ascii="方正仿宋_GBK"/>
                <w:sz w:val="28"/>
                <w:szCs w:val="28"/>
              </w:rPr>
            </w:pPr>
            <w:r>
              <w:rPr>
                <w:rFonts w:hint="eastAsia" w:ascii="方正仿宋_GBK"/>
                <w:sz w:val="28"/>
                <w:szCs w:val="28"/>
              </w:rPr>
              <w:t>修建囤水田、蓄水池、泵站等水源工程设施，采用灌排结合，开展沟渠配套建设和疏浚整治，布设必要的排水设施和沉沙凼，增强农田排涝能力，</w:t>
            </w:r>
            <w:r>
              <w:rPr>
                <w:rFonts w:hint="eastAsia" w:ascii="方正仿宋_GBK"/>
                <w:sz w:val="28"/>
                <w:szCs w:val="28"/>
                <w:highlight w:val="none"/>
              </w:rPr>
              <w:t>防治</w:t>
            </w:r>
            <w:r>
              <w:rPr>
                <w:rFonts w:hint="eastAsia" w:ascii="方正仿宋_GBK"/>
                <w:sz w:val="28"/>
                <w:szCs w:val="28"/>
              </w:rPr>
              <w:t>土壤潜育化。配套输配电设施，满足生产和管理需要。水田灌溉设计保证率达到</w:t>
            </w:r>
            <w:r>
              <w:rPr>
                <w:rFonts w:hint="eastAsia" w:cs="方正仿宋_GBK"/>
              </w:rPr>
              <w:t>80%</w:t>
            </w:r>
            <w:r>
              <w:rPr>
                <w:rFonts w:hint="eastAsia" w:ascii="方正仿宋_GBK"/>
                <w:sz w:val="28"/>
                <w:szCs w:val="28"/>
              </w:rPr>
              <w:t>以上，旱地灌溉设计保证率达到</w:t>
            </w:r>
            <w:r>
              <w:rPr>
                <w:rFonts w:hint="eastAsia" w:cs="方正仿宋_GBK"/>
              </w:rPr>
              <w:t>70%</w:t>
            </w:r>
            <w:r>
              <w:rPr>
                <w:rFonts w:hint="eastAsia" w:ascii="方正仿宋_GBK"/>
                <w:sz w:val="28"/>
                <w:szCs w:val="28"/>
              </w:rPr>
              <w:t>以上，水稻区农田排水设计暴雨重现期达到</w:t>
            </w:r>
            <w:r>
              <w:rPr>
                <w:rFonts w:hint="eastAsia" w:cs="方正仿宋_GBK"/>
              </w:rPr>
              <w:t>10</w:t>
            </w:r>
            <w:r>
              <w:rPr>
                <w:rFonts w:hint="eastAsia" w:ascii="方正仿宋_GBK"/>
                <w:sz w:val="28"/>
                <w:szCs w:val="28"/>
              </w:rPr>
              <w:t>年一遇，旱作区农田排水设计暴雨重现期达到</w:t>
            </w:r>
            <w:r>
              <w:rPr>
                <w:rFonts w:hint="eastAsia" w:cs="方正仿宋_GBK"/>
              </w:rPr>
              <w:t>5~10</w:t>
            </w:r>
            <w:r>
              <w:rPr>
                <w:rFonts w:hint="eastAsia" w:ascii="方正仿宋_GBK"/>
                <w:sz w:val="28"/>
                <w:szCs w:val="28"/>
              </w:rPr>
              <w:t>年一遇。</w:t>
            </w:r>
          </w:p>
          <w:p>
            <w:pPr>
              <w:widowControl/>
              <w:numPr>
                <w:ilvl w:val="0"/>
                <w:numId w:val="11"/>
              </w:numPr>
              <w:spacing w:line="240" w:lineRule="auto"/>
              <w:ind w:firstLine="560"/>
              <w:jc w:val="both"/>
              <w:rPr>
                <w:rFonts w:ascii="方正仿宋_GBK"/>
                <w:sz w:val="28"/>
                <w:szCs w:val="28"/>
              </w:rPr>
            </w:pPr>
            <w:r>
              <w:rPr>
                <w:rFonts w:hint="eastAsia" w:ascii="方正仿宋_GBK"/>
                <w:sz w:val="28"/>
                <w:szCs w:val="28"/>
              </w:rPr>
              <w:t>优化田间路网系统，合理确定路网密度、路面宽度、路面材质，配套必要的排水设施、下田坡道、错车点、倒车位和安全设施等。道路布置应充分利用地形展线，力求短而直，符合规模机械化生产要求，田间干道与项目区内、外等级公路相连接，减少工程量、降低工程造价。机耕路路面宽度宜为</w:t>
            </w:r>
            <w:r>
              <w:rPr>
                <w:rFonts w:hint="eastAsia" w:cs="方正仿宋_GBK"/>
              </w:rPr>
              <w:t>3~4</w:t>
            </w:r>
            <w:r>
              <w:rPr>
                <w:rFonts w:hint="eastAsia" w:ascii="方正仿宋_GBK"/>
                <w:sz w:val="28"/>
                <w:szCs w:val="28"/>
              </w:rPr>
              <w:t>m，宜采用泥结石、碎石、混凝土等材质；生产路路面宽度宜为</w:t>
            </w:r>
            <w:r>
              <w:rPr>
                <w:rFonts w:hint="eastAsia" w:cs="方正仿宋_GBK"/>
              </w:rPr>
              <w:t>1~3</w:t>
            </w:r>
            <w:r>
              <w:rPr>
                <w:rFonts w:hint="eastAsia" w:ascii="方正仿宋_GBK"/>
                <w:sz w:val="28"/>
                <w:szCs w:val="28"/>
              </w:rPr>
              <w:t>m，宜采用泥结石、碎石、素土等材质。田间道路通达度不低于</w:t>
            </w:r>
            <w:r>
              <w:rPr>
                <w:rFonts w:hint="eastAsia" w:cs="方正仿宋_GBK"/>
              </w:rPr>
              <w:t>90%</w:t>
            </w:r>
            <w:r>
              <w:rPr>
                <w:rFonts w:hint="eastAsia" w:ascii="方正仿宋_GBK"/>
                <w:sz w:val="28"/>
                <w:szCs w:val="28"/>
              </w:rPr>
              <w:t>。</w:t>
            </w:r>
          </w:p>
          <w:p>
            <w:pPr>
              <w:widowControl/>
              <w:numPr>
                <w:ilvl w:val="0"/>
                <w:numId w:val="11"/>
              </w:numPr>
              <w:spacing w:line="240" w:lineRule="auto"/>
              <w:ind w:firstLine="560"/>
              <w:jc w:val="both"/>
              <w:rPr>
                <w:rFonts w:ascii="方正仿宋_GBK" w:hAnsi="方正仿宋_GBK" w:cs="方正仿宋_GBK"/>
                <w:sz w:val="28"/>
                <w:szCs w:val="28"/>
              </w:rPr>
            </w:pPr>
            <w:r>
              <w:rPr>
                <w:rFonts w:hint="eastAsia" w:ascii="方正仿宋_GBK"/>
                <w:sz w:val="28"/>
                <w:szCs w:val="28"/>
              </w:rPr>
              <w:t>培肥耕地地力，采取粮（绿）肥轮作、秸秆还田、增施有机肥等综合措施，提升土壤有机质含量。实施测土配方施肥，促进土壤养分相对均衡。新增1个耕地质量监测点，开展长期定位监测。土壤有机质含量宜达到</w:t>
            </w:r>
            <w:r>
              <w:rPr>
                <w:rFonts w:hint="eastAsia" w:cs="方正仿宋_GBK"/>
              </w:rPr>
              <w:t>20g/kg</w:t>
            </w:r>
            <w:r>
              <w:rPr>
                <w:rFonts w:hint="eastAsia" w:ascii="方正仿宋_GBK"/>
                <w:sz w:val="28"/>
                <w:szCs w:val="28"/>
              </w:rPr>
              <w:t>以上，土壤pH值一般保持在</w:t>
            </w:r>
            <w:r>
              <w:rPr>
                <w:rFonts w:hint="eastAsia" w:cs="方正仿宋_GBK"/>
              </w:rPr>
              <w:t>5.5~7.5</w:t>
            </w:r>
            <w:r>
              <w:rPr>
                <w:rFonts w:hint="eastAsia" w:ascii="方正仿宋_GBK"/>
                <w:sz w:val="28"/>
                <w:szCs w:val="28"/>
              </w:rPr>
              <w:t>，耕地质量等级宜达到</w:t>
            </w:r>
            <w:r>
              <w:rPr>
                <w:rFonts w:hint="eastAsia" w:cs="方正仿宋_GBK"/>
              </w:rPr>
              <w:t>4.5</w:t>
            </w:r>
            <w:r>
              <w:rPr>
                <w:rFonts w:hint="eastAsia" w:ascii="方正仿宋_GBK"/>
                <w:sz w:val="28"/>
                <w:szCs w:val="28"/>
              </w:rPr>
              <w:t>等以上。</w:t>
            </w:r>
          </w:p>
        </w:tc>
      </w:tr>
    </w:tbl>
    <w:p>
      <w:pPr>
        <w:spacing w:beforeLines="50" w:line="594" w:lineRule="exact"/>
        <w:ind w:firstLine="643"/>
        <w:rPr>
          <w:rFonts w:cs="方正仿宋_GBK"/>
        </w:rPr>
      </w:pPr>
      <w:r>
        <w:rPr>
          <w:rFonts w:hint="eastAsia" w:cs="方正仿宋_GBK"/>
          <w:b/>
          <w:bCs/>
        </w:rPr>
        <w:t>缙云山脉都市休闲乡村</w:t>
      </w:r>
      <w:r>
        <w:rPr>
          <w:rFonts w:cs="方正仿宋_GBK"/>
          <w:b/>
          <w:bCs/>
        </w:rPr>
        <w:t>高标准农田建设区</w:t>
      </w:r>
      <w:r>
        <w:rPr>
          <w:rFonts w:hint="eastAsia" w:cs="方正仿宋_GBK"/>
          <w:b/>
          <w:bCs/>
        </w:rPr>
        <w:t>：</w:t>
      </w:r>
      <w:r>
        <w:rPr>
          <w:rFonts w:hint="eastAsia" w:cs="Times New Roman"/>
        </w:rPr>
        <w:t>主要包</w:t>
      </w:r>
      <w:r>
        <w:rPr>
          <w:rFonts w:hint="eastAsia" w:cs="方正仿宋_GBK"/>
        </w:rPr>
        <w:t>括凤凰镇、青木关镇和丰文街道位于缙云山脉的区域。高标准农田潜力面积约为0.</w:t>
      </w:r>
      <w:r>
        <w:rPr>
          <w:rFonts w:hint="eastAsia" w:cs="方正仿宋_GBK"/>
          <w:lang w:val="en-US" w:eastAsia="zh-CN"/>
        </w:rPr>
        <w:t>24</w:t>
      </w:r>
      <w:r>
        <w:rPr>
          <w:rFonts w:hint="eastAsia" w:cs="方正仿宋_GBK"/>
        </w:rPr>
        <w:t>万亩左右，其中新建潜力0.</w:t>
      </w:r>
      <w:r>
        <w:rPr>
          <w:rFonts w:hint="eastAsia" w:cs="方正仿宋_GBK"/>
          <w:lang w:val="en-US" w:eastAsia="zh-CN"/>
        </w:rPr>
        <w:t>2</w:t>
      </w:r>
      <w:r>
        <w:rPr>
          <w:rFonts w:hint="eastAsia" w:cs="方正仿宋_GBK"/>
        </w:rPr>
        <w:t>万亩，改造提升潜力0.0</w:t>
      </w:r>
      <w:r>
        <w:rPr>
          <w:rFonts w:hint="eastAsia" w:cs="方正仿宋_GBK"/>
          <w:lang w:val="en-US" w:eastAsia="zh-CN"/>
        </w:rPr>
        <w:t>4</w:t>
      </w:r>
      <w:r>
        <w:rPr>
          <w:rFonts w:hint="eastAsia" w:cs="方正仿宋_GBK"/>
        </w:rPr>
        <w:t>万亩。区域地形复杂，耕地地块比较零碎，散布着多个“农业</w:t>
      </w:r>
      <w:r>
        <w:rPr>
          <w:rFonts w:cs="方正仿宋_GBK"/>
        </w:rPr>
        <w:t>+文创</w:t>
      </w:r>
      <w:r>
        <w:rPr>
          <w:rFonts w:hint="eastAsia" w:cs="方正仿宋_GBK"/>
        </w:rPr>
        <w:t>”项目</w:t>
      </w:r>
      <w:r>
        <w:rPr>
          <w:rFonts w:cs="方正仿宋_GBK"/>
        </w:rPr>
        <w:t>，是大学城及重庆主城市民喜爱的休闲</w:t>
      </w:r>
      <w:r>
        <w:rPr>
          <w:rFonts w:hint="eastAsia" w:cs="方正仿宋_GBK"/>
        </w:rPr>
        <w:t>体验场所。高标准农田建设</w:t>
      </w:r>
      <w:r>
        <w:rPr>
          <w:rFonts w:hint="eastAsia" w:cs="Times New Roman"/>
        </w:rPr>
        <w:t>围绕休闲农业</w:t>
      </w:r>
      <w:r>
        <w:rPr>
          <w:rFonts w:hint="eastAsia" w:cs="方正仿宋_GBK"/>
        </w:rPr>
        <w:t>产业区域进行布局</w:t>
      </w:r>
      <w:r>
        <w:rPr>
          <w:rFonts w:hint="eastAsia" w:cs="Times New Roman"/>
        </w:rPr>
        <w:t>，</w:t>
      </w:r>
      <w:r>
        <w:rPr>
          <w:rFonts w:cs="Times New Roman"/>
        </w:rPr>
        <w:t>以改善农田生态环境为主攻方向，将休闲农业发展与美丽田园建设、创意农业发展、民俗风情园打造、生态休闲旅游</w:t>
      </w:r>
      <w:r>
        <w:rPr>
          <w:rFonts w:hint="eastAsia" w:cs="Times New Roman"/>
        </w:rPr>
        <w:t>、</w:t>
      </w:r>
      <w:r>
        <w:rPr>
          <w:rFonts w:cs="Times New Roman"/>
        </w:rPr>
        <w:t>森林康养等有机融合。</w:t>
      </w:r>
    </w:p>
    <w:p>
      <w:pPr>
        <w:pStyle w:val="13"/>
        <w:ind w:firstLine="0" w:firstLineChars="0"/>
        <w:jc w:val="center"/>
        <w:rPr>
          <w:rFonts w:ascii="Times New Roman" w:hAnsi="Times New Roman" w:eastAsia="方正仿宋_GBK" w:cs="Times New Roman"/>
          <w:b/>
          <w:bCs/>
          <w:sz w:val="28"/>
          <w:szCs w:val="22"/>
        </w:rPr>
      </w:pPr>
      <w:r>
        <w:rPr>
          <w:rFonts w:ascii="Times New Roman" w:hAnsi="Times New Roman" w:eastAsia="方正仿宋_GBK" w:cs="Times New Roman"/>
          <w:b/>
          <w:bCs/>
          <w:sz w:val="28"/>
          <w:szCs w:val="22"/>
        </w:rPr>
        <w:t>专栏</w:t>
      </w:r>
      <w:r>
        <w:rPr>
          <w:rFonts w:hint="eastAsia" w:ascii="Times New Roman" w:hAnsi="Times New Roman" w:eastAsia="方正仿宋_GBK" w:cs="Times New Roman"/>
          <w:b/>
          <w:bCs/>
          <w:sz w:val="28"/>
          <w:szCs w:val="22"/>
        </w:rPr>
        <w:t>3</w:t>
      </w:r>
      <w:r>
        <w:rPr>
          <w:rFonts w:ascii="Times New Roman" w:hAnsi="Times New Roman" w:eastAsia="方正仿宋_GBK" w:cs="Times New Roman"/>
          <w:b/>
          <w:bCs/>
          <w:sz w:val="28"/>
          <w:szCs w:val="22"/>
        </w:rPr>
        <w:t xml:space="preserve"> </w:t>
      </w:r>
      <w:r>
        <w:rPr>
          <w:rFonts w:hint="eastAsia" w:ascii="Times New Roman" w:hAnsi="Times New Roman" w:eastAsia="方正仿宋_GBK" w:cs="Times New Roman"/>
          <w:b/>
          <w:bCs/>
          <w:sz w:val="28"/>
          <w:szCs w:val="22"/>
        </w:rPr>
        <w:t>缙云山脉都市休闲乡村高标准农田建设区</w:t>
      </w:r>
      <w:r>
        <w:rPr>
          <w:rFonts w:ascii="Times New Roman" w:hAnsi="Times New Roman" w:eastAsia="方正仿宋_GBK" w:cs="Times New Roman"/>
          <w:b/>
          <w:bCs/>
          <w:sz w:val="28"/>
          <w:szCs w:val="22"/>
        </w:rPr>
        <w:t>工程建设指引</w:t>
      </w:r>
    </w:p>
    <w:tbl>
      <w:tblPr>
        <w:tblStyle w:val="29"/>
        <w:tblW w:w="8700"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0" w:type="dxa"/>
          </w:tcPr>
          <w:p>
            <w:pPr>
              <w:widowControl/>
              <w:spacing w:line="240" w:lineRule="auto"/>
              <w:ind w:firstLine="560"/>
              <w:jc w:val="left"/>
              <w:rPr>
                <w:sz w:val="28"/>
                <w:szCs w:val="28"/>
              </w:rPr>
            </w:pPr>
            <w:r>
              <w:rPr>
                <w:rFonts w:hint="eastAsia"/>
                <w:sz w:val="28"/>
                <w:szCs w:val="28"/>
              </w:rPr>
              <w:t>1</w:t>
            </w:r>
            <w:r>
              <w:rPr>
                <w:sz w:val="28"/>
                <w:szCs w:val="28"/>
              </w:rPr>
              <w:t>.</w:t>
            </w:r>
            <w:r>
              <w:rPr>
                <w:rFonts w:hint="eastAsia" w:ascii="方正仿宋_GBK"/>
                <w:sz w:val="28"/>
                <w:szCs w:val="28"/>
              </w:rPr>
              <w:t>以蓄水灌溉为主，建设集雨节灌、引提水工程设施，充分利用天然降水，配套完善小型集雨节灌设施和灌排渠系，切实做好雨水拦蓄与利用。配套输配电设施，满足生产和管理需要。水田灌溉设计保证率达到</w:t>
            </w:r>
            <w:r>
              <w:t>75%</w:t>
            </w:r>
            <w:r>
              <w:rPr>
                <w:rFonts w:hint="eastAsia" w:ascii="方正仿宋_GBK"/>
                <w:sz w:val="28"/>
                <w:szCs w:val="28"/>
              </w:rPr>
              <w:t>以上，旱地灌溉设计保证率达到</w:t>
            </w:r>
            <w:r>
              <w:t>70%</w:t>
            </w:r>
            <w:r>
              <w:rPr>
                <w:rFonts w:hint="eastAsia" w:ascii="方正仿宋_GBK"/>
                <w:sz w:val="28"/>
                <w:szCs w:val="28"/>
              </w:rPr>
              <w:t>以上，水稻区农田排水设计暴雨重现期达到</w:t>
            </w:r>
            <w:r>
              <w:t>10</w:t>
            </w:r>
            <w:r>
              <w:rPr>
                <w:rFonts w:hint="eastAsia" w:ascii="方正仿宋_GBK"/>
                <w:sz w:val="28"/>
                <w:szCs w:val="28"/>
              </w:rPr>
              <w:t>年一遇</w:t>
            </w:r>
            <w:r>
              <w:rPr>
                <w:sz w:val="28"/>
                <w:szCs w:val="28"/>
              </w:rPr>
              <w:t>，旱作区农田排水设计暴雨重现期达到</w:t>
            </w:r>
            <w:r>
              <w:t>5~10</w:t>
            </w:r>
            <w:r>
              <w:rPr>
                <w:rFonts w:hint="eastAsia" w:ascii="方正仿宋_GBK"/>
                <w:sz w:val="28"/>
                <w:szCs w:val="28"/>
              </w:rPr>
              <w:t>年一遇</w:t>
            </w:r>
            <w:r>
              <w:rPr>
                <w:sz w:val="28"/>
                <w:szCs w:val="28"/>
              </w:rPr>
              <w:t>。</w:t>
            </w:r>
          </w:p>
          <w:p>
            <w:pPr>
              <w:numPr>
                <w:ilvl w:val="255"/>
                <w:numId w:val="0"/>
              </w:numPr>
              <w:spacing w:line="240" w:lineRule="auto"/>
              <w:ind w:firstLine="560" w:firstLineChars="200"/>
              <w:jc w:val="both"/>
              <w:rPr>
                <w:sz w:val="28"/>
                <w:szCs w:val="28"/>
              </w:rPr>
            </w:pPr>
            <w:r>
              <w:rPr>
                <w:rFonts w:hint="eastAsia" w:ascii="方正仿宋_GBK"/>
                <w:sz w:val="28"/>
                <w:szCs w:val="28"/>
              </w:rPr>
              <w:t>2.开展机耕路、生产路建设和改造，科学配套建设田间道路附属设施，加强耕作区外联通道建设，满足农产品运输及小型农机作业</w:t>
            </w:r>
            <w:r>
              <w:rPr>
                <w:sz w:val="28"/>
                <w:szCs w:val="28"/>
              </w:rPr>
              <w:t>需要。机耕路路面宽度宜为</w:t>
            </w:r>
            <w:r>
              <w:t>3~4</w:t>
            </w:r>
            <w:r>
              <w:rPr>
                <w:sz w:val="28"/>
                <w:szCs w:val="28"/>
              </w:rPr>
              <w:t>m</w:t>
            </w:r>
            <w:r>
              <w:rPr>
                <w:rFonts w:hint="eastAsia" w:ascii="方正仿宋_GBK"/>
                <w:sz w:val="28"/>
                <w:szCs w:val="28"/>
              </w:rPr>
              <w:t>，宜采用</w:t>
            </w:r>
            <w:r>
              <w:rPr>
                <w:sz w:val="28"/>
                <w:szCs w:val="28"/>
              </w:rPr>
              <w:t>泥结石、碎石、混凝土等材质</w:t>
            </w:r>
            <w:r>
              <w:rPr>
                <w:rFonts w:hint="eastAsia" w:ascii="方正仿宋_GBK"/>
                <w:sz w:val="28"/>
                <w:szCs w:val="28"/>
              </w:rPr>
              <w:t>；</w:t>
            </w:r>
            <w:r>
              <w:rPr>
                <w:sz w:val="28"/>
                <w:szCs w:val="28"/>
              </w:rPr>
              <w:t>生产路路面宽度</w:t>
            </w:r>
            <w:r>
              <w:rPr>
                <w:rFonts w:hint="eastAsia" w:ascii="方正仿宋_GBK"/>
                <w:sz w:val="28"/>
                <w:szCs w:val="28"/>
              </w:rPr>
              <w:t>宜为</w:t>
            </w:r>
            <w:r>
              <w:rPr>
                <w:rFonts w:hint="eastAsia"/>
              </w:rPr>
              <w:t>1~3</w:t>
            </w:r>
            <w:r>
              <w:rPr>
                <w:rFonts w:hint="eastAsia"/>
                <w:sz w:val="28"/>
                <w:szCs w:val="28"/>
              </w:rPr>
              <w:t>m，</w:t>
            </w:r>
            <w:r>
              <w:rPr>
                <w:rFonts w:hint="eastAsia" w:ascii="方正仿宋_GBK"/>
                <w:sz w:val="28"/>
                <w:szCs w:val="28"/>
              </w:rPr>
              <w:t>宜采用泥结石、碎石、素土</w:t>
            </w:r>
            <w:r>
              <w:rPr>
                <w:sz w:val="28"/>
                <w:szCs w:val="28"/>
              </w:rPr>
              <w:t>等材质。田间道路通达度不低于</w:t>
            </w:r>
            <w:r>
              <w:t>90%</w:t>
            </w:r>
            <w:r>
              <w:rPr>
                <w:rFonts w:hint="eastAsia" w:ascii="方正仿宋_GBK"/>
                <w:sz w:val="28"/>
                <w:szCs w:val="28"/>
              </w:rPr>
              <w:t>。</w:t>
            </w:r>
          </w:p>
          <w:p>
            <w:pPr>
              <w:widowControl/>
              <w:spacing w:line="240" w:lineRule="auto"/>
              <w:ind w:firstLine="560"/>
              <w:jc w:val="both"/>
              <w:rPr>
                <w:sz w:val="28"/>
                <w:szCs w:val="28"/>
              </w:rPr>
            </w:pPr>
            <w:r>
              <w:rPr>
                <w:rFonts w:hint="eastAsia"/>
                <w:sz w:val="28"/>
                <w:szCs w:val="28"/>
              </w:rPr>
              <w:t>3</w:t>
            </w:r>
            <w:r>
              <w:rPr>
                <w:sz w:val="28"/>
                <w:szCs w:val="28"/>
              </w:rPr>
              <w:t>.</w:t>
            </w:r>
            <w:r>
              <w:rPr>
                <w:rFonts w:hint="eastAsia" w:ascii="方正仿宋_GBK"/>
                <w:sz w:val="28"/>
                <w:szCs w:val="28"/>
              </w:rPr>
              <w:t>培肥耕地地力，采取粮（绿）肥轮作、秸秆还田、增施有机肥等综合措施，提升土壤有机质含量。</w:t>
            </w:r>
            <w:r>
              <w:rPr>
                <w:sz w:val="28"/>
                <w:szCs w:val="28"/>
              </w:rPr>
              <w:t>实施测土配方施肥，促进土壤养分相对均衡。</w:t>
            </w:r>
            <w:r>
              <w:rPr>
                <w:rFonts w:hint="eastAsia" w:ascii="方正仿宋_GBK"/>
                <w:sz w:val="28"/>
                <w:szCs w:val="28"/>
              </w:rPr>
              <w:t>土壤有机质含量</w:t>
            </w:r>
            <w:r>
              <w:rPr>
                <w:sz w:val="28"/>
                <w:szCs w:val="28"/>
              </w:rPr>
              <w:t>宜达到</w:t>
            </w:r>
            <w:r>
              <w:t>20g/kg</w:t>
            </w:r>
            <w:r>
              <w:rPr>
                <w:rFonts w:hint="eastAsia" w:ascii="方正仿宋_GBK"/>
                <w:sz w:val="28"/>
                <w:szCs w:val="28"/>
              </w:rPr>
              <w:t>以上，土壤</w:t>
            </w:r>
            <w:r>
              <w:rPr>
                <w:sz w:val="28"/>
                <w:szCs w:val="28"/>
              </w:rPr>
              <w:t>pH</w:t>
            </w:r>
            <w:r>
              <w:rPr>
                <w:rFonts w:hint="eastAsia" w:ascii="方正仿宋_GBK"/>
                <w:sz w:val="28"/>
                <w:szCs w:val="28"/>
              </w:rPr>
              <w:t>值</w:t>
            </w:r>
            <w:r>
              <w:rPr>
                <w:sz w:val="28"/>
                <w:szCs w:val="28"/>
              </w:rPr>
              <w:t>一般保持在</w:t>
            </w:r>
            <w:r>
              <w:t>5.5~7.5</w:t>
            </w:r>
            <w:r>
              <w:rPr>
                <w:rFonts w:ascii="方正仿宋_GBK"/>
                <w:sz w:val="28"/>
                <w:szCs w:val="28"/>
              </w:rPr>
              <w:t>，耕地质量等级宜达到</w:t>
            </w:r>
            <w:r>
              <w:t>4.5</w:t>
            </w:r>
            <w:r>
              <w:rPr>
                <w:rFonts w:hint="eastAsia" w:ascii="方正仿宋_GBK"/>
                <w:sz w:val="28"/>
                <w:szCs w:val="28"/>
              </w:rPr>
              <w:t>等以上。</w:t>
            </w:r>
          </w:p>
          <w:p>
            <w:pPr>
              <w:numPr>
                <w:ilvl w:val="255"/>
                <w:numId w:val="0"/>
              </w:numPr>
              <w:spacing w:line="240" w:lineRule="auto"/>
              <w:ind w:firstLine="560" w:firstLineChars="200"/>
              <w:jc w:val="both"/>
            </w:pPr>
            <w:r>
              <w:rPr>
                <w:rFonts w:hint="eastAsia"/>
                <w:sz w:val="28"/>
                <w:szCs w:val="28"/>
              </w:rPr>
              <w:t>4</w:t>
            </w:r>
            <w:r>
              <w:rPr>
                <w:sz w:val="28"/>
                <w:szCs w:val="28"/>
              </w:rPr>
              <w:t>.</w:t>
            </w:r>
            <w:r>
              <w:rPr>
                <w:rFonts w:hint="eastAsia" w:ascii="方正仿宋_GBK"/>
                <w:sz w:val="28"/>
                <w:szCs w:val="28"/>
              </w:rPr>
              <w:t>农田林网应与田块、沟渠、道路有机衔接，合理开展岸坡防护、沟道治理、坡面防护等工程建设。应与农村居民点景观建设相协调，选择适宜的乡土树种，宜采用长方形网格配置。农田防护面积比例</w:t>
            </w:r>
            <w:r>
              <w:rPr>
                <w:sz w:val="28"/>
                <w:szCs w:val="28"/>
              </w:rPr>
              <w:t>应不低于</w:t>
            </w:r>
            <w:r>
              <w:t>90%</w:t>
            </w:r>
            <w:r>
              <w:rPr>
                <w:rFonts w:hint="eastAsia" w:ascii="方正仿宋_GBK"/>
                <w:sz w:val="28"/>
                <w:szCs w:val="28"/>
              </w:rPr>
              <w:t>，农田生态环境得到改善，耕地农田景观、生态和休闲功能有效发挥。</w:t>
            </w:r>
          </w:p>
        </w:tc>
      </w:tr>
    </w:tbl>
    <w:p>
      <w:pPr>
        <w:ind w:left="0" w:leftChars="0" w:firstLine="0" w:firstLineChars="0"/>
        <w:rPr>
          <w:rFonts w:hint="eastAsia" w:eastAsia="方正仿宋_GBK"/>
          <w:lang w:eastAsia="zh-CN"/>
        </w:rPr>
      </w:pPr>
      <w:bookmarkStart w:id="18" w:name="_Toc8810"/>
      <w:r>
        <w:rPr>
          <w:sz w:val="32"/>
        </w:rPr>
        <mc:AlternateContent>
          <mc:Choice Requires="wps">
            <w:drawing>
              <wp:anchor distT="0" distB="0" distL="114300" distR="114300" simplePos="0" relativeHeight="251671552" behindDoc="0" locked="0" layoutInCell="1" allowOverlap="1">
                <wp:simplePos x="0" y="0"/>
                <wp:positionH relativeFrom="column">
                  <wp:posOffset>458470</wp:posOffset>
                </wp:positionH>
                <wp:positionV relativeFrom="paragraph">
                  <wp:posOffset>5901055</wp:posOffset>
                </wp:positionV>
                <wp:extent cx="340360" cy="149860"/>
                <wp:effectExtent l="27305" t="26670" r="32385" b="33020"/>
                <wp:wrapNone/>
                <wp:docPr id="28" name="自选图形 23"/>
                <wp:cNvGraphicFramePr/>
                <a:graphic xmlns:a="http://schemas.openxmlformats.org/drawingml/2006/main">
                  <a:graphicData uri="http://schemas.microsoft.com/office/word/2010/wordprocessingShape">
                    <wps:wsp>
                      <wps:cNvSpPr/>
                      <wps:spPr>
                        <a:xfrm>
                          <a:off x="0" y="0"/>
                          <a:ext cx="340360" cy="149860"/>
                        </a:xfrm>
                        <a:prstGeom prst="flowChartAlternateProcess">
                          <a:avLst/>
                        </a:prstGeom>
                        <a:noFill/>
                        <a:ln w="28575" cap="flat" cmpd="sng">
                          <a:solidFill>
                            <a:srgbClr val="00B0F0"/>
                          </a:solidFill>
                          <a:prstDash val="solid"/>
                          <a:miter/>
                          <a:headEnd type="none" w="med" len="med"/>
                          <a:tailEnd type="none" w="med" len="med"/>
                        </a:ln>
                        <a:effectLst>
                          <a:prstShdw prst="shdw17" dist="17961" dir="13499999">
                            <a:srgbClr val="00B0F0">
                              <a:gamma/>
                              <a:shade val="60000"/>
                              <a:invGamma/>
                              <a:alpha val="100000"/>
                            </a:srgbClr>
                          </a:prstShdw>
                        </a:effectLst>
                      </wps:spPr>
                      <wps:bodyPr upright="1"/>
                    </wps:wsp>
                  </a:graphicData>
                </a:graphic>
              </wp:anchor>
            </w:drawing>
          </mc:Choice>
          <mc:Fallback>
            <w:pict>
              <v:shape id="自选图形 23" o:spid="_x0000_s1026" o:spt="176" type="#_x0000_t176" style="position:absolute;left:0pt;margin-left:36.1pt;margin-top:464.65pt;height:11.8pt;width:26.8pt;z-index:251671552;mso-width-relative:page;mso-height-relative:page;" filled="f" stroked="t" coordsize="21600,21600" o:gfxdata="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V0mvr2AAAAAoBAAAPAAAAAAAAAAEA&#10;IAAAACIAAABkcnMvZG93bnJldi54bWxQSwECFAAUAAAACACHTuJAFT5ZgkgCAACKBAAADgAAAAAA&#10;AAABACAAAAAnAQAAZHJzL2Uyb0RvYy54bWxQSwUGAAAAAAYABgBZAQAA4QUAAAAA&#10;">
                <v:fill on="f" focussize="0,0"/>
                <v:stroke weight="2.25pt" color="#00B0F0" joinstyle="miter"/>
                <v:imagedata embosscolor="shadow add(51)" o:title=""/>
                <o:lock v:ext="edit" aspectratio="f"/>
                <v:shadow on="t" type="emboss" color="#006A90" color2="shadow add(102)" offset="-1pt,-1pt" origin="0f,0f" matrix="65536f,0f,0f,65536f,0,0"/>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461010</wp:posOffset>
                </wp:positionH>
                <wp:positionV relativeFrom="paragraph">
                  <wp:posOffset>6176645</wp:posOffset>
                </wp:positionV>
                <wp:extent cx="340360" cy="149860"/>
                <wp:effectExtent l="31750" t="31750" r="46990" b="27940"/>
                <wp:wrapNone/>
                <wp:docPr id="29" name="自选图形 24"/>
                <wp:cNvGraphicFramePr/>
                <a:graphic xmlns:a="http://schemas.openxmlformats.org/drawingml/2006/main">
                  <a:graphicData uri="http://schemas.microsoft.com/office/word/2010/wordprocessingShape">
                    <wps:wsp>
                      <wps:cNvSpPr/>
                      <wps:spPr>
                        <a:xfrm>
                          <a:off x="0" y="0"/>
                          <a:ext cx="340360" cy="149860"/>
                        </a:xfrm>
                        <a:prstGeom prst="flowChartAlternateProcess">
                          <a:avLst/>
                        </a:prstGeom>
                        <a:noFill/>
                        <a:ln w="38100" cap="flat" cmpd="sng">
                          <a:solidFill>
                            <a:srgbClr val="70AD47"/>
                          </a:solidFill>
                          <a:prstDash val="solid"/>
                          <a:miter/>
                          <a:headEnd type="none" w="med" len="med"/>
                          <a:tailEnd type="none" w="med" len="med"/>
                        </a:ln>
                        <a:effectLst>
                          <a:prstShdw prst="shdw17" dist="17961" dir="13499999">
                            <a:srgbClr val="70AD47">
                              <a:gamma/>
                              <a:shade val="60000"/>
                              <a:invGamma/>
                              <a:alpha val="100000"/>
                            </a:srgbClr>
                          </a:prstShdw>
                        </a:effectLst>
                      </wps:spPr>
                      <wps:bodyPr upright="1"/>
                    </wps:wsp>
                  </a:graphicData>
                </a:graphic>
              </wp:anchor>
            </w:drawing>
          </mc:Choice>
          <mc:Fallback>
            <w:pict>
              <v:shape id="自选图形 24" o:spid="_x0000_s1026" o:spt="176" type="#_x0000_t176" style="position:absolute;left:0pt;margin-left:36.3pt;margin-top:486.35pt;height:11.8pt;width:26.8pt;z-index:251672576;mso-width-relative:page;mso-height-relative:page;" filled="f" stroked="t" coordsize="21600,21600" o:gfxdata="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PDTm3YAAAACgEAAA8AAAAAAAAA&#10;AQAgAAAAIgAAAGRycy9kb3ducmV2LnhtbFBLAQIUABQAAAAIAIdO4kARKQ1nSgIAAIoEAAAOAAAA&#10;AAAAAAEAIAAAACcBAABkcnMvZTJvRG9jLnhtbFBLBQYAAAAABgAGAFkBAADjBQAAAAA=&#10;">
                <v:fill on="f" focussize="0,0"/>
                <v:stroke weight="3pt" color="#70AD47" joinstyle="miter"/>
                <v:imagedata embosscolor="shadow add(51)" o:title=""/>
                <o:lock v:ext="edit" aspectratio="f"/>
                <v:shadow on="t" type="emboss" color="#43682B" color2="shadow add(102)" offset="-1pt,-1pt" origin="0f,0f" matrix="65536f,0f,0f,65536f,0,0"/>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469265</wp:posOffset>
                </wp:positionH>
                <wp:positionV relativeFrom="paragraph">
                  <wp:posOffset>5640705</wp:posOffset>
                </wp:positionV>
                <wp:extent cx="340360" cy="149860"/>
                <wp:effectExtent l="27305" t="26670" r="32385" b="33020"/>
                <wp:wrapNone/>
                <wp:docPr id="15" name="自选图形 22"/>
                <wp:cNvGraphicFramePr/>
                <a:graphic xmlns:a="http://schemas.openxmlformats.org/drawingml/2006/main">
                  <a:graphicData uri="http://schemas.microsoft.com/office/word/2010/wordprocessingShape">
                    <wps:wsp>
                      <wps:cNvSpPr/>
                      <wps:spPr>
                        <a:xfrm>
                          <a:off x="0" y="0"/>
                          <a:ext cx="340360" cy="149860"/>
                        </a:xfrm>
                        <a:prstGeom prst="flowChartAlternateProcess">
                          <a:avLst/>
                        </a:prstGeom>
                        <a:noFill/>
                        <a:ln w="28575" cap="flat" cmpd="sng">
                          <a:solidFill>
                            <a:srgbClr val="FF0000"/>
                          </a:solidFill>
                          <a:prstDash val="solid"/>
                          <a:miter/>
                          <a:headEnd type="none" w="med" len="med"/>
                          <a:tailEnd type="none" w="med" len="med"/>
                        </a:ln>
                        <a:effectLst>
                          <a:prstShdw prst="shdw17" dist="17961" dir="13499999">
                            <a:srgbClr val="FF0000">
                              <a:gamma/>
                              <a:shade val="60000"/>
                              <a:invGamma/>
                              <a:alpha val="100000"/>
                            </a:srgbClr>
                          </a:prstShdw>
                        </a:effectLst>
                      </wps:spPr>
                      <wps:bodyPr upright="1"/>
                    </wps:wsp>
                  </a:graphicData>
                </a:graphic>
              </wp:anchor>
            </w:drawing>
          </mc:Choice>
          <mc:Fallback>
            <w:pict>
              <v:shape id="自选图形 22" o:spid="_x0000_s1026" o:spt="176" type="#_x0000_t176" style="position:absolute;left:0pt;margin-left:36.95pt;margin-top:444.15pt;height:11.8pt;width:26.8pt;z-index:251662336;mso-width-relative:page;mso-height-relative:page;" filled="f" stroked="t" coordsize="21600,21600" o:gfxdata="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TOM2AAAAAoBAAAPAAAAAAAAAAEA&#10;IAAAACIAAABkcnMvZG93bnJldi54bWxQSwECFAAUAAAACACHTuJAkQWUiEgCAACKBAAADgAAAAAA&#10;AAABACAAAAAnAQAAZHJzL2Uyb0RvYy54bWxQSwUGAAAAAAYABgBZAQAA4QUAAAAA&#10;">
                <v:fill on="f" focussize="0,0"/>
                <v:stroke weight="2.25pt" color="#FF0000" joinstyle="miter"/>
                <v:imagedata embosscolor="shadow add(51)" o:title=""/>
                <o:lock v:ext="edit" aspectratio="f"/>
                <v:shadow on="t" type="emboss" color="#990000" color2="shadow add(102)" offset="-1pt,-1pt" origin="0f,0f" matrix="65536f,0f,0f,65536f,0,0"/>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955675</wp:posOffset>
                </wp:positionH>
                <wp:positionV relativeFrom="paragraph">
                  <wp:posOffset>5558155</wp:posOffset>
                </wp:positionV>
                <wp:extent cx="2956560" cy="930275"/>
                <wp:effectExtent l="0" t="0" r="15240" b="3175"/>
                <wp:wrapNone/>
                <wp:docPr id="20" name="文本框 18"/>
                <wp:cNvGraphicFramePr/>
                <a:graphic xmlns:a="http://schemas.openxmlformats.org/drawingml/2006/main">
                  <a:graphicData uri="http://schemas.microsoft.com/office/word/2010/wordprocessingShape">
                    <wps:wsp>
                      <wps:cNvSpPr txBox="1"/>
                      <wps:spPr>
                        <a:xfrm>
                          <a:off x="0" y="0"/>
                          <a:ext cx="2956560" cy="930275"/>
                        </a:xfrm>
                        <a:prstGeom prst="rect">
                          <a:avLst/>
                        </a:prstGeom>
                        <a:solidFill>
                          <a:srgbClr val="D9D9D9"/>
                        </a:solidFill>
                        <a:ln>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中梁山脉渡淡蔬菜高标准农田建设带</w:t>
                            </w:r>
                          </w:p>
                          <w:p>
                            <w:pPr>
                              <w:pStyle w:val="2"/>
                              <w:keepNext w:val="0"/>
                              <w:keepLines w:val="0"/>
                              <w:pageBreakBefore w:val="0"/>
                              <w:widowControl w:val="0"/>
                              <w:kinsoku/>
                              <w:wordWrap/>
                              <w:overflowPunct/>
                              <w:topLinePunct w:val="0"/>
                              <w:autoSpaceDE/>
                              <w:autoSpaceDN/>
                              <w:bidi w:val="0"/>
                              <w:adjustRightInd/>
                              <w:snapToGrid w:val="0"/>
                              <w:spacing w:before="0" w:after="0" w:line="240" w:lineRule="auto"/>
                              <w:ind w:firstLine="0" w:firstLineChars="0"/>
                              <w:jc w:val="both"/>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梁滩河流域特色粮油高标准农田建设区</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缙云山脉都市休闲乡村高标准农田建设区</w:t>
                            </w:r>
                          </w:p>
                        </w:txbxContent>
                      </wps:txbx>
                      <wps:bodyPr upright="1"/>
                    </wps:wsp>
                  </a:graphicData>
                </a:graphic>
              </wp:anchor>
            </w:drawing>
          </mc:Choice>
          <mc:Fallback>
            <w:pict>
              <v:shape id="文本框 18" o:spid="_x0000_s1026" o:spt="202" type="#_x0000_t202" style="position:absolute;left:0pt;margin-left:75.25pt;margin-top:437.65pt;height:73.25pt;width:232.8pt;z-index:251666432;mso-width-relative:page;mso-height-relative:page;" fillcolor="#D9D9D9" filled="t" stroked="f" coordsize="21600,21600" o:gfxdata="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PfgjbZAAAADAEA&#10;AA8AAAAAAAAAAQAgAAAAIgAAAGRycy9kb3ducmV2LnhtbFBLAQIUABQAAAAIAIdO4kCk67oOpwEA&#10;ACsDAAAOAAAAAAAAAAEAIAAAACgBAABkcnMvZTJvRG9jLnhtbFBLBQYAAAAABgAGAFkBAABBBQAA&#10;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中梁山脉渡淡蔬菜高标准农田建设带</w:t>
                      </w:r>
                    </w:p>
                    <w:p>
                      <w:pPr>
                        <w:pStyle w:val="2"/>
                        <w:keepNext w:val="0"/>
                        <w:keepLines w:val="0"/>
                        <w:pageBreakBefore w:val="0"/>
                        <w:widowControl w:val="0"/>
                        <w:kinsoku/>
                        <w:wordWrap/>
                        <w:overflowPunct/>
                        <w:topLinePunct w:val="0"/>
                        <w:autoSpaceDE/>
                        <w:autoSpaceDN/>
                        <w:bidi w:val="0"/>
                        <w:adjustRightInd/>
                        <w:snapToGrid w:val="0"/>
                        <w:spacing w:before="0" w:after="0" w:line="240" w:lineRule="auto"/>
                        <w:ind w:firstLine="0" w:firstLineChars="0"/>
                        <w:jc w:val="both"/>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梁滩河流域特色粮油高标准农田建设区</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缙云山脉都市休闲乡村高标准农田建设区</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6260465</wp:posOffset>
                </wp:positionH>
                <wp:positionV relativeFrom="paragraph">
                  <wp:posOffset>3805555</wp:posOffset>
                </wp:positionV>
                <wp:extent cx="508000" cy="4264025"/>
                <wp:effectExtent l="0" t="0" r="0" b="0"/>
                <wp:wrapNone/>
                <wp:docPr id="27" name="文本框 20"/>
                <wp:cNvGraphicFramePr/>
                <a:graphic xmlns:a="http://schemas.openxmlformats.org/drawingml/2006/main">
                  <a:graphicData uri="http://schemas.microsoft.com/office/word/2010/wordprocessingShape">
                    <wps:wsp>
                      <wps:cNvSpPr txBox="1"/>
                      <wps:spPr>
                        <a:xfrm>
                          <a:off x="0" y="0"/>
                          <a:ext cx="508000" cy="4264025"/>
                        </a:xfrm>
                        <a:prstGeom prst="rect">
                          <a:avLst/>
                        </a:prstGeom>
                        <a:noFill/>
                        <a:ln>
                          <a:noFill/>
                        </a:ln>
                      </wps:spPr>
                      <wps:txbx>
                        <w:txbxContent>
                          <w:p/>
                        </w:txbxContent>
                      </wps:txbx>
                      <wps:bodyPr vert="eaVert" upright="1"/>
                    </wps:wsp>
                  </a:graphicData>
                </a:graphic>
              </wp:anchor>
            </w:drawing>
          </mc:Choice>
          <mc:Fallback>
            <w:pict>
              <v:shape id="文本框 20" o:spid="_x0000_s1026" o:spt="202" type="#_x0000_t202" style="position:absolute;left:0pt;margin-left:492.95pt;margin-top:299.65pt;height:335.75pt;width:40pt;z-index:251670528;mso-width-relative:page;mso-height-relative:page;" filled="f" stroked="f" coordsize="21600,21600" o:gfxdata="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LLZZvzcAAAADQEAAA8AAAAAAAAAAQAgAAAA&#10;IgAAAGRycy9kb3ducmV2LnhtbFBLAQIUABQAAAAIAIdO4kCemO7LlQEAABADAAAOAAAAAAAAAAEA&#10;IAAAACsBAABkcnMvZTJvRG9jLnhtbFBLBQYAAAAABgAGAFkBAAAyBQAAAAA=&#10;">
                <v:fill on="f" focussize="0,0"/>
                <v:stroke on="f"/>
                <v:imagedata o:title=""/>
                <o:lock v:ext="edit" aspectratio="f"/>
                <v:textbox style="layout-flow:vertical-ideographic;">
                  <w:txbxContent>
                    <w:p/>
                  </w:txbxContent>
                </v:textbox>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5490210</wp:posOffset>
                </wp:positionH>
                <wp:positionV relativeFrom="paragraph">
                  <wp:posOffset>4366895</wp:posOffset>
                </wp:positionV>
                <wp:extent cx="508000" cy="4264025"/>
                <wp:effectExtent l="0" t="0" r="0" b="0"/>
                <wp:wrapNone/>
                <wp:docPr id="26" name="文本框 19"/>
                <wp:cNvGraphicFramePr/>
                <a:graphic xmlns:a="http://schemas.openxmlformats.org/drawingml/2006/main">
                  <a:graphicData uri="http://schemas.microsoft.com/office/word/2010/wordprocessingShape">
                    <wps:wsp>
                      <wps:cNvSpPr txBox="1"/>
                      <wps:spPr>
                        <a:xfrm>
                          <a:off x="0" y="0"/>
                          <a:ext cx="508000" cy="4264025"/>
                        </a:xfrm>
                        <a:prstGeom prst="rect">
                          <a:avLst/>
                        </a:prstGeom>
                        <a:noFill/>
                        <a:ln>
                          <a:noFill/>
                        </a:ln>
                      </wps:spPr>
                      <wps:txbx>
                        <w:txbxContent>
                          <w:p/>
                        </w:txbxContent>
                      </wps:txbx>
                      <wps:bodyPr vert="eaVert" upright="1"/>
                    </wps:wsp>
                  </a:graphicData>
                </a:graphic>
              </wp:anchor>
            </w:drawing>
          </mc:Choice>
          <mc:Fallback>
            <w:pict>
              <v:shape id="文本框 19" o:spid="_x0000_s1026" o:spt="202" type="#_x0000_t202" style="position:absolute;left:0pt;margin-left:432.3pt;margin-top:343.85pt;height:335.75pt;width:40pt;z-index:251669504;mso-width-relative:page;mso-height-relative:page;" filled="f" stroked="f" coordsize="21600,21600" o:gfxdata="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c2YjrcAAAADAEAAA8AAAAAAAAA&#10;AQAgAAAAIgAAAGRycy9kb3ducmV2LnhtbFBLAQIUABQAAAAIAIdO4kCs+Z4EmwEAABADAAAOAAAA&#10;AAAAAAEAIAAAACsBAABkcnMvZTJvRG9jLnhtbFBLBQYAAAAABgAGAFkBAAA4BQAAAAA=&#10;">
                <v:fill on="f" focussize="0,0"/>
                <v:stroke on="f"/>
                <v:imagedata o:title=""/>
                <o:lock v:ext="edit" aspectratio="f"/>
                <v:textbox style="layout-flow:vertical-ideographic;">
                  <w:txbxContent>
                    <w:p/>
                  </w:txbxContent>
                </v:textbox>
              </v:shape>
            </w:pict>
          </mc:Fallback>
        </mc:AlternateContent>
      </w:r>
      <w:r>
        <w:rPr>
          <w:sz w:val="32"/>
        </w:rPr>
        <mc:AlternateContent>
          <mc:Choice Requires="wpg">
            <w:drawing>
              <wp:anchor distT="0" distB="0" distL="114300" distR="114300" simplePos="0" relativeHeight="251667456" behindDoc="0" locked="0" layoutInCell="1" allowOverlap="1">
                <wp:simplePos x="0" y="0"/>
                <wp:positionH relativeFrom="column">
                  <wp:posOffset>1283335</wp:posOffset>
                </wp:positionH>
                <wp:positionV relativeFrom="paragraph">
                  <wp:posOffset>1002665</wp:posOffset>
                </wp:positionV>
                <wp:extent cx="3524885" cy="6263640"/>
                <wp:effectExtent l="0" t="15875" r="19685" b="6985"/>
                <wp:wrapNone/>
                <wp:docPr id="24" name="组合 21"/>
                <wp:cNvGraphicFramePr/>
                <a:graphic xmlns:a="http://schemas.openxmlformats.org/drawingml/2006/main">
                  <a:graphicData uri="http://schemas.microsoft.com/office/word/2010/wordprocessingGroup">
                    <wpg:wgp>
                      <wpg:cNvGrpSpPr/>
                      <wpg:grpSpPr>
                        <a:xfrm>
                          <a:off x="0" y="0"/>
                          <a:ext cx="3524885" cy="6263640"/>
                          <a:chOff x="4367" y="209114"/>
                          <a:chExt cx="5551" cy="9864"/>
                        </a:xfrm>
                      </wpg:grpSpPr>
                      <wps:wsp>
                        <wps:cNvPr id="21" name="任意多边形 12"/>
                        <wps:cNvSpPr/>
                        <wps:spPr>
                          <a:xfrm>
                            <a:off x="8008" y="209114"/>
                            <a:ext cx="1910" cy="9865"/>
                          </a:xfrm>
                          <a:custGeom>
                            <a:avLst/>
                            <a:gdLst/>
                            <a:ahLst/>
                            <a:cxnLst/>
                            <a:pathLst>
                              <a:path w="1910" h="9865">
                                <a:moveTo>
                                  <a:pt x="247" y="415"/>
                                </a:moveTo>
                                <a:cubicBezTo>
                                  <a:pt x="219" y="445"/>
                                  <a:pt x="110" y="488"/>
                                  <a:pt x="127" y="606"/>
                                </a:cubicBezTo>
                                <a:cubicBezTo>
                                  <a:pt x="144" y="724"/>
                                  <a:pt x="319" y="724"/>
                                  <a:pt x="331" y="1003"/>
                                </a:cubicBezTo>
                                <a:cubicBezTo>
                                  <a:pt x="343" y="1282"/>
                                  <a:pt x="233" y="1634"/>
                                  <a:pt x="187" y="1999"/>
                                </a:cubicBezTo>
                                <a:cubicBezTo>
                                  <a:pt x="141" y="2364"/>
                                  <a:pt x="98" y="2416"/>
                                  <a:pt x="103" y="2826"/>
                                </a:cubicBezTo>
                                <a:cubicBezTo>
                                  <a:pt x="108" y="3236"/>
                                  <a:pt x="221" y="3664"/>
                                  <a:pt x="211" y="4051"/>
                                </a:cubicBezTo>
                                <a:cubicBezTo>
                                  <a:pt x="201" y="4438"/>
                                  <a:pt x="0" y="4512"/>
                                  <a:pt x="55" y="4759"/>
                                </a:cubicBezTo>
                                <a:cubicBezTo>
                                  <a:pt x="110" y="5006"/>
                                  <a:pt x="398" y="4897"/>
                                  <a:pt x="487" y="5286"/>
                                </a:cubicBezTo>
                                <a:cubicBezTo>
                                  <a:pt x="576" y="5675"/>
                                  <a:pt x="504" y="6201"/>
                                  <a:pt x="499" y="6703"/>
                                </a:cubicBezTo>
                                <a:cubicBezTo>
                                  <a:pt x="494" y="7205"/>
                                  <a:pt x="384" y="7533"/>
                                  <a:pt x="463" y="7795"/>
                                </a:cubicBezTo>
                                <a:cubicBezTo>
                                  <a:pt x="542" y="8057"/>
                                  <a:pt x="806" y="7843"/>
                                  <a:pt x="895" y="8011"/>
                                </a:cubicBezTo>
                                <a:cubicBezTo>
                                  <a:pt x="984" y="8179"/>
                                  <a:pt x="931" y="8357"/>
                                  <a:pt x="907" y="8635"/>
                                </a:cubicBezTo>
                                <a:cubicBezTo>
                                  <a:pt x="883" y="8913"/>
                                  <a:pt x="809" y="9185"/>
                                  <a:pt x="775" y="9403"/>
                                </a:cubicBezTo>
                                <a:cubicBezTo>
                                  <a:pt x="741" y="9621"/>
                                  <a:pt x="641" y="9644"/>
                                  <a:pt x="739" y="9726"/>
                                </a:cubicBezTo>
                                <a:cubicBezTo>
                                  <a:pt x="837" y="9808"/>
                                  <a:pt x="1125" y="9847"/>
                                  <a:pt x="1267" y="9811"/>
                                </a:cubicBezTo>
                                <a:cubicBezTo>
                                  <a:pt x="1409" y="9775"/>
                                  <a:pt x="1389" y="9865"/>
                                  <a:pt x="1447" y="9546"/>
                                </a:cubicBezTo>
                                <a:cubicBezTo>
                                  <a:pt x="1505" y="9227"/>
                                  <a:pt x="1553" y="8683"/>
                                  <a:pt x="1555" y="8215"/>
                                </a:cubicBezTo>
                                <a:cubicBezTo>
                                  <a:pt x="1557" y="7747"/>
                                  <a:pt x="1481" y="7633"/>
                                  <a:pt x="1459" y="7206"/>
                                </a:cubicBezTo>
                                <a:cubicBezTo>
                                  <a:pt x="1437" y="6779"/>
                                  <a:pt x="1464" y="6566"/>
                                  <a:pt x="1447" y="6079"/>
                                </a:cubicBezTo>
                                <a:cubicBezTo>
                                  <a:pt x="1430" y="5592"/>
                                  <a:pt x="1392" y="5155"/>
                                  <a:pt x="1375" y="4771"/>
                                </a:cubicBezTo>
                                <a:cubicBezTo>
                                  <a:pt x="1358" y="4387"/>
                                  <a:pt x="1375" y="4634"/>
                                  <a:pt x="1363" y="4159"/>
                                </a:cubicBezTo>
                                <a:cubicBezTo>
                                  <a:pt x="1351" y="3684"/>
                                  <a:pt x="1274" y="2978"/>
                                  <a:pt x="1315" y="2395"/>
                                </a:cubicBezTo>
                                <a:cubicBezTo>
                                  <a:pt x="1356" y="1812"/>
                                  <a:pt x="1461" y="1617"/>
                                  <a:pt x="1567" y="1243"/>
                                </a:cubicBezTo>
                                <a:cubicBezTo>
                                  <a:pt x="1673" y="869"/>
                                  <a:pt x="1790" y="739"/>
                                  <a:pt x="1843" y="523"/>
                                </a:cubicBezTo>
                                <a:cubicBezTo>
                                  <a:pt x="1896" y="307"/>
                                  <a:pt x="1910" y="261"/>
                                  <a:pt x="1831" y="163"/>
                                </a:cubicBezTo>
                                <a:cubicBezTo>
                                  <a:pt x="1752" y="65"/>
                                  <a:pt x="1610" y="48"/>
                                  <a:pt x="1447" y="31"/>
                                </a:cubicBezTo>
                                <a:cubicBezTo>
                                  <a:pt x="1284" y="14"/>
                                  <a:pt x="1142" y="0"/>
                                  <a:pt x="1015" y="79"/>
                                </a:cubicBezTo>
                                <a:cubicBezTo>
                                  <a:pt x="888" y="158"/>
                                  <a:pt x="902" y="361"/>
                                  <a:pt x="811" y="426"/>
                                </a:cubicBezTo>
                                <a:cubicBezTo>
                                  <a:pt x="720" y="491"/>
                                  <a:pt x="648" y="412"/>
                                  <a:pt x="559" y="403"/>
                                </a:cubicBezTo>
                                <a:cubicBezTo>
                                  <a:pt x="470" y="394"/>
                                  <a:pt x="429" y="377"/>
                                  <a:pt x="367" y="379"/>
                                </a:cubicBezTo>
                                <a:cubicBezTo>
                                  <a:pt x="305" y="381"/>
                                  <a:pt x="267" y="407"/>
                                  <a:pt x="247" y="415"/>
                                </a:cubicBezTo>
                                <a:close/>
                              </a:path>
                            </a:pathLst>
                          </a:custGeom>
                          <a:noFill/>
                          <a:ln w="28575" cap="flat" cmpd="sng">
                            <a:solidFill>
                              <a:srgbClr val="FF0000"/>
                            </a:solidFill>
                            <a:prstDash val="solid"/>
                            <a:headEnd type="none" w="med" len="med"/>
                            <a:tailEnd type="none" w="med" len="med"/>
                          </a:ln>
                          <a:effectLst>
                            <a:prstShdw prst="shdw17" dist="17961" dir="13499999">
                              <a:srgbClr val="FF0000">
                                <a:gamma/>
                                <a:shade val="60000"/>
                                <a:invGamma/>
                                <a:alpha val="100000"/>
                              </a:srgbClr>
                            </a:prstShdw>
                          </a:effectLst>
                        </wps:spPr>
                        <wps:bodyPr upright="1"/>
                      </wps:wsp>
                      <wps:wsp>
                        <wps:cNvPr id="22" name="任意多边形 14"/>
                        <wps:cNvSpPr/>
                        <wps:spPr>
                          <a:xfrm>
                            <a:off x="6200" y="209292"/>
                            <a:ext cx="1947" cy="5637"/>
                          </a:xfrm>
                          <a:custGeom>
                            <a:avLst/>
                            <a:gdLst/>
                            <a:ahLst/>
                            <a:cxnLst/>
                            <a:pathLst>
                              <a:path w="1947" h="5637">
                                <a:moveTo>
                                  <a:pt x="365" y="525"/>
                                </a:moveTo>
                                <a:cubicBezTo>
                                  <a:pt x="353" y="567"/>
                                  <a:pt x="259" y="676"/>
                                  <a:pt x="353" y="753"/>
                                </a:cubicBezTo>
                                <a:cubicBezTo>
                                  <a:pt x="447" y="830"/>
                                  <a:pt x="739" y="808"/>
                                  <a:pt x="833" y="909"/>
                                </a:cubicBezTo>
                                <a:cubicBezTo>
                                  <a:pt x="927" y="1010"/>
                                  <a:pt x="888" y="1110"/>
                                  <a:pt x="821" y="1256"/>
                                </a:cubicBezTo>
                                <a:cubicBezTo>
                                  <a:pt x="754" y="1402"/>
                                  <a:pt x="586" y="1478"/>
                                  <a:pt x="497" y="1641"/>
                                </a:cubicBezTo>
                                <a:cubicBezTo>
                                  <a:pt x="408" y="1804"/>
                                  <a:pt x="365" y="1898"/>
                                  <a:pt x="377" y="2073"/>
                                </a:cubicBezTo>
                                <a:cubicBezTo>
                                  <a:pt x="389" y="2248"/>
                                  <a:pt x="555" y="2276"/>
                                  <a:pt x="557" y="2516"/>
                                </a:cubicBezTo>
                                <a:cubicBezTo>
                                  <a:pt x="559" y="2756"/>
                                  <a:pt x="466" y="3023"/>
                                  <a:pt x="389" y="3273"/>
                                </a:cubicBezTo>
                                <a:cubicBezTo>
                                  <a:pt x="312" y="3523"/>
                                  <a:pt x="245" y="3539"/>
                                  <a:pt x="173" y="3765"/>
                                </a:cubicBezTo>
                                <a:cubicBezTo>
                                  <a:pt x="101" y="3991"/>
                                  <a:pt x="0" y="4211"/>
                                  <a:pt x="29" y="4401"/>
                                </a:cubicBezTo>
                                <a:cubicBezTo>
                                  <a:pt x="58" y="4591"/>
                                  <a:pt x="171" y="4615"/>
                                  <a:pt x="317" y="4713"/>
                                </a:cubicBezTo>
                                <a:cubicBezTo>
                                  <a:pt x="463" y="4811"/>
                                  <a:pt x="581" y="4828"/>
                                  <a:pt x="761" y="4893"/>
                                </a:cubicBezTo>
                                <a:cubicBezTo>
                                  <a:pt x="941" y="4958"/>
                                  <a:pt x="1143" y="4909"/>
                                  <a:pt x="1217" y="5036"/>
                                </a:cubicBezTo>
                                <a:cubicBezTo>
                                  <a:pt x="1291" y="5163"/>
                                  <a:pt x="1083" y="5421"/>
                                  <a:pt x="1133" y="5529"/>
                                </a:cubicBezTo>
                                <a:cubicBezTo>
                                  <a:pt x="1183" y="5637"/>
                                  <a:pt x="1371" y="5624"/>
                                  <a:pt x="1469" y="5576"/>
                                </a:cubicBezTo>
                                <a:cubicBezTo>
                                  <a:pt x="1567" y="5528"/>
                                  <a:pt x="1570" y="5423"/>
                                  <a:pt x="1625" y="5289"/>
                                </a:cubicBezTo>
                                <a:cubicBezTo>
                                  <a:pt x="1680" y="5155"/>
                                  <a:pt x="1735" y="5059"/>
                                  <a:pt x="1745" y="4905"/>
                                </a:cubicBezTo>
                                <a:cubicBezTo>
                                  <a:pt x="1755" y="4751"/>
                                  <a:pt x="1759" y="4667"/>
                                  <a:pt x="1673" y="4521"/>
                                </a:cubicBezTo>
                                <a:cubicBezTo>
                                  <a:pt x="1587" y="4375"/>
                                  <a:pt x="1455" y="4279"/>
                                  <a:pt x="1313" y="4173"/>
                                </a:cubicBezTo>
                                <a:cubicBezTo>
                                  <a:pt x="1171" y="4067"/>
                                  <a:pt x="1042" y="4163"/>
                                  <a:pt x="965" y="3993"/>
                                </a:cubicBezTo>
                                <a:cubicBezTo>
                                  <a:pt x="888" y="3823"/>
                                  <a:pt x="881" y="3527"/>
                                  <a:pt x="929" y="3321"/>
                                </a:cubicBezTo>
                                <a:cubicBezTo>
                                  <a:pt x="977" y="3115"/>
                                  <a:pt x="1147" y="3124"/>
                                  <a:pt x="1205" y="2961"/>
                                </a:cubicBezTo>
                                <a:cubicBezTo>
                                  <a:pt x="1263" y="2798"/>
                                  <a:pt x="1287" y="2671"/>
                                  <a:pt x="1217" y="2505"/>
                                </a:cubicBezTo>
                                <a:cubicBezTo>
                                  <a:pt x="1147" y="2339"/>
                                  <a:pt x="886" y="2275"/>
                                  <a:pt x="857" y="2133"/>
                                </a:cubicBezTo>
                                <a:cubicBezTo>
                                  <a:pt x="828" y="1991"/>
                                  <a:pt x="977" y="1935"/>
                                  <a:pt x="1073" y="1796"/>
                                </a:cubicBezTo>
                                <a:cubicBezTo>
                                  <a:pt x="1169" y="1657"/>
                                  <a:pt x="1246" y="1609"/>
                                  <a:pt x="1337" y="1436"/>
                                </a:cubicBezTo>
                                <a:cubicBezTo>
                                  <a:pt x="1428" y="1263"/>
                                  <a:pt x="1421" y="1089"/>
                                  <a:pt x="1529" y="933"/>
                                </a:cubicBezTo>
                                <a:cubicBezTo>
                                  <a:pt x="1637" y="777"/>
                                  <a:pt x="1810" y="766"/>
                                  <a:pt x="1877" y="656"/>
                                </a:cubicBezTo>
                                <a:cubicBezTo>
                                  <a:pt x="1944" y="546"/>
                                  <a:pt x="1853" y="470"/>
                                  <a:pt x="1865" y="381"/>
                                </a:cubicBezTo>
                                <a:cubicBezTo>
                                  <a:pt x="1877" y="292"/>
                                  <a:pt x="1947" y="275"/>
                                  <a:pt x="1937" y="213"/>
                                </a:cubicBezTo>
                                <a:cubicBezTo>
                                  <a:pt x="1927" y="151"/>
                                  <a:pt x="1867" y="105"/>
                                  <a:pt x="1817" y="69"/>
                                </a:cubicBezTo>
                                <a:cubicBezTo>
                                  <a:pt x="1767" y="33"/>
                                  <a:pt x="1755" y="0"/>
                                  <a:pt x="1685" y="33"/>
                                </a:cubicBezTo>
                                <a:cubicBezTo>
                                  <a:pt x="1615" y="66"/>
                                  <a:pt x="1539" y="212"/>
                                  <a:pt x="1469" y="236"/>
                                </a:cubicBezTo>
                                <a:cubicBezTo>
                                  <a:pt x="1399" y="260"/>
                                  <a:pt x="1380" y="117"/>
                                  <a:pt x="1337" y="153"/>
                                </a:cubicBezTo>
                                <a:cubicBezTo>
                                  <a:pt x="1294" y="189"/>
                                  <a:pt x="1323" y="358"/>
                                  <a:pt x="1253" y="416"/>
                                </a:cubicBezTo>
                                <a:cubicBezTo>
                                  <a:pt x="1183" y="474"/>
                                  <a:pt x="1080" y="438"/>
                                  <a:pt x="989" y="441"/>
                                </a:cubicBezTo>
                                <a:cubicBezTo>
                                  <a:pt x="898" y="444"/>
                                  <a:pt x="852" y="405"/>
                                  <a:pt x="797" y="429"/>
                                </a:cubicBezTo>
                                <a:cubicBezTo>
                                  <a:pt x="742" y="453"/>
                                  <a:pt x="799" y="542"/>
                                  <a:pt x="713" y="561"/>
                                </a:cubicBezTo>
                                <a:cubicBezTo>
                                  <a:pt x="627" y="580"/>
                                  <a:pt x="433" y="535"/>
                                  <a:pt x="365" y="525"/>
                                </a:cubicBezTo>
                                <a:close/>
                              </a:path>
                            </a:pathLst>
                          </a:custGeom>
                          <a:noFill/>
                          <a:ln w="28575" cap="flat" cmpd="sng">
                            <a:solidFill>
                              <a:srgbClr val="00B0F0"/>
                            </a:solidFill>
                            <a:prstDash val="solid"/>
                            <a:headEnd type="none" w="med" len="med"/>
                            <a:tailEnd type="none" w="med" len="med"/>
                          </a:ln>
                          <a:effectLst>
                            <a:prstShdw prst="shdw17" dist="17961" dir="13499999">
                              <a:srgbClr val="00B0F0">
                                <a:gamma/>
                                <a:shade val="60000"/>
                                <a:invGamma/>
                                <a:alpha val="100000"/>
                              </a:srgbClr>
                            </a:prstShdw>
                          </a:effectLst>
                        </wps:spPr>
                        <wps:bodyPr upright="1"/>
                      </wps:wsp>
                      <wps:wsp>
                        <wps:cNvPr id="23" name="任意多边形 16"/>
                        <wps:cNvSpPr/>
                        <wps:spPr>
                          <a:xfrm>
                            <a:off x="4367" y="209797"/>
                            <a:ext cx="2580" cy="4098"/>
                          </a:xfrm>
                          <a:custGeom>
                            <a:avLst/>
                            <a:gdLst/>
                            <a:ahLst/>
                            <a:cxnLst/>
                            <a:pathLst>
                              <a:path w="2580" h="4098">
                                <a:moveTo>
                                  <a:pt x="1970" y="67"/>
                                </a:moveTo>
                                <a:cubicBezTo>
                                  <a:pt x="1926" y="60"/>
                                  <a:pt x="1828" y="0"/>
                                  <a:pt x="1718" y="67"/>
                                </a:cubicBezTo>
                                <a:cubicBezTo>
                                  <a:pt x="1608" y="134"/>
                                  <a:pt x="1519" y="257"/>
                                  <a:pt x="1418" y="404"/>
                                </a:cubicBezTo>
                                <a:cubicBezTo>
                                  <a:pt x="1317" y="551"/>
                                  <a:pt x="1291" y="586"/>
                                  <a:pt x="1214" y="800"/>
                                </a:cubicBezTo>
                                <a:cubicBezTo>
                                  <a:pt x="1137" y="1014"/>
                                  <a:pt x="1161" y="1362"/>
                                  <a:pt x="1034" y="1472"/>
                                </a:cubicBezTo>
                                <a:cubicBezTo>
                                  <a:pt x="907" y="1582"/>
                                  <a:pt x="768" y="1345"/>
                                  <a:pt x="578" y="1352"/>
                                </a:cubicBezTo>
                                <a:cubicBezTo>
                                  <a:pt x="388" y="1359"/>
                                  <a:pt x="172" y="1308"/>
                                  <a:pt x="86" y="1507"/>
                                </a:cubicBezTo>
                                <a:cubicBezTo>
                                  <a:pt x="0" y="1706"/>
                                  <a:pt x="100" y="2078"/>
                                  <a:pt x="146" y="2347"/>
                                </a:cubicBezTo>
                                <a:cubicBezTo>
                                  <a:pt x="192" y="2616"/>
                                  <a:pt x="324" y="2657"/>
                                  <a:pt x="314" y="2852"/>
                                </a:cubicBezTo>
                                <a:cubicBezTo>
                                  <a:pt x="304" y="3047"/>
                                  <a:pt x="67" y="3152"/>
                                  <a:pt x="98" y="3320"/>
                                </a:cubicBezTo>
                                <a:cubicBezTo>
                                  <a:pt x="129" y="3488"/>
                                  <a:pt x="309" y="3587"/>
                                  <a:pt x="470" y="3692"/>
                                </a:cubicBezTo>
                                <a:cubicBezTo>
                                  <a:pt x="631" y="3797"/>
                                  <a:pt x="794" y="3799"/>
                                  <a:pt x="902" y="3847"/>
                                </a:cubicBezTo>
                                <a:cubicBezTo>
                                  <a:pt x="1010" y="3895"/>
                                  <a:pt x="876" y="3891"/>
                                  <a:pt x="1010" y="3932"/>
                                </a:cubicBezTo>
                                <a:cubicBezTo>
                                  <a:pt x="1144" y="3973"/>
                                  <a:pt x="1442" y="4098"/>
                                  <a:pt x="1574" y="4052"/>
                                </a:cubicBezTo>
                                <a:cubicBezTo>
                                  <a:pt x="1706" y="4006"/>
                                  <a:pt x="1569" y="3956"/>
                                  <a:pt x="1670" y="3704"/>
                                </a:cubicBezTo>
                                <a:cubicBezTo>
                                  <a:pt x="1771" y="3452"/>
                                  <a:pt x="1977" y="3099"/>
                                  <a:pt x="2078" y="2792"/>
                                </a:cubicBezTo>
                                <a:cubicBezTo>
                                  <a:pt x="2179" y="2485"/>
                                  <a:pt x="2167" y="2371"/>
                                  <a:pt x="2174" y="2167"/>
                                </a:cubicBezTo>
                                <a:cubicBezTo>
                                  <a:pt x="2181" y="1963"/>
                                  <a:pt x="2152" y="1911"/>
                                  <a:pt x="2114" y="1772"/>
                                </a:cubicBezTo>
                                <a:cubicBezTo>
                                  <a:pt x="2076" y="1633"/>
                                  <a:pt x="1963" y="1630"/>
                                  <a:pt x="1982" y="1472"/>
                                </a:cubicBezTo>
                                <a:cubicBezTo>
                                  <a:pt x="2001" y="1314"/>
                                  <a:pt x="2100" y="1143"/>
                                  <a:pt x="2210" y="980"/>
                                </a:cubicBezTo>
                                <a:cubicBezTo>
                                  <a:pt x="2320" y="817"/>
                                  <a:pt x="2488" y="769"/>
                                  <a:pt x="2534" y="656"/>
                                </a:cubicBezTo>
                                <a:cubicBezTo>
                                  <a:pt x="2580" y="543"/>
                                  <a:pt x="2551" y="478"/>
                                  <a:pt x="2438" y="416"/>
                                </a:cubicBezTo>
                                <a:cubicBezTo>
                                  <a:pt x="2325" y="354"/>
                                  <a:pt x="2064" y="414"/>
                                  <a:pt x="1970" y="344"/>
                                </a:cubicBezTo>
                                <a:cubicBezTo>
                                  <a:pt x="1876" y="274"/>
                                  <a:pt x="1961" y="121"/>
                                  <a:pt x="1970" y="67"/>
                                </a:cubicBezTo>
                                <a:close/>
                              </a:path>
                            </a:pathLst>
                          </a:custGeom>
                          <a:noFill/>
                          <a:ln w="38100" cap="flat" cmpd="sng">
                            <a:solidFill>
                              <a:srgbClr val="70AD47"/>
                            </a:solidFill>
                            <a:prstDash val="solid"/>
                            <a:headEnd type="none" w="med" len="med"/>
                            <a:tailEnd type="none" w="med" len="med"/>
                          </a:ln>
                          <a:effectLst>
                            <a:prstShdw prst="shdw17" dist="17961" dir="13499999">
                              <a:srgbClr val="70AD47">
                                <a:gamma/>
                                <a:shade val="60000"/>
                                <a:invGamma/>
                                <a:alpha val="100000"/>
                              </a:srgbClr>
                            </a:prstShdw>
                          </a:effectLst>
                        </wps:spPr>
                        <wps:bodyPr upright="1"/>
                      </wps:wsp>
                    </wpg:wgp>
                  </a:graphicData>
                </a:graphic>
              </wp:anchor>
            </w:drawing>
          </mc:Choice>
          <mc:Fallback>
            <w:pict>
              <v:group id="组合 21" o:spid="_x0000_s1026" o:spt="203" style="position:absolute;left:0pt;margin-left:101.05pt;margin-top:78.95pt;height:493.2pt;width:277.55pt;z-index:251667456;mso-width-relative:page;mso-height-relative:page;" coordorigin="4367,209114" coordsize="5551,9864" o:gfxdata="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GbFufcAAAADAEAAA8A&#10;AAAAAAAAAQAgAAAAIgAAAGRycy9kb3ducmV2LnhtbFBLAQIUABQAAAAIAIdO4kDwIgofGAwAAPAw&#10;AAAOAAAAAAAAAAEAIAAAACsBAABkcnMvZTJvRG9jLnhtbFBLBQYAAAAABgAGAFkBAAC1DwAAAAA=&#10;">
                <o:lock v:ext="edit" aspectratio="f"/>
                <v:shape id="任意多边形 12" o:spid="_x0000_s1026" o:spt="100" style="position:absolute;left:8008;top:209114;height:9865;width:1910;" filled="f" stroked="t" coordsize="1910,9865" o:gfxdata="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UQTK/&#10;AAAA2wAAAA8AAAAAAAAAAQAgAAAAIgAAAGRycy9kb3ducmV2LnhtbFBLAQIUABQAAAAIAIdO4kAz&#10;LwWeOwAAADkAAAAQAAAAAAAAAAEAIAAAAA4BAABkcnMvc2hhcGV4bWwueG1sUEsFBgAAAAAGAAYA&#10;WwEAALgDAAAAAA==&#10;" path="m247,415c219,445,110,488,127,606c144,724,319,724,331,1003c343,1282,233,1634,187,1999c141,2364,98,2416,103,2826c108,3236,221,3664,211,4051c201,4438,0,4512,55,4759c110,5006,398,4897,487,5286c576,5675,504,6201,499,6703c494,7205,384,7533,463,7795c542,8057,806,7843,895,8011c984,8179,931,8357,907,8635c883,8913,809,9185,775,9403c741,9621,641,9644,739,9726c837,9808,1125,9847,1267,9811c1409,9775,1389,9865,1447,9546c1505,9227,1553,8683,1555,8215c1557,7747,1481,7633,1459,7206c1437,6779,1464,6566,1447,6079c1430,5592,1392,5155,1375,4771c1358,4387,1375,4634,1363,4159c1351,3684,1274,2978,1315,2395c1356,1812,1461,1617,1567,1243c1673,869,1790,739,1843,523c1896,307,1910,261,1831,163c1752,65,1610,48,1447,31c1284,14,1142,0,1015,79c888,158,902,361,811,426c720,491,648,412,559,403c470,394,429,377,367,379c305,381,267,407,247,415xe">
                  <v:fill on="f" focussize="0,0"/>
                  <v:stroke weight="2.25pt" color="#FF0000" joinstyle="round"/>
                  <v:imagedata embosscolor="shadow add(51)" o:title=""/>
                  <o:lock v:ext="edit" aspectratio="f"/>
                  <v:shadow on="t" type="emboss" color="#990000" color2="shadow add(102)" offset="-1pt,-1pt" origin="0f,0f" matrix="65536f,0f,0f,65536f,0,0"/>
                </v:shape>
                <v:shape id="任意多边形 14" o:spid="_x0000_s1026" o:spt="100" style="position:absolute;left:6200;top:209292;height:5637;width:1947;" filled="f" stroked="t" coordsize="1947,5637" o:gfxdata="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nK6b4A&#10;AADbAAAADwAAAAAAAAABACAAAAAiAAAAZHJzL2Rvd25yZXYueG1sUEsBAhQAFAAAAAgAh07iQDMv&#10;BZ47AAAAOQAAABAAAAAAAAAAAQAgAAAADQEAAGRycy9zaGFwZXhtbC54bWxQSwUGAAAAAAYABgBb&#10;AQAAtwMAAAAA&#10;" path="m365,525c353,567,259,676,353,753c447,830,739,808,833,909c927,1010,888,1110,821,1256c754,1402,586,1478,497,1641c408,1804,365,1898,377,2073c389,2248,555,2276,557,2516c559,2756,466,3023,389,3273c312,3523,245,3539,173,3765c101,3991,0,4211,29,4401c58,4591,171,4615,317,4713c463,4811,581,4828,761,4893c941,4958,1143,4909,1217,5036c1291,5163,1083,5421,1133,5529c1183,5637,1371,5624,1469,5576c1567,5528,1570,5423,1625,5289c1680,5155,1735,5059,1745,4905c1755,4751,1759,4667,1673,4521c1587,4375,1455,4279,1313,4173c1171,4067,1042,4163,965,3993c888,3823,881,3527,929,3321c977,3115,1147,3124,1205,2961c1263,2798,1287,2671,1217,2505c1147,2339,886,2275,857,2133c828,1991,977,1935,1073,1796c1169,1657,1246,1609,1337,1436c1428,1263,1421,1089,1529,933c1637,777,1810,766,1877,656c1944,546,1853,470,1865,381c1877,292,1947,275,1937,213c1927,151,1867,105,1817,69c1767,33,1755,0,1685,33c1615,66,1539,212,1469,236c1399,260,1380,117,1337,153c1294,189,1323,358,1253,416c1183,474,1080,438,989,441c898,444,852,405,797,429c742,453,799,542,713,561c627,580,433,535,365,525xe">
                  <v:fill on="f" focussize="0,0"/>
                  <v:stroke weight="2.25pt" color="#00B0F0" joinstyle="round"/>
                  <v:imagedata embosscolor="shadow add(51)" o:title=""/>
                  <o:lock v:ext="edit" aspectratio="f"/>
                  <v:shadow on="t" type="emboss" color="#006A90" color2="shadow add(102)" offset="-1pt,-1pt" origin="0f,0f" matrix="65536f,0f,0f,65536f,0,0"/>
                </v:shape>
                <v:shape id="任意多边形 16" o:spid="_x0000_s1026" o:spt="100" style="position:absolute;left:4367;top:209797;height:4098;width:2580;" filled="f" stroked="t" coordsize="2580,4098" o:gfxdata="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M068AAAA&#10;2wAAAA8AAAAAAAAAAQAgAAAAIgAAAGRycy9kb3ducmV2LnhtbFBLAQIUABQAAAAIAIdO4kAzLwWe&#10;OwAAADkAAAAQAAAAAAAAAAEAIAAAAAsBAABkcnMvc2hhcGV4bWwueG1sUEsFBgAAAAAGAAYAWwEA&#10;ALUDAAAAAA==&#10;" path="m1970,67c1926,60,1828,0,1718,67c1608,134,1519,257,1418,404c1317,551,1291,586,1214,800c1137,1014,1161,1362,1034,1472c907,1582,768,1345,578,1352c388,1359,172,1308,86,1507c0,1706,100,2078,146,2347c192,2616,324,2657,314,2852c304,3047,67,3152,98,3320c129,3488,309,3587,470,3692c631,3797,794,3799,902,3847c1010,3895,876,3891,1010,3932c1144,3973,1442,4098,1574,4052c1706,4006,1569,3956,1670,3704c1771,3452,1977,3099,2078,2792c2179,2485,2167,2371,2174,2167c2181,1963,2152,1911,2114,1772c2076,1633,1963,1630,1982,1472c2001,1314,2100,1143,2210,980c2320,817,2488,769,2534,656c2580,543,2551,478,2438,416c2325,354,2064,414,1970,344c1876,274,1961,121,1970,67xe">
                  <v:fill on="f" focussize="0,0"/>
                  <v:stroke weight="3pt" color="#70AD47" joinstyle="round"/>
                  <v:imagedata embosscolor="shadow add(51)" o:title=""/>
                  <o:lock v:ext="edit" aspectratio="f"/>
                  <v:shadow on="t" type="emboss" color="#43682B" color2="shadow add(102)" offset="-1pt,-1pt" origin="0f,0f" matrix="65536f,0f,0f,65536f,0,0"/>
                </v:shape>
              </v:group>
            </w:pict>
          </mc:Fallback>
        </mc:AlternateContent>
      </w:r>
      <w:r>
        <w:rPr>
          <w:rFonts w:hint="eastAsia" w:eastAsia="方正仿宋_GBK"/>
          <w:lang w:eastAsia="zh-CN"/>
        </w:rPr>
        <w:drawing>
          <wp:anchor distT="0" distB="0" distL="114300" distR="114300" simplePos="0" relativeHeight="251661312" behindDoc="0" locked="0" layoutInCell="1" allowOverlap="1">
            <wp:simplePos x="0" y="0"/>
            <wp:positionH relativeFrom="column">
              <wp:posOffset>201295</wp:posOffset>
            </wp:positionH>
            <wp:positionV relativeFrom="paragraph">
              <wp:posOffset>598170</wp:posOffset>
            </wp:positionV>
            <wp:extent cx="5329555" cy="7008495"/>
            <wp:effectExtent l="0" t="0" r="4445" b="1905"/>
            <wp:wrapSquare wrapText="bothSides"/>
            <wp:docPr id="1" name="图片 1" descr="03、高标准农田建设潜力分布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高标准农田建设潜力分布图01"/>
                    <pic:cNvPicPr>
                      <a:picLocks noChangeAspect="1"/>
                    </pic:cNvPicPr>
                  </pic:nvPicPr>
                  <pic:blipFill>
                    <a:blip r:embed="rId18"/>
                    <a:srcRect t="7055"/>
                    <a:stretch>
                      <a:fillRect/>
                    </a:stretch>
                  </pic:blipFill>
                  <pic:spPr>
                    <a:xfrm>
                      <a:off x="0" y="0"/>
                      <a:ext cx="5329555" cy="7008495"/>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830580</wp:posOffset>
                </wp:positionH>
                <wp:positionV relativeFrom="paragraph">
                  <wp:posOffset>7733665</wp:posOffset>
                </wp:positionV>
                <wp:extent cx="3982720" cy="436245"/>
                <wp:effectExtent l="0" t="0" r="0" b="0"/>
                <wp:wrapNone/>
                <wp:docPr id="25" name="文本框 17"/>
                <wp:cNvGraphicFramePr/>
                <a:graphic xmlns:a="http://schemas.openxmlformats.org/drawingml/2006/main">
                  <a:graphicData uri="http://schemas.microsoft.com/office/word/2010/wordprocessingShape">
                    <wps:wsp>
                      <wps:cNvSpPr txBox="1"/>
                      <wps:spPr>
                        <a:xfrm>
                          <a:off x="0" y="0"/>
                          <a:ext cx="1572895" cy="930910"/>
                        </a:xfrm>
                        <a:prstGeom prst="rect">
                          <a:avLst/>
                        </a:prstGeom>
                        <a:noFill/>
                        <a:ln w="6350">
                          <a:noFill/>
                        </a:ln>
                        <a:effectLst/>
                      </wps:spPr>
                      <wps:txbx>
                        <w:txbxContent>
                          <w:p>
                            <w:pPr>
                              <w:spacing w:line="240" w:lineRule="auto"/>
                              <w:ind w:firstLine="0" w:firstLineChars="0"/>
                              <w:jc w:val="center"/>
                              <w:rPr>
                                <w:rFonts w:hint="default"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rPr>
                              <w:t>图</w:t>
                            </w:r>
                            <w:r>
                              <w:rPr>
                                <w:rFonts w:hint="eastAsia" w:ascii="方正楷体_GBK" w:hAnsi="方正楷体_GBK" w:eastAsia="方正楷体_GBK" w:cs="方正楷体_GBK"/>
                                <w:sz w:val="24"/>
                                <w:szCs w:val="24"/>
                                <w:lang w:val="en-US" w:eastAsia="zh-CN"/>
                              </w:rPr>
                              <w:t>3</w:t>
                            </w:r>
                            <w:r>
                              <w:rPr>
                                <w:rFonts w:hint="eastAsia" w:ascii="方正楷体_GBK" w:hAnsi="方正楷体_GBK" w:eastAsia="方正楷体_GBK" w:cs="方正楷体_GBK"/>
                                <w:sz w:val="24"/>
                                <w:szCs w:val="24"/>
                              </w:rPr>
                              <w:t>-</w:t>
                            </w:r>
                            <w:r>
                              <w:rPr>
                                <w:rFonts w:hint="eastAsia" w:ascii="方正楷体_GBK" w:hAnsi="方正楷体_GBK" w:eastAsia="方正楷体_GBK" w:cs="方正楷体_GBK"/>
                                <w:sz w:val="24"/>
                                <w:szCs w:val="24"/>
                                <w:lang w:val="en-US" w:eastAsia="zh-CN"/>
                              </w:rPr>
                              <w:t>1</w:t>
                            </w:r>
                            <w:r>
                              <w:rPr>
                                <w:rFonts w:hint="eastAsia" w:ascii="方正楷体_GBK" w:hAnsi="方正楷体_GBK" w:eastAsia="方正楷体_GBK" w:cs="方正楷体_GBK"/>
                                <w:sz w:val="24"/>
                                <w:szCs w:val="24"/>
                              </w:rPr>
                              <w:t xml:space="preserve"> 沙坪坝</w:t>
                            </w:r>
                            <w:r>
                              <w:rPr>
                                <w:rFonts w:hint="eastAsia" w:ascii="方正楷体_GBK" w:hAnsi="方正楷体_GBK" w:eastAsia="方正楷体_GBK" w:cs="方正楷体_GBK"/>
                                <w:sz w:val="24"/>
                                <w:szCs w:val="24"/>
                                <w:lang w:val="en-US" w:eastAsia="zh-CN"/>
                              </w:rPr>
                              <w:t>区高标准农田建设分区示意图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6" o:spt="202" type="#_x0000_t202" style="position:absolute;left:0pt;margin-left:65.4pt;margin-top:608.95pt;height:34.35pt;width:313.6pt;z-index:251668480;mso-width-relative:page;mso-height-relative:page;" filled="f" stroked="f" coordsize="21600,21600" o:gfxdata="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yUbMNwAAAANAQAADwAAAAAAAAABACAAAAAiAAAAZHJzL2Rvd25yZXYueG1sUEsBAhQA&#10;FAAAAAgAh07iQKxLdycnAgAAKAQAAA4AAAAAAAAAAQAgAAAAKwEAAGRycy9lMm9Eb2MueG1sUEsF&#10;BgAAAAAGAAYAWQEAAMQFAAAAAA==&#10;">
                <v:fill on="f" focussize="0,0"/>
                <v:stroke on="f" weight="0.5pt"/>
                <v:imagedata o:title=""/>
                <o:lock v:ext="edit" aspectratio="f"/>
                <v:textbox>
                  <w:txbxContent>
                    <w:p>
                      <w:pPr>
                        <w:spacing w:line="240" w:lineRule="auto"/>
                        <w:ind w:firstLine="0" w:firstLineChars="0"/>
                        <w:jc w:val="center"/>
                        <w:rPr>
                          <w:rFonts w:hint="default"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rPr>
                        <w:t>图</w:t>
                      </w:r>
                      <w:r>
                        <w:rPr>
                          <w:rFonts w:hint="eastAsia" w:ascii="方正楷体_GBK" w:hAnsi="方正楷体_GBK" w:eastAsia="方正楷体_GBK" w:cs="方正楷体_GBK"/>
                          <w:sz w:val="24"/>
                          <w:szCs w:val="24"/>
                          <w:lang w:val="en-US" w:eastAsia="zh-CN"/>
                        </w:rPr>
                        <w:t>3</w:t>
                      </w:r>
                      <w:r>
                        <w:rPr>
                          <w:rFonts w:hint="eastAsia" w:ascii="方正楷体_GBK" w:hAnsi="方正楷体_GBK" w:eastAsia="方正楷体_GBK" w:cs="方正楷体_GBK"/>
                          <w:sz w:val="24"/>
                          <w:szCs w:val="24"/>
                        </w:rPr>
                        <w:t>-</w:t>
                      </w:r>
                      <w:r>
                        <w:rPr>
                          <w:rFonts w:hint="eastAsia" w:ascii="方正楷体_GBK" w:hAnsi="方正楷体_GBK" w:eastAsia="方正楷体_GBK" w:cs="方正楷体_GBK"/>
                          <w:sz w:val="24"/>
                          <w:szCs w:val="24"/>
                          <w:lang w:val="en-US" w:eastAsia="zh-CN"/>
                        </w:rPr>
                        <w:t>1</w:t>
                      </w:r>
                      <w:r>
                        <w:rPr>
                          <w:rFonts w:hint="eastAsia" w:ascii="方正楷体_GBK" w:hAnsi="方正楷体_GBK" w:eastAsia="方正楷体_GBK" w:cs="方正楷体_GBK"/>
                          <w:sz w:val="24"/>
                          <w:szCs w:val="24"/>
                        </w:rPr>
                        <w:t xml:space="preserve"> 沙坪坝</w:t>
                      </w:r>
                      <w:r>
                        <w:rPr>
                          <w:rFonts w:hint="eastAsia" w:ascii="方正楷体_GBK" w:hAnsi="方正楷体_GBK" w:eastAsia="方正楷体_GBK" w:cs="方正楷体_GBK"/>
                          <w:sz w:val="24"/>
                          <w:szCs w:val="24"/>
                          <w:lang w:val="en-US" w:eastAsia="zh-CN"/>
                        </w:rPr>
                        <w:t>区高标准农田建设分区示意图</w:t>
                      </w:r>
                    </w:p>
                  </w:txbxContent>
                </v:textbox>
              </v:shape>
            </w:pict>
          </mc:Fallback>
        </mc:AlternateContent>
      </w:r>
    </w:p>
    <w:p>
      <w:pPr>
        <w:pStyle w:val="4"/>
        <w:numPr>
          <w:ilvl w:val="0"/>
          <w:numId w:val="10"/>
        </w:numPr>
        <w:ind w:firstLineChars="0"/>
      </w:pPr>
      <w:r>
        <w:rPr>
          <w:rFonts w:hint="eastAsia"/>
        </w:rPr>
        <w:t>项目安排</w:t>
      </w:r>
      <w:bookmarkEnd w:id="18"/>
    </w:p>
    <w:p>
      <w:pPr>
        <w:adjustRightInd w:val="0"/>
        <w:snapToGrid w:val="0"/>
        <w:spacing w:line="594" w:lineRule="exact"/>
        <w:ind w:firstLine="640"/>
        <w:rPr>
          <w:rFonts w:cs="Times New Roman"/>
        </w:rPr>
      </w:pPr>
      <w:r>
        <w:rPr>
          <w:rFonts w:hint="eastAsia" w:cs="Times New Roman"/>
        </w:rPr>
        <w:t>2021—2030年，全区共计安排1</w:t>
      </w:r>
      <w:r>
        <w:rPr>
          <w:rFonts w:hint="eastAsia" w:cs="Times New Roman"/>
          <w:lang w:val="en-US" w:eastAsia="zh-CN"/>
        </w:rPr>
        <w:t>3</w:t>
      </w:r>
      <w:r>
        <w:rPr>
          <w:rFonts w:hint="eastAsia" w:cs="Times New Roman"/>
        </w:rPr>
        <w:t>个高标准</w:t>
      </w:r>
      <w:r>
        <w:rPr>
          <w:rFonts w:cs="Times New Roman"/>
        </w:rPr>
        <w:t>农田</w:t>
      </w:r>
      <w:r>
        <w:rPr>
          <w:rFonts w:hint="eastAsia" w:cs="Times New Roman"/>
        </w:rPr>
        <w:t>建设项目。详见</w:t>
      </w:r>
      <w:r>
        <w:rPr>
          <w:rFonts w:cs="Times New Roman"/>
        </w:rPr>
        <w:t>附表2</w:t>
      </w:r>
      <w:r>
        <w:rPr>
          <w:rFonts w:hint="eastAsia" w:cs="Times New Roman"/>
        </w:rPr>
        <w:t>。</w:t>
      </w:r>
    </w:p>
    <w:p>
      <w:pPr>
        <w:adjustRightInd w:val="0"/>
        <w:snapToGrid w:val="0"/>
        <w:spacing w:line="594" w:lineRule="exact"/>
        <w:ind w:firstLine="640"/>
        <w:rPr>
          <w:rFonts w:hint="default" w:eastAsia="方正仿宋_GBK" w:cs="方正仿宋_GBK"/>
          <w:lang w:val="en-US" w:eastAsia="zh-CN"/>
        </w:rPr>
      </w:pPr>
      <w:r>
        <w:rPr>
          <w:rFonts w:hint="eastAsia" w:cs="Times New Roman"/>
        </w:rPr>
        <w:t>2021—2022年，在中梁镇、歌乐山街道、回龙坝镇、凤凰镇安排</w:t>
      </w:r>
      <w:r>
        <w:rPr>
          <w:rFonts w:cs="方正仿宋_GBK"/>
        </w:rPr>
        <w:t>新建高标准农田建设项目</w:t>
      </w:r>
      <w:r>
        <w:rPr>
          <w:rFonts w:hint="eastAsia" w:cs="方正仿宋_GBK"/>
        </w:rPr>
        <w:t>3</w:t>
      </w:r>
      <w:r>
        <w:rPr>
          <w:rFonts w:cs="方正仿宋_GBK"/>
        </w:rPr>
        <w:t>个</w:t>
      </w:r>
      <w:r>
        <w:rPr>
          <w:rFonts w:hint="eastAsia" w:cs="方正仿宋_GBK"/>
        </w:rPr>
        <w:t>，目前项目正在建设中；</w:t>
      </w:r>
      <w:r>
        <w:rPr>
          <w:rFonts w:hint="eastAsia" w:cs="Times New Roman"/>
        </w:rPr>
        <w:t>在中梁镇、回龙坝镇安排</w:t>
      </w:r>
      <w:r>
        <w:rPr>
          <w:rFonts w:hint="eastAsia" w:cs="方正仿宋_GBK"/>
          <w:lang w:val="en-US" w:eastAsia="zh-CN"/>
        </w:rPr>
        <w:t>丘陵山区改造提升示范工程项目1个，目前正在申报中。</w:t>
      </w:r>
    </w:p>
    <w:p>
      <w:pPr>
        <w:ind w:firstLine="640"/>
        <w:rPr>
          <w:rFonts w:cs="方正仿宋_GBK"/>
        </w:rPr>
      </w:pPr>
      <w:r>
        <w:rPr>
          <w:rFonts w:hint="eastAsia" w:cs="方正仿宋_GBK"/>
        </w:rPr>
        <w:t>2023—2025年，</w:t>
      </w:r>
      <w:r>
        <w:rPr>
          <w:rFonts w:hint="eastAsia" w:cs="Times New Roman"/>
        </w:rPr>
        <w:t>在中梁镇、回龙坝镇、凤凰镇安排</w:t>
      </w:r>
      <w:r>
        <w:rPr>
          <w:rFonts w:cs="方正仿宋_GBK"/>
        </w:rPr>
        <w:t>高标准农田建设项目</w:t>
      </w:r>
      <w:r>
        <w:rPr>
          <w:rFonts w:hint="eastAsia" w:cs="方正仿宋_GBK"/>
          <w:lang w:val="en-US" w:eastAsia="zh-CN"/>
        </w:rPr>
        <w:t>4</w:t>
      </w:r>
      <w:r>
        <w:rPr>
          <w:rFonts w:hint="eastAsia" w:cs="方正仿宋_GBK"/>
        </w:rPr>
        <w:t>个。其中，</w:t>
      </w:r>
      <w:r>
        <w:rPr>
          <w:rFonts w:hint="eastAsia" w:cs="方正仿宋_GBK"/>
          <w:lang w:val="en-US" w:eastAsia="zh-CN"/>
        </w:rPr>
        <w:t>2023和2024年各</w:t>
      </w:r>
      <w:r>
        <w:rPr>
          <w:rFonts w:hint="eastAsia" w:cs="方正仿宋_GBK"/>
        </w:rPr>
        <w:t>安排</w:t>
      </w:r>
      <w:r>
        <w:rPr>
          <w:rFonts w:hint="eastAsia" w:cs="方正仿宋_GBK"/>
          <w:lang w:val="en-US" w:eastAsia="zh-CN"/>
        </w:rPr>
        <w:t>1</w:t>
      </w:r>
      <w:r>
        <w:rPr>
          <w:rFonts w:hint="eastAsia" w:cs="方正仿宋_GBK"/>
        </w:rPr>
        <w:t>个重点项目——丘陵山区高标准农田改造提升示范项目</w:t>
      </w:r>
      <w:r>
        <w:rPr>
          <w:rFonts w:hint="eastAsia" w:cs="方正仿宋_GBK"/>
          <w:lang w:eastAsia="zh-CN"/>
        </w:rPr>
        <w:t>，</w:t>
      </w:r>
      <w:r>
        <w:rPr>
          <w:rFonts w:hint="eastAsia" w:cs="方正仿宋_GBK"/>
          <w:lang w:val="en-US" w:eastAsia="zh-CN"/>
        </w:rPr>
        <w:t>共计2</w:t>
      </w:r>
      <w:r>
        <w:rPr>
          <w:rFonts w:cs="方正仿宋_GBK"/>
        </w:rPr>
        <w:t>个</w:t>
      </w:r>
      <w:r>
        <w:rPr>
          <w:rFonts w:hint="eastAsia" w:cs="方正仿宋_GBK"/>
        </w:rPr>
        <w:t>；</w:t>
      </w:r>
      <w:r>
        <w:rPr>
          <w:rFonts w:hint="eastAsia" w:cs="方正仿宋_GBK"/>
          <w:lang w:val="en-US" w:eastAsia="zh-CN"/>
        </w:rPr>
        <w:t>2023和2025</w:t>
      </w:r>
      <w:r>
        <w:rPr>
          <w:rFonts w:hint="eastAsia" w:cs="方正仿宋_GBK"/>
        </w:rPr>
        <w:t>年</w:t>
      </w:r>
      <w:r>
        <w:rPr>
          <w:rFonts w:hint="eastAsia" w:cs="方正仿宋_GBK"/>
          <w:lang w:val="en-US" w:eastAsia="zh-CN"/>
        </w:rPr>
        <w:t>分别</w:t>
      </w:r>
      <w:r>
        <w:rPr>
          <w:rFonts w:hint="eastAsia" w:cs="方正仿宋_GBK"/>
        </w:rPr>
        <w:t>安排1个一般项目，为沙坪坝区2023年凤凰镇高标准农田建设项目、沙坪坝区2025年中梁镇高标准农田建设项目，共计</w:t>
      </w:r>
      <w:r>
        <w:rPr>
          <w:rFonts w:hint="eastAsia" w:cs="方正仿宋_GBK"/>
          <w:lang w:val="en-US" w:eastAsia="zh-CN"/>
        </w:rPr>
        <w:t>2</w:t>
      </w:r>
      <w:r>
        <w:rPr>
          <w:rFonts w:hint="eastAsia" w:cs="方正仿宋_GBK"/>
        </w:rPr>
        <w:t>个。</w:t>
      </w:r>
    </w:p>
    <w:p>
      <w:pPr>
        <w:adjustRightInd w:val="0"/>
        <w:snapToGrid w:val="0"/>
        <w:spacing w:line="594" w:lineRule="exact"/>
        <w:ind w:firstLine="640"/>
        <w:rPr>
          <w:rFonts w:cs="Times New Roman"/>
        </w:rPr>
      </w:pPr>
      <w:r>
        <w:rPr>
          <w:rFonts w:hint="eastAsia" w:cs="方正仿宋_GBK"/>
        </w:rPr>
        <w:t>2026—2030年，</w:t>
      </w:r>
      <w:r>
        <w:rPr>
          <w:rFonts w:hint="eastAsia" w:cs="Times New Roman"/>
        </w:rPr>
        <w:t>在中梁镇、回龙坝镇、凤凰镇</w:t>
      </w:r>
      <w:r>
        <w:rPr>
          <w:rFonts w:hint="eastAsia" w:cs="方正仿宋_GBK"/>
        </w:rPr>
        <w:t>安排</w:t>
      </w:r>
      <w:r>
        <w:rPr>
          <w:rFonts w:cs="方正仿宋_GBK"/>
        </w:rPr>
        <w:t>高标准农田建设项目</w:t>
      </w:r>
      <w:r>
        <w:rPr>
          <w:rFonts w:hint="eastAsia" w:cs="方正仿宋_GBK"/>
        </w:rPr>
        <w:t>5个</w:t>
      </w:r>
      <w:r>
        <w:rPr>
          <w:rFonts w:hint="eastAsia" w:cs="Times New Roman"/>
        </w:rPr>
        <w:t>。</w:t>
      </w:r>
    </w:p>
    <w:p>
      <w:pPr>
        <w:pStyle w:val="4"/>
        <w:numPr>
          <w:ilvl w:val="0"/>
          <w:numId w:val="10"/>
        </w:numPr>
        <w:ind w:firstLineChars="0"/>
      </w:pPr>
      <w:bookmarkStart w:id="19" w:name="_Toc22183"/>
      <w:r>
        <w:rPr>
          <w:rFonts w:hint="eastAsia"/>
        </w:rPr>
        <w:t>重点项目</w:t>
      </w:r>
      <w:bookmarkEnd w:id="19"/>
    </w:p>
    <w:p>
      <w:pPr>
        <w:pStyle w:val="5"/>
        <w:ind w:left="640" w:leftChars="200" w:firstLine="0" w:firstLineChars="0"/>
        <w:rPr>
          <w:rFonts w:hint="eastAsia" w:ascii="方正仿宋_GBK" w:hAnsi="方正仿宋_GBK" w:eastAsia="方正仿宋_GBK" w:cs="方正仿宋_GBK"/>
          <w:b/>
          <w:bCs/>
          <w:kern w:val="2"/>
          <w:sz w:val="32"/>
          <w:szCs w:val="24"/>
          <w:lang w:val="en-US" w:eastAsia="zh-CN" w:bidi="ar-SA"/>
        </w:rPr>
      </w:pPr>
      <w:r>
        <w:rPr>
          <w:rFonts w:hint="eastAsia" w:ascii="方正仿宋_GBK" w:hAnsi="方正仿宋_GBK" w:eastAsia="方正仿宋_GBK" w:cs="方正仿宋_GBK"/>
          <w:b/>
          <w:bCs/>
          <w:kern w:val="2"/>
          <w:sz w:val="32"/>
          <w:szCs w:val="24"/>
          <w:lang w:val="en-US" w:eastAsia="zh-CN" w:bidi="ar-SA"/>
        </w:rPr>
        <w:t>丘陵山区高标准农田改造提升示范项目</w:t>
      </w:r>
    </w:p>
    <w:p>
      <w:pPr>
        <w:ind w:firstLine="640"/>
        <w:rPr>
          <w:rFonts w:hint="eastAsia" w:ascii="方正仿宋_GBK" w:hAnsi="方正仿宋_GBK" w:cs="方正仿宋_GBK"/>
          <w:szCs w:val="24"/>
        </w:rPr>
      </w:pPr>
      <w:r>
        <w:rPr>
          <w:rFonts w:hint="eastAsia" w:ascii="方正仿宋_GBK" w:hAnsi="方正仿宋_GBK" w:cs="方正仿宋_GBK"/>
          <w:szCs w:val="24"/>
        </w:rPr>
        <w:t>根据沙坪坝区农业产业发展现状，结合高标准农田建设潜力，</w:t>
      </w:r>
      <w:r>
        <w:rPr>
          <w:rFonts w:hint="eastAsia" w:cs="方正仿宋_GBK"/>
        </w:rPr>
        <w:t>2021—2030</w:t>
      </w:r>
      <w:r>
        <w:rPr>
          <w:rFonts w:hint="eastAsia" w:ascii="方正仿宋_GBK" w:hAnsi="方正仿宋_GBK" w:cs="方正仿宋_GBK"/>
          <w:szCs w:val="24"/>
        </w:rPr>
        <w:t>年布局高标准农田建设重点项目——</w:t>
      </w:r>
      <w:r>
        <w:t>丘陵山区高标准农田改造提升示范项目</w:t>
      </w:r>
      <w:r>
        <w:rPr>
          <w:rFonts w:hint="eastAsia"/>
        </w:rPr>
        <w:t>3个。项目布局在中梁山脉渡淡蔬菜高标准农田建设带，</w:t>
      </w:r>
      <w:r>
        <w:rPr>
          <w:rFonts w:hint="eastAsia" w:ascii="方正仿宋_GBK" w:hAnsi="方正仿宋_GBK" w:cs="方正仿宋_GBK"/>
          <w:szCs w:val="24"/>
        </w:rPr>
        <w:t>针对中梁镇和回龙坝镇已建高标准农田进行集中连片改造提升。规划面积</w:t>
      </w:r>
      <w:r>
        <w:rPr>
          <w:rFonts w:hint="eastAsia" w:cs="方正仿宋_GBK"/>
          <w:lang w:val="en-US" w:eastAsia="zh-CN"/>
        </w:rPr>
        <w:t>9</w:t>
      </w:r>
      <w:r>
        <w:rPr>
          <w:rFonts w:hint="eastAsia" w:cs="方正仿宋_GBK"/>
        </w:rPr>
        <w:t>000</w:t>
      </w:r>
      <w:r>
        <w:rPr>
          <w:rFonts w:hint="eastAsia" w:ascii="方正仿宋_GBK" w:hAnsi="方正仿宋_GBK" w:cs="方正仿宋_GBK"/>
          <w:szCs w:val="24"/>
        </w:rPr>
        <w:t>亩，分</w:t>
      </w:r>
      <w:r>
        <w:rPr>
          <w:rFonts w:hint="eastAsia" w:cs="方正仿宋_GBK"/>
        </w:rPr>
        <w:t>3</w:t>
      </w:r>
      <w:r>
        <w:rPr>
          <w:rFonts w:hint="eastAsia" w:ascii="方正仿宋_GBK" w:hAnsi="方正仿宋_GBK" w:cs="方正仿宋_GBK"/>
          <w:szCs w:val="24"/>
        </w:rPr>
        <w:t>个年度实施，即：</w:t>
      </w:r>
      <w:r>
        <w:rPr>
          <w:rFonts w:hint="eastAsia" w:cs="方正仿宋_GBK"/>
        </w:rPr>
        <w:t>202</w:t>
      </w:r>
      <w:r>
        <w:rPr>
          <w:rFonts w:hint="eastAsia" w:cs="方正仿宋_GBK"/>
          <w:lang w:val="en-US" w:eastAsia="zh-CN"/>
        </w:rPr>
        <w:t>2</w:t>
      </w:r>
      <w:r>
        <w:rPr>
          <w:rFonts w:hint="eastAsia" w:ascii="方正仿宋_GBK" w:hAnsi="方正仿宋_GBK" w:cs="方正仿宋_GBK"/>
          <w:szCs w:val="24"/>
        </w:rPr>
        <w:t>年实施</w:t>
      </w:r>
      <w:r>
        <w:rPr>
          <w:rFonts w:hint="eastAsia" w:cs="方正仿宋_GBK"/>
          <w:lang w:val="en-US" w:eastAsia="zh-CN"/>
        </w:rPr>
        <w:t>4</w:t>
      </w:r>
      <w:r>
        <w:rPr>
          <w:rFonts w:hint="eastAsia" w:cs="方正仿宋_GBK"/>
        </w:rPr>
        <w:t>000</w:t>
      </w:r>
      <w:r>
        <w:rPr>
          <w:rFonts w:hint="eastAsia" w:ascii="方正仿宋_GBK" w:hAnsi="方正仿宋_GBK" w:cs="方正仿宋_GBK"/>
          <w:szCs w:val="24"/>
        </w:rPr>
        <w:t>亩，</w:t>
      </w:r>
      <w:r>
        <w:rPr>
          <w:rFonts w:hint="eastAsia" w:cs="方正仿宋_GBK"/>
        </w:rPr>
        <w:t>202</w:t>
      </w:r>
      <w:r>
        <w:rPr>
          <w:rFonts w:hint="eastAsia" w:cs="方正仿宋_GBK"/>
          <w:lang w:val="en-US" w:eastAsia="zh-CN"/>
        </w:rPr>
        <w:t>3</w:t>
      </w:r>
      <w:r>
        <w:rPr>
          <w:rFonts w:hint="eastAsia" w:ascii="方正仿宋_GBK" w:hAnsi="方正仿宋_GBK" w:cs="方正仿宋_GBK"/>
          <w:szCs w:val="24"/>
        </w:rPr>
        <w:t>年实施</w:t>
      </w:r>
      <w:r>
        <w:rPr>
          <w:rFonts w:hint="eastAsia" w:cs="方正仿宋_GBK"/>
        </w:rPr>
        <w:t>2000</w:t>
      </w:r>
      <w:r>
        <w:rPr>
          <w:rFonts w:hint="eastAsia" w:ascii="方正仿宋_GBK" w:hAnsi="方正仿宋_GBK" w:cs="方正仿宋_GBK"/>
          <w:szCs w:val="24"/>
        </w:rPr>
        <w:t>亩，202</w:t>
      </w:r>
      <w:r>
        <w:rPr>
          <w:rFonts w:hint="eastAsia" w:ascii="方正仿宋_GBK" w:hAnsi="方正仿宋_GBK" w:cs="方正仿宋_GBK"/>
          <w:szCs w:val="24"/>
          <w:lang w:val="en-US" w:eastAsia="zh-CN"/>
        </w:rPr>
        <w:t>4</w:t>
      </w:r>
      <w:r>
        <w:rPr>
          <w:rFonts w:hint="eastAsia" w:ascii="方正仿宋_GBK" w:hAnsi="方正仿宋_GBK" w:cs="方正仿宋_GBK"/>
          <w:szCs w:val="24"/>
        </w:rPr>
        <w:t>年实施</w:t>
      </w:r>
      <w:r>
        <w:rPr>
          <w:rFonts w:hint="eastAsia" w:cs="方正仿宋_GBK"/>
          <w:lang w:val="en-US" w:eastAsia="zh-CN"/>
        </w:rPr>
        <w:t>3</w:t>
      </w:r>
      <w:r>
        <w:rPr>
          <w:rFonts w:hint="eastAsia" w:cs="方正仿宋_GBK"/>
        </w:rPr>
        <w:t>000</w:t>
      </w:r>
      <w:r>
        <w:rPr>
          <w:rFonts w:hint="eastAsia" w:ascii="方正仿宋_GBK" w:hAnsi="方正仿宋_GBK" w:cs="方正仿宋_GBK"/>
          <w:szCs w:val="24"/>
        </w:rPr>
        <w:t>亩。</w:t>
      </w:r>
      <w:r>
        <w:rPr>
          <w:rFonts w:cs="Times New Roman"/>
        </w:rPr>
        <w:t>以</w:t>
      </w:r>
      <w:r>
        <w:rPr>
          <w:rFonts w:hint="eastAsia" w:cs="Times New Roman"/>
        </w:rPr>
        <w:t>“</w:t>
      </w:r>
      <w:r>
        <w:rPr>
          <w:rFonts w:cs="Times New Roman"/>
        </w:rPr>
        <w:t>改大、改水、改路、改土</w:t>
      </w:r>
      <w:r>
        <w:rPr>
          <w:rFonts w:hint="eastAsia" w:cs="Times New Roman"/>
        </w:rPr>
        <w:t>”</w:t>
      </w:r>
      <w:r>
        <w:rPr>
          <w:rFonts w:cs="Times New Roman"/>
        </w:rPr>
        <w:t>为主要内容</w:t>
      </w:r>
      <w:r>
        <w:rPr>
          <w:rFonts w:hint="eastAsia" w:cs="Times New Roman"/>
        </w:rPr>
        <w:t>，</w:t>
      </w:r>
      <w:r>
        <w:rPr>
          <w:rFonts w:cs="Times New Roman"/>
        </w:rPr>
        <w:t>坚持</w:t>
      </w:r>
      <w:r>
        <w:rPr>
          <w:rFonts w:hint="eastAsia" w:cs="Times New Roman"/>
        </w:rPr>
        <w:t>“</w:t>
      </w:r>
      <w:r>
        <w:rPr>
          <w:rFonts w:cs="Times New Roman"/>
        </w:rPr>
        <w:t>投、建、用、管、还</w:t>
      </w:r>
      <w:r>
        <w:rPr>
          <w:rFonts w:hint="eastAsia" w:cs="Times New Roman"/>
        </w:rPr>
        <w:t>”</w:t>
      </w:r>
      <w:r>
        <w:rPr>
          <w:rFonts w:cs="Times New Roman"/>
        </w:rPr>
        <w:t>一体谋划、一体推进</w:t>
      </w:r>
      <w:r>
        <w:rPr>
          <w:rFonts w:hint="eastAsia" w:cs="Times New Roman"/>
        </w:rPr>
        <w:t>，</w:t>
      </w:r>
      <w:r>
        <w:rPr>
          <w:rFonts w:hint="eastAsia" w:ascii="方正仿宋_GBK" w:hAnsi="方正仿宋_GBK" w:cs="方正仿宋_GBK"/>
          <w:szCs w:val="24"/>
        </w:rPr>
        <w:t>高标准设计，高质量建设，做精优势、补齐</w:t>
      </w:r>
      <w:r>
        <w:t>高标准农田</w:t>
      </w:r>
      <w:r>
        <w:rPr>
          <w:rFonts w:hint="eastAsia"/>
        </w:rPr>
        <w:t>建设</w:t>
      </w:r>
      <w:r>
        <w:rPr>
          <w:rFonts w:hint="eastAsia" w:ascii="方正仿宋_GBK" w:hAnsi="方正仿宋_GBK" w:cs="方正仿宋_GBK"/>
          <w:szCs w:val="24"/>
        </w:rPr>
        <w:t>短板。</w:t>
      </w:r>
    </w:p>
    <w:p>
      <w:pPr>
        <w:pStyle w:val="13"/>
      </w:pPr>
    </w:p>
    <w:p>
      <w:pPr>
        <w:ind w:firstLine="604"/>
        <w:rPr>
          <w:rFonts w:ascii="黑体" w:hAnsi="黑体" w:eastAsia="黑体" w:cs="黑体"/>
          <w:b/>
          <w:bCs/>
          <w:spacing w:val="-9"/>
        </w:rPr>
      </w:pPr>
      <w:r>
        <w:rPr>
          <w:rFonts w:hint="eastAsia" w:ascii="黑体" w:hAnsi="黑体" w:eastAsia="黑体" w:cs="黑体"/>
          <w:spacing w:val="-9"/>
        </w:rPr>
        <w:br w:type="page"/>
      </w:r>
    </w:p>
    <w:p>
      <w:pPr>
        <w:pStyle w:val="3"/>
        <w:numPr>
          <w:ilvl w:val="0"/>
          <w:numId w:val="2"/>
        </w:numPr>
        <w:spacing w:before="0" w:after="600"/>
        <w:rPr>
          <w:bCs w:val="0"/>
        </w:rPr>
      </w:pPr>
      <w:bookmarkStart w:id="20" w:name="_Toc11544"/>
      <w:r>
        <w:rPr>
          <w:rFonts w:hint="eastAsia"/>
          <w:bCs w:val="0"/>
        </w:rPr>
        <w:t>建设标准与建设内容</w:t>
      </w:r>
      <w:bookmarkEnd w:id="20"/>
    </w:p>
    <w:p>
      <w:pPr>
        <w:pStyle w:val="4"/>
        <w:numPr>
          <w:ilvl w:val="0"/>
          <w:numId w:val="12"/>
        </w:numPr>
        <w:ind w:firstLineChars="0"/>
      </w:pPr>
      <w:bookmarkStart w:id="21" w:name="_Toc19389"/>
      <w:r>
        <w:rPr>
          <w:rFonts w:hint="eastAsia"/>
        </w:rPr>
        <w:t>建设标准</w:t>
      </w:r>
      <w:bookmarkEnd w:id="21"/>
    </w:p>
    <w:p>
      <w:pPr>
        <w:adjustRightInd w:val="0"/>
        <w:snapToGrid w:val="0"/>
        <w:spacing w:line="594" w:lineRule="exact"/>
        <w:ind w:firstLine="640"/>
        <w:jc w:val="both"/>
        <w:rPr>
          <w:rFonts w:cs="方正仿宋_GBK"/>
        </w:rPr>
      </w:pPr>
      <w:r>
        <w:rPr>
          <w:rFonts w:hint="eastAsia" w:cs="方正仿宋_GBK"/>
        </w:rPr>
        <w:t>沙坪坝区的高标准农田建设严格按照《高标准农田建设通则》（GB/T30600—2022）、《重庆市高标准农田建设标准》（</w:t>
      </w:r>
      <w:r>
        <w:rPr>
          <w:rFonts w:cs="方正仿宋_GBK"/>
        </w:rPr>
        <w:t>DB50T 761—2017</w:t>
      </w:r>
      <w:r>
        <w:rPr>
          <w:rFonts w:hint="eastAsia" w:cs="方正仿宋_GBK"/>
        </w:rPr>
        <w:t>）、重庆</w:t>
      </w:r>
      <w:r>
        <w:rPr>
          <w:rFonts w:cs="方正仿宋_GBK"/>
        </w:rPr>
        <w:t>《丘陵山区宜机化地块整理整治技术规范》（DB 50/T795—2017</w:t>
      </w:r>
      <w:r>
        <w:rPr>
          <w:rFonts w:hint="eastAsia" w:cs="方正仿宋_GBK"/>
        </w:rPr>
        <w:t>），参照国家</w:t>
      </w:r>
      <w:r>
        <w:rPr>
          <w:rFonts w:cs="方正仿宋_GBK"/>
        </w:rPr>
        <w:t>相关部门有关技术规范，结合</w:t>
      </w:r>
      <w:r>
        <w:rPr>
          <w:rFonts w:hint="eastAsia" w:cs="方正仿宋_GBK"/>
        </w:rPr>
        <w:t>全区</w:t>
      </w:r>
      <w:r>
        <w:rPr>
          <w:rFonts w:cs="方正仿宋_GBK"/>
        </w:rPr>
        <w:t>近几年建设实践和实际情况，有序开展高标准农田建设</w:t>
      </w:r>
      <w:r>
        <w:rPr>
          <w:rFonts w:hint="eastAsia" w:cs="方正仿宋_GBK"/>
        </w:rPr>
        <w:t>，</w:t>
      </w:r>
      <w:r>
        <w:rPr>
          <w:rFonts w:hint="eastAsia" w:cs="方正仿宋_GBK"/>
          <w:highlight w:val="none"/>
        </w:rPr>
        <w:t>所建</w:t>
      </w:r>
      <w:r>
        <w:rPr>
          <w:rFonts w:hint="eastAsia" w:cs="方正仿宋_GBK"/>
        </w:rPr>
        <w:t>高标准农田标准应达到田块平整、集中连片、设施完善、节水高效、农电配套、宜机作业、土壤肥沃、生态友好、抗灾能力强，与现代农业生产和经营方式相适应的旱涝保收、稳产高产的耕地。</w:t>
      </w:r>
    </w:p>
    <w:p>
      <w:pPr>
        <w:pStyle w:val="4"/>
        <w:numPr>
          <w:ilvl w:val="0"/>
          <w:numId w:val="12"/>
        </w:numPr>
        <w:ind w:firstLineChars="0"/>
      </w:pPr>
      <w:bookmarkStart w:id="22" w:name="_Toc22423"/>
      <w:r>
        <w:rPr>
          <w:rFonts w:hint="eastAsia"/>
        </w:rPr>
        <w:t>建设内容</w:t>
      </w:r>
      <w:bookmarkEnd w:id="22"/>
    </w:p>
    <w:p>
      <w:pPr>
        <w:pStyle w:val="13"/>
        <w:spacing w:line="594" w:lineRule="exact"/>
        <w:ind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依据《高标准农田建设通则》（GB/T30600—2022），沙坪坝区高标准农田</w:t>
      </w:r>
      <w:r>
        <w:rPr>
          <w:rFonts w:ascii="Times New Roman" w:hAnsi="Times New Roman" w:eastAsia="方正仿宋_GBK" w:cs="方正仿宋_GBK"/>
          <w:sz w:val="32"/>
          <w:szCs w:val="32"/>
        </w:rPr>
        <w:t>建设内容</w:t>
      </w:r>
      <w:r>
        <w:rPr>
          <w:rFonts w:hint="eastAsia" w:ascii="Times New Roman" w:hAnsi="Times New Roman" w:eastAsia="方正仿宋_GBK" w:cs="方正仿宋_GBK"/>
          <w:sz w:val="32"/>
          <w:szCs w:val="32"/>
        </w:rPr>
        <w:t>分为农田基础设施建设工程和农田地力提升工程。其中农田基础设施建设工程包括田块整治</w:t>
      </w:r>
      <w:r>
        <w:rPr>
          <w:rFonts w:ascii="Times New Roman" w:hAnsi="Times New Roman" w:eastAsia="方正仿宋_GBK" w:cs="方正仿宋_GBK"/>
          <w:sz w:val="32"/>
          <w:szCs w:val="32"/>
        </w:rPr>
        <w:t>工程、灌溉与排水工程、田间道路工程、农田防护与生态环境保</w:t>
      </w:r>
      <w:r>
        <w:rPr>
          <w:rFonts w:hint="eastAsia" w:ascii="Times New Roman" w:hAnsi="Times New Roman" w:eastAsia="方正仿宋_GBK" w:cs="方正仿宋_GBK"/>
          <w:sz w:val="32"/>
          <w:szCs w:val="32"/>
        </w:rPr>
        <w:t>护</w:t>
      </w:r>
      <w:r>
        <w:rPr>
          <w:rFonts w:ascii="Times New Roman" w:hAnsi="Times New Roman" w:eastAsia="方正仿宋_GBK" w:cs="方正仿宋_GBK"/>
          <w:sz w:val="32"/>
          <w:szCs w:val="32"/>
        </w:rPr>
        <w:t>工程、农田输配电工程</w:t>
      </w:r>
      <w:r>
        <w:rPr>
          <w:rFonts w:hint="eastAsia" w:ascii="Times New Roman" w:hAnsi="Times New Roman" w:eastAsia="方正仿宋_GBK" w:cs="方正仿宋_GBK"/>
          <w:sz w:val="32"/>
          <w:szCs w:val="32"/>
        </w:rPr>
        <w:t>和其他工程；农田地力提升工程包括土壤改良、障碍土层消除、土壤培肥等。</w:t>
      </w:r>
    </w:p>
    <w:p>
      <w:pPr>
        <w:pStyle w:val="5"/>
        <w:numPr>
          <w:ilvl w:val="0"/>
          <w:numId w:val="13"/>
        </w:numPr>
        <w:ind w:left="0" w:firstLine="640"/>
      </w:pPr>
      <w:r>
        <w:rPr>
          <w:rFonts w:hint="eastAsia"/>
        </w:rPr>
        <w:t>农田基础设施建设工程</w:t>
      </w:r>
    </w:p>
    <w:p>
      <w:pPr>
        <w:pStyle w:val="130"/>
        <w:numPr>
          <w:ilvl w:val="0"/>
          <w:numId w:val="14"/>
        </w:numPr>
        <w:spacing w:line="594" w:lineRule="exact"/>
        <w:ind w:firstLine="907" w:firstLineChars="0"/>
        <w:outlineLvl w:val="3"/>
        <w:rPr>
          <w:rFonts w:cs="方正仿宋_GBK"/>
          <w:b/>
          <w:bCs/>
        </w:rPr>
      </w:pPr>
      <w:r>
        <w:rPr>
          <w:rFonts w:hint="eastAsia" w:cs="方正仿宋_GBK"/>
          <w:b/>
          <w:bCs/>
        </w:rPr>
        <w:t>田块整治</w:t>
      </w:r>
      <w:r>
        <w:rPr>
          <w:rFonts w:cs="方正仿宋_GBK"/>
          <w:b/>
          <w:bCs/>
        </w:rPr>
        <w:t>工程</w:t>
      </w:r>
    </w:p>
    <w:p>
      <w:pPr>
        <w:adjustRightInd w:val="0"/>
        <w:snapToGrid w:val="0"/>
        <w:spacing w:line="594" w:lineRule="exact"/>
        <w:ind w:firstLine="640"/>
        <w:rPr>
          <w:rFonts w:cs="方正仿宋_GBK"/>
        </w:rPr>
      </w:pPr>
      <w:r>
        <w:rPr>
          <w:rFonts w:hint="eastAsia" w:cs="方正仿宋_GBK"/>
        </w:rPr>
        <w:t>充分考虑水资源承载能力和生态容量等因素，优化农田布局，实现田块集中、田面平整，满足农业规模化生产和机械化作业要求。</w:t>
      </w:r>
    </w:p>
    <w:p>
      <w:pPr>
        <w:adjustRightInd w:val="0"/>
        <w:snapToGrid w:val="0"/>
        <w:spacing w:line="594" w:lineRule="exact"/>
        <w:ind w:firstLine="640"/>
        <w:rPr>
          <w:rFonts w:cs="方正仿宋_GBK"/>
        </w:rPr>
      </w:pPr>
      <w:r>
        <w:rPr>
          <w:rFonts w:hint="eastAsia" w:cs="方正仿宋_GBK"/>
        </w:rPr>
        <w:t>地面坡度小于</w:t>
      </w:r>
      <w:r>
        <w:rPr>
          <w:rFonts w:hint="eastAsia" w:cs="方正仿宋_GBK"/>
          <w:spacing w:val="-20"/>
        </w:rPr>
        <w:t>6°</w:t>
      </w:r>
      <w:r>
        <w:rPr>
          <w:rFonts w:hint="eastAsia" w:cs="方正仿宋_GBK"/>
        </w:rPr>
        <w:t>的集中连片平坝区，重点开展条格田和缓坡</w:t>
      </w:r>
      <w:r>
        <w:rPr>
          <w:rFonts w:hint="eastAsia" w:cs="方正仿宋_GBK"/>
          <w:spacing w:val="-20"/>
        </w:rPr>
        <w:t>旱地建设，适应规模化、现代化、生态化的农田生产需要。6°</w:t>
      </w:r>
      <w:r>
        <w:rPr>
          <w:rFonts w:hint="eastAsia" w:cs="方正仿宋_GBK"/>
        </w:rPr>
        <w:t>~</w:t>
      </w:r>
      <w:r>
        <w:rPr>
          <w:rFonts w:hint="eastAsia" w:cs="方正仿宋_GBK"/>
          <w:spacing w:val="-20"/>
        </w:rPr>
        <w:t>15°</w:t>
      </w:r>
      <w:r>
        <w:rPr>
          <w:rFonts w:hint="eastAsia" w:cs="方正仿宋_GBK"/>
        </w:rPr>
        <w:t>的坡地区重点开展梯田、坡改梯和降坡平整，增强农田保土、保水和保肥能力。</w:t>
      </w:r>
      <w:r>
        <w:rPr>
          <w:rFonts w:hint="eastAsia" w:cs="方正仿宋_GBK"/>
          <w:spacing w:val="-20"/>
        </w:rPr>
        <w:t>25°</w:t>
      </w:r>
      <w:r>
        <w:rPr>
          <w:rFonts w:hint="eastAsia" w:cs="方正仿宋_GBK"/>
        </w:rPr>
        <w:t>以上耕地宜建设水平梯田、坡式梯田或隔坡梯田。梯田田坎砌筑就地取材、土石结合，保证稳固，尽可能降低建设成本。</w:t>
      </w:r>
    </w:p>
    <w:p>
      <w:pPr>
        <w:adjustRightInd w:val="0"/>
        <w:snapToGrid w:val="0"/>
        <w:spacing w:line="594" w:lineRule="exact"/>
        <w:ind w:firstLine="640"/>
        <w:rPr>
          <w:rFonts w:cs="方正仿宋_GBK"/>
        </w:rPr>
      </w:pPr>
      <w:r>
        <w:rPr>
          <w:rFonts w:hint="eastAsia" w:cs="方正仿宋_GBK"/>
        </w:rPr>
        <w:t>在实施田块归并时避免大挖大填过度归并，必须进行耕作层表土剥离和利用。田块整治后满足宜机化作业要求，按照“田就是路，路就是田”的原则构建便捷高效的田间道路体系。建成后的高标准农田，农田有效土层厚度宜达到50cm以上，水田耕作层厚度≥20cm，旱地耕作层厚度≥25cm，梯田化率达到90%以上，田间基础设施占地率一般不超过8%。</w:t>
      </w:r>
    </w:p>
    <w:p>
      <w:pPr>
        <w:pStyle w:val="130"/>
        <w:numPr>
          <w:ilvl w:val="0"/>
          <w:numId w:val="14"/>
        </w:numPr>
        <w:spacing w:line="594" w:lineRule="exact"/>
        <w:ind w:firstLine="907" w:firstLineChars="0"/>
        <w:outlineLvl w:val="3"/>
        <w:rPr>
          <w:rFonts w:cs="方正仿宋_GBK"/>
          <w:b/>
          <w:bCs/>
        </w:rPr>
      </w:pPr>
      <w:r>
        <w:rPr>
          <w:rFonts w:hint="eastAsia" w:cs="方正仿宋_GBK"/>
          <w:b/>
          <w:bCs/>
        </w:rPr>
        <w:t>灌溉与排水工程</w:t>
      </w:r>
    </w:p>
    <w:p>
      <w:pPr>
        <w:adjustRightInd w:val="0"/>
        <w:snapToGrid w:val="0"/>
        <w:spacing w:line="594" w:lineRule="exact"/>
        <w:ind w:firstLine="640"/>
        <w:rPr>
          <w:rFonts w:cs="方正仿宋_GBK"/>
        </w:rPr>
      </w:pPr>
      <w:r>
        <w:rPr>
          <w:rFonts w:hint="eastAsia" w:cs="方正仿宋_GBK"/>
        </w:rPr>
        <w:t>按照旱、涝、渍综合治理的要求，科学规划建设田间灌排工程，加强田间灌排工程与普照寺水库、干堰塘水库等中小型灌区骨干工程的衔接配套，形成从水源到田间完整的灌排体系。因地制宜开展高效节水灌溉工程建设，配套取水、输水、配水工程和计量设施，提高农业灌溉用水效率。倡导建设生态型灌排系统，保护农田生态环境。</w:t>
      </w:r>
    </w:p>
    <w:p>
      <w:pPr>
        <w:adjustRightInd w:val="0"/>
        <w:snapToGrid w:val="0"/>
        <w:spacing w:line="594" w:lineRule="exact"/>
        <w:ind w:firstLine="640"/>
        <w:rPr>
          <w:rFonts w:cs="方正仿宋_GBK"/>
        </w:rPr>
      </w:pPr>
      <w:r>
        <w:rPr>
          <w:rFonts w:hint="eastAsia" w:cs="方正仿宋_GBK"/>
        </w:rPr>
        <w:t>建成后，田间灌排系统完善、工程配套、利用充分，输、配、灌、排水及时高效，灌溉水利用效率和水分产出率明显提高，灌溉保证率不低于80%，旱作区农田排水设计暴雨重现期达到10年一遇，1~3d暴雨从作物受淹起1~3d排至田面无积水；水稻区农田排水设计暴雨重现期达到10年一遇，1~ 3d暴雨3~5d排至作物耐淹水深。</w:t>
      </w:r>
    </w:p>
    <w:p>
      <w:pPr>
        <w:pStyle w:val="130"/>
        <w:numPr>
          <w:ilvl w:val="0"/>
          <w:numId w:val="14"/>
        </w:numPr>
        <w:spacing w:line="594" w:lineRule="exact"/>
        <w:ind w:firstLine="907" w:firstLineChars="0"/>
        <w:outlineLvl w:val="3"/>
        <w:rPr>
          <w:rFonts w:cs="方正仿宋_GBK"/>
          <w:b/>
          <w:bCs/>
        </w:rPr>
      </w:pPr>
      <w:r>
        <w:rPr>
          <w:rFonts w:hint="eastAsia" w:cs="方正仿宋_GBK"/>
          <w:b/>
          <w:bCs/>
        </w:rPr>
        <w:t>田间道路工程</w:t>
      </w:r>
    </w:p>
    <w:p>
      <w:pPr>
        <w:adjustRightInd w:val="0"/>
        <w:snapToGrid w:val="0"/>
        <w:spacing w:line="594" w:lineRule="exact"/>
        <w:ind w:firstLine="640"/>
        <w:rPr>
          <w:rFonts w:cs="方正仿宋_GBK"/>
        </w:rPr>
      </w:pPr>
      <w:r>
        <w:rPr>
          <w:rFonts w:hint="eastAsia" w:cs="方正仿宋_GBK"/>
        </w:rPr>
        <w:t>田间道路布置按照区域生产作业需要和农业机械化要求，优化机耕路、生产路布局，整修田间道路，充分利用现有农村公路，因地制宜确定道路密度、宽度等要求。机耕路宽度宜3~4m，生产路宽度一般不超过3m，在大型机械化作业区，路面可适当放宽。合理配套建设农机下田坡道、桥涵、错车点和末端掉头点等附属设施，提高农机作业便捷度。倡导建设生态型田间道路，按照“田就是路，路就是田”原则，因地制宜减少硬化路面及附属设施对生态的不利影响。</w:t>
      </w:r>
    </w:p>
    <w:p>
      <w:pPr>
        <w:adjustRightInd w:val="0"/>
        <w:snapToGrid w:val="0"/>
        <w:spacing w:line="594" w:lineRule="exact"/>
        <w:ind w:firstLine="640"/>
        <w:rPr>
          <w:rFonts w:cs="方正仿宋_GBK"/>
        </w:rPr>
      </w:pPr>
      <w:r>
        <w:rPr>
          <w:rFonts w:hint="eastAsia" w:cs="方正仿宋_GBK"/>
        </w:rPr>
        <w:t>建成后，在集中连片的耕作田块中，田间道路直接通达的田块数占田块总数的比例达到90%以上，满足农机作业、农资运输等农业生产活动的要求。</w:t>
      </w:r>
    </w:p>
    <w:p>
      <w:pPr>
        <w:pStyle w:val="130"/>
        <w:numPr>
          <w:ilvl w:val="0"/>
          <w:numId w:val="14"/>
        </w:numPr>
        <w:spacing w:line="594" w:lineRule="exact"/>
        <w:ind w:firstLine="907" w:firstLineChars="0"/>
        <w:outlineLvl w:val="3"/>
        <w:rPr>
          <w:rFonts w:cs="方正仿宋_GBK"/>
          <w:b/>
          <w:bCs/>
        </w:rPr>
      </w:pPr>
      <w:r>
        <w:rPr>
          <w:rFonts w:hint="eastAsia" w:cs="方正仿宋_GBK"/>
          <w:b/>
          <w:bCs/>
        </w:rPr>
        <w:t>农田防护与生态环境保护工程</w:t>
      </w:r>
    </w:p>
    <w:p>
      <w:pPr>
        <w:adjustRightInd w:val="0"/>
        <w:snapToGrid w:val="0"/>
        <w:spacing w:line="594" w:lineRule="exact"/>
        <w:ind w:firstLine="640"/>
        <w:rPr>
          <w:rFonts w:cs="方正仿宋_GBK"/>
        </w:rPr>
      </w:pPr>
      <w:r>
        <w:rPr>
          <w:rFonts w:hint="eastAsia" w:cs="方正仿宋_GBK"/>
        </w:rPr>
        <w:t>根据因害设防、因地制宜的原则，对农田防护与生态环境保护工程进行合理布局，与田块、沟渠、道路等工程相结合，与村庄环境相协调，完善农田防护与生态环境保护体系。以水土流失易发区为重点，加强农田防护与生态环境保护工程建设，完善农田防护林体系。在水土流失易发区，合理修筑岸坡防护、沟道治理、坡面防护等设施，提高水土保持和防洪能力。</w:t>
      </w:r>
    </w:p>
    <w:p>
      <w:pPr>
        <w:adjustRightInd w:val="0"/>
        <w:snapToGrid w:val="0"/>
        <w:spacing w:line="594" w:lineRule="exact"/>
        <w:ind w:firstLine="640"/>
        <w:rPr>
          <w:rFonts w:cs="方正仿宋_GBK"/>
        </w:rPr>
      </w:pPr>
      <w:r>
        <w:rPr>
          <w:rFonts w:hint="eastAsia" w:cs="方正仿宋_GBK"/>
        </w:rPr>
        <w:t>建成后，高标准农田建设区受防护的农田面积比例不低于 90%。</w:t>
      </w:r>
    </w:p>
    <w:p>
      <w:pPr>
        <w:pStyle w:val="130"/>
        <w:numPr>
          <w:ilvl w:val="0"/>
          <w:numId w:val="14"/>
        </w:numPr>
        <w:spacing w:line="594" w:lineRule="exact"/>
        <w:ind w:firstLine="907" w:firstLineChars="0"/>
        <w:outlineLvl w:val="3"/>
        <w:rPr>
          <w:rFonts w:cs="方正仿宋_GBK"/>
          <w:b/>
          <w:bCs/>
        </w:rPr>
      </w:pPr>
      <w:r>
        <w:rPr>
          <w:rFonts w:hint="eastAsia" w:cs="方正仿宋_GBK"/>
          <w:b/>
          <w:bCs/>
        </w:rPr>
        <w:t>农田输配电工程</w:t>
      </w:r>
    </w:p>
    <w:p>
      <w:pPr>
        <w:adjustRightInd w:val="0"/>
        <w:snapToGrid w:val="0"/>
        <w:spacing w:line="594" w:lineRule="exact"/>
        <w:ind w:firstLine="640"/>
        <w:rPr>
          <w:rFonts w:cs="方正仿宋_GBK"/>
        </w:rPr>
      </w:pPr>
      <w:r>
        <w:rPr>
          <w:rFonts w:hint="eastAsia" w:cs="方正仿宋_GBK"/>
        </w:rPr>
        <w:t>对适宜电力灌排和信息化的农田，铺设高压和低压输电线路，配套建设变配电设施，为泵站、机井以及信息化工程等提供电力保障。根据农田现代化建设和管理要求，合理布设弱电设施。输配电设施布设应与田间道路、灌溉与排水等工程相结合。</w:t>
      </w:r>
    </w:p>
    <w:p>
      <w:pPr>
        <w:adjustRightInd w:val="0"/>
        <w:snapToGrid w:val="0"/>
        <w:spacing w:line="594" w:lineRule="exact"/>
        <w:ind w:firstLine="640"/>
        <w:rPr>
          <w:rFonts w:cs="方正仿宋_GBK"/>
        </w:rPr>
      </w:pPr>
      <w:r>
        <w:rPr>
          <w:rFonts w:hint="eastAsia" w:cs="方正仿宋_GBK"/>
        </w:rPr>
        <w:t>建成后，实现农田机井、泵站等供电设施完善，电力系统安装与运行符合相关标准，用电质量和安全水平得到提高。</w:t>
      </w:r>
    </w:p>
    <w:p>
      <w:pPr>
        <w:pStyle w:val="130"/>
        <w:numPr>
          <w:ilvl w:val="0"/>
          <w:numId w:val="14"/>
        </w:numPr>
        <w:spacing w:line="594" w:lineRule="exact"/>
        <w:ind w:firstLine="907" w:firstLineChars="0"/>
        <w:outlineLvl w:val="3"/>
        <w:rPr>
          <w:rFonts w:cs="方正仿宋_GBK"/>
          <w:b/>
          <w:bCs/>
        </w:rPr>
      </w:pPr>
      <w:r>
        <w:rPr>
          <w:rFonts w:hint="eastAsia" w:cs="方正仿宋_GBK"/>
          <w:b/>
          <w:bCs/>
        </w:rPr>
        <w:t>其他工程</w:t>
      </w:r>
    </w:p>
    <w:p>
      <w:pPr>
        <w:adjustRightInd w:val="0"/>
        <w:snapToGrid w:val="0"/>
        <w:spacing w:line="594" w:lineRule="exact"/>
        <w:ind w:firstLine="643"/>
        <w:rPr>
          <w:rFonts w:cs="方正仿宋_GBK"/>
        </w:rPr>
      </w:pPr>
      <w:r>
        <w:rPr>
          <w:rFonts w:hint="eastAsia" w:cs="方正仿宋_GBK"/>
          <w:b/>
          <w:bCs/>
        </w:rPr>
        <w:t>田间监测工程</w:t>
      </w:r>
      <w:r>
        <w:rPr>
          <w:rFonts w:hint="eastAsia" w:cs="方正仿宋_GBK"/>
        </w:rPr>
        <w:t xml:space="preserve"> 在“十三五”时期建设的耕地质量定位监测点的基础上，持续开展耕地质量监测，不断完善田间定位监测系统，按不低于每3.5万～5万亩设置1个监测点的密度要求，在梁滩河流域新增高标准农田耕地质量长期定位监测点1个。推广免耕少耕、秸秆还田、酸化土壤改良等技术措施，保护和持续提升耕地质量。推进数字农业、良种良法、科学施肥、病虫害综合防治等农业科技应用，科学合理利用高标准农田。</w:t>
      </w:r>
    </w:p>
    <w:p>
      <w:pPr>
        <w:pStyle w:val="5"/>
        <w:numPr>
          <w:ilvl w:val="0"/>
          <w:numId w:val="13"/>
        </w:numPr>
        <w:ind w:left="0" w:firstLine="640"/>
      </w:pPr>
      <w:r>
        <w:rPr>
          <w:rFonts w:hint="eastAsia"/>
        </w:rPr>
        <w:t>农田地力提升工程</w:t>
      </w:r>
    </w:p>
    <w:p>
      <w:pPr>
        <w:pStyle w:val="130"/>
        <w:numPr>
          <w:ilvl w:val="0"/>
          <w:numId w:val="15"/>
        </w:numPr>
        <w:spacing w:line="594" w:lineRule="exact"/>
        <w:ind w:firstLine="907" w:firstLineChars="0"/>
        <w:outlineLvl w:val="3"/>
        <w:rPr>
          <w:rFonts w:cs="方正仿宋_GBK"/>
          <w:b/>
          <w:bCs/>
        </w:rPr>
      </w:pPr>
      <w:r>
        <w:rPr>
          <w:rFonts w:hint="eastAsia" w:cs="方正仿宋_GBK"/>
          <w:b/>
          <w:bCs/>
        </w:rPr>
        <w:t>土壤改良</w:t>
      </w:r>
    </w:p>
    <w:p>
      <w:pPr>
        <w:adjustRightInd w:val="0"/>
        <w:snapToGrid w:val="0"/>
        <w:spacing w:line="594" w:lineRule="exact"/>
        <w:ind w:firstLine="640"/>
        <w:rPr>
          <w:rFonts w:cs="方正仿宋_GBK"/>
          <w:b/>
          <w:bCs/>
        </w:rPr>
      </w:pPr>
      <w:r>
        <w:rPr>
          <w:rFonts w:hint="eastAsia" w:cs="方正仿宋_GBK"/>
        </w:rPr>
        <w:t>根据土壤退化成因，可采取物理、化学、生物或工程等综合措施治理。酸化土壤应根据土壤酸化程度，利用石灰质物质、土壤调理剂、有机肥等进行改良，改良后土壤pH应达到5. 5以上至中性。根据不同区域生产条件，推广合理轮作模式，减轻连作障碍，改善土壤生态环境；耕作层土壤重金属含量应符合相关国家标准规定。</w:t>
      </w:r>
    </w:p>
    <w:p>
      <w:pPr>
        <w:pStyle w:val="130"/>
        <w:numPr>
          <w:ilvl w:val="0"/>
          <w:numId w:val="15"/>
        </w:numPr>
        <w:spacing w:line="594" w:lineRule="exact"/>
        <w:ind w:firstLine="907" w:firstLineChars="0"/>
        <w:outlineLvl w:val="3"/>
        <w:rPr>
          <w:rFonts w:cs="方正仿宋_GBK"/>
          <w:b/>
          <w:bCs/>
        </w:rPr>
      </w:pPr>
      <w:r>
        <w:rPr>
          <w:rFonts w:hint="eastAsia" w:cs="方正仿宋_GBK"/>
          <w:b/>
          <w:bCs/>
        </w:rPr>
        <w:t>土壤培肥</w:t>
      </w:r>
    </w:p>
    <w:p>
      <w:pPr>
        <w:adjustRightInd w:val="0"/>
        <w:snapToGrid w:val="0"/>
        <w:spacing w:line="594" w:lineRule="exact"/>
        <w:ind w:firstLine="392"/>
        <w:rPr>
          <w:rFonts w:cs="方正仿宋_GBK"/>
        </w:rPr>
      </w:pPr>
      <w:r>
        <w:rPr>
          <w:rFonts w:ascii="微软雅黑" w:hAnsi="微软雅黑" w:eastAsia="微软雅黑" w:cs="微软雅黑"/>
          <w:spacing w:val="3"/>
          <w:position w:val="-2"/>
          <w:sz w:val="19"/>
          <w:szCs w:val="19"/>
        </w:rPr>
        <w:t xml:space="preserve"> </w:t>
      </w:r>
      <w:r>
        <w:rPr>
          <w:rFonts w:hint="eastAsia" w:cs="方正仿宋_GBK"/>
        </w:rPr>
        <w:t xml:space="preserve"> 高标准农田建成后，通过秸秆还田、施有机肥、种植绿肥、深耕深松等措施，保持或提高耕地地力；实施测土配方施肥 ，使养分比例适宜作物生长，测土配方施肥覆盖率应达到95%以上。 </w:t>
      </w:r>
    </w:p>
    <w:p>
      <w:pPr>
        <w:pStyle w:val="13"/>
        <w:ind w:firstLine="640"/>
        <w:rPr>
          <w:rFonts w:ascii="Times New Roman" w:hAnsi="Times New Roman" w:eastAsia="方正仿宋_GBK" w:cs="方正仿宋_GBK"/>
          <w:sz w:val="32"/>
          <w:szCs w:val="32"/>
        </w:rPr>
      </w:pPr>
    </w:p>
    <w:p>
      <w:pPr>
        <w:pStyle w:val="13"/>
        <w:ind w:firstLine="640"/>
        <w:rPr>
          <w:rFonts w:ascii="Times New Roman" w:hAnsi="Times New Roman" w:eastAsia="方正仿宋_GBK" w:cs="方正仿宋_GBK"/>
          <w:sz w:val="32"/>
          <w:szCs w:val="32"/>
        </w:rPr>
      </w:pPr>
    </w:p>
    <w:p>
      <w:pPr>
        <w:ind w:firstLine="640"/>
      </w:pPr>
      <w:r>
        <w:rPr>
          <w:rFonts w:hint="eastAsia" w:cs="方正仿宋_GBK"/>
        </w:rPr>
        <w:br w:type="page"/>
      </w:r>
    </w:p>
    <w:p>
      <w:pPr>
        <w:pStyle w:val="3"/>
        <w:numPr>
          <w:ilvl w:val="0"/>
          <w:numId w:val="2"/>
        </w:numPr>
        <w:spacing w:before="0" w:after="600"/>
        <w:rPr>
          <w:bCs w:val="0"/>
        </w:rPr>
      </w:pPr>
      <w:bookmarkStart w:id="23" w:name="_Toc31353"/>
      <w:bookmarkStart w:id="24" w:name="_Toc21406"/>
      <w:r>
        <w:rPr>
          <w:bCs w:val="0"/>
        </w:rPr>
        <w:t>建设监管与后续管护</w:t>
      </w:r>
      <w:bookmarkEnd w:id="23"/>
      <w:bookmarkEnd w:id="24"/>
    </w:p>
    <w:p>
      <w:pPr>
        <w:pStyle w:val="4"/>
        <w:numPr>
          <w:ilvl w:val="0"/>
          <w:numId w:val="16"/>
        </w:numPr>
        <w:ind w:firstLineChars="0"/>
      </w:pPr>
      <w:bookmarkStart w:id="25" w:name="_Toc15353"/>
      <w:bookmarkStart w:id="26" w:name="_Toc21623"/>
      <w:r>
        <w:t>强化</w:t>
      </w:r>
      <w:r>
        <w:rPr>
          <w:rFonts w:hint="eastAsia"/>
        </w:rPr>
        <w:t>建设</w:t>
      </w:r>
      <w:r>
        <w:t>监管</w:t>
      </w:r>
      <w:bookmarkEnd w:id="25"/>
      <w:bookmarkEnd w:id="26"/>
    </w:p>
    <w:p>
      <w:pPr>
        <w:ind w:firstLine="643"/>
      </w:pPr>
      <w:bookmarkStart w:id="27" w:name="_Toc210124471"/>
      <w:r>
        <w:rPr>
          <w:b/>
          <w:bCs/>
        </w:rPr>
        <w:t>严控建设质量。</w:t>
      </w:r>
      <w:r>
        <w:t>全面推行项目法人制、招标投标制、工程监理制、合同管理制，实现项目精细化管理，严格执行相关建设标准和规范，落实工程质量管理责任，确保建设质量。</w:t>
      </w:r>
    </w:p>
    <w:p>
      <w:pPr>
        <w:ind w:firstLine="643"/>
      </w:pPr>
      <w:r>
        <w:rPr>
          <w:b/>
          <w:bCs/>
        </w:rPr>
        <w:t>开展质量评价。</w:t>
      </w:r>
      <w:r>
        <w:t>依托布设的高标准农田耕地质量长期定位监测点，跟踪监测土壤理化性状、区域性特征等指标。按照《耕地质量等级》( GB / T 33469)，在建设前后分别开展耕地质量等级变更调查， 评价高标准农田粮食产能水平，逐步实现</w:t>
      </w:r>
      <w:r>
        <w:rPr>
          <w:rFonts w:hint="eastAsia"/>
        </w:rPr>
        <w:t>“</w:t>
      </w:r>
      <w:r>
        <w:t>建设一片、调查一片、评价一片</w:t>
      </w:r>
      <w:r>
        <w:rPr>
          <w:rFonts w:hint="eastAsia"/>
        </w:rPr>
        <w:t>”</w:t>
      </w:r>
      <w:r>
        <w:t>。</w:t>
      </w:r>
    </w:p>
    <w:p>
      <w:pPr>
        <w:ind w:firstLine="643"/>
      </w:pPr>
      <w:r>
        <w:rPr>
          <w:b/>
          <w:bCs/>
        </w:rPr>
        <w:t>加强社会监督。</w:t>
      </w:r>
      <w:r>
        <w:t>尊重农民意愿，维护农民权益，保障农民知情权、参与权和监督权。及时公开项目建设相关信息，在项目区设立统一规范的公示标牌和标志，接受社会和群众监督</w:t>
      </w:r>
      <w:r>
        <w:rPr>
          <w:rFonts w:hint="eastAsia"/>
        </w:rPr>
        <w:t>，强化农村集体经济组织管理功能，构建家庭农场、专业管护人员、专业合作组织等共同参与的管护体系</w:t>
      </w:r>
      <w:r>
        <w:t>。</w:t>
      </w:r>
    </w:p>
    <w:p>
      <w:pPr>
        <w:pStyle w:val="4"/>
        <w:numPr>
          <w:ilvl w:val="0"/>
          <w:numId w:val="16"/>
        </w:numPr>
        <w:ind w:firstLineChars="0"/>
      </w:pPr>
      <w:bookmarkStart w:id="28" w:name="_Toc18593"/>
      <w:bookmarkStart w:id="29" w:name="_Toc31749"/>
      <w:r>
        <w:t>统一上图入库</w:t>
      </w:r>
      <w:bookmarkEnd w:id="28"/>
      <w:bookmarkEnd w:id="29"/>
    </w:p>
    <w:p>
      <w:pPr>
        <w:ind w:firstLine="640"/>
      </w:pPr>
      <w:r>
        <w:t>新建高标准农田建设项目立项、实施、验收等各个阶段信息及时上图入库。严格执行信息报备制度，及时、全面、准确将各环节信息填报至全国农田建设监测监管平台，纳入国家统一监管。建立健全</w:t>
      </w:r>
      <w:r>
        <w:rPr>
          <w:rFonts w:hint="eastAsia"/>
        </w:rPr>
        <w:t>沙坪坝区</w:t>
      </w:r>
      <w:r>
        <w:t>高标准农田管理台账，全面掌握高标准农田建设基本情况和产出能力变化。</w:t>
      </w:r>
    </w:p>
    <w:bookmarkEnd w:id="27"/>
    <w:p>
      <w:pPr>
        <w:pStyle w:val="4"/>
        <w:numPr>
          <w:ilvl w:val="0"/>
          <w:numId w:val="16"/>
        </w:numPr>
        <w:ind w:firstLineChars="0"/>
      </w:pPr>
      <w:bookmarkStart w:id="30" w:name="_Toc1382"/>
      <w:bookmarkStart w:id="31" w:name="_Toc25911"/>
      <w:r>
        <w:t>规范竣工验收</w:t>
      </w:r>
      <w:bookmarkEnd w:id="30"/>
      <w:bookmarkEnd w:id="31"/>
    </w:p>
    <w:p>
      <w:pPr>
        <w:ind w:firstLine="643"/>
      </w:pPr>
      <w:r>
        <w:rPr>
          <w:b/>
          <w:bCs/>
        </w:rPr>
        <w:t>明确验收程序。</w:t>
      </w:r>
      <w:r>
        <w:t>按照</w:t>
      </w:r>
      <w:r>
        <w:rPr>
          <w:rFonts w:hint="eastAsia"/>
        </w:rPr>
        <w:t>“</w:t>
      </w:r>
      <w:r>
        <w:t>谁审批、谁验收</w:t>
      </w:r>
      <w:r>
        <w:rPr>
          <w:rFonts w:hint="eastAsia"/>
        </w:rPr>
        <w:t>”</w:t>
      </w:r>
      <w:r>
        <w:t>的原则，根据现行农田建设项目管理</w:t>
      </w:r>
      <w:r>
        <w:rPr>
          <w:rFonts w:hint="eastAsia"/>
        </w:rPr>
        <w:t>相关</w:t>
      </w:r>
      <w:r>
        <w:t>规定，</w:t>
      </w:r>
      <w:r>
        <w:rPr>
          <w:rFonts w:hint="eastAsia"/>
        </w:rPr>
        <w:t>及时组织开展项目建设过程各环节、各类别验收，完工后，及时开展区级验收，完成竣工决算后，申请市级验收。</w:t>
      </w:r>
    </w:p>
    <w:p>
      <w:pPr>
        <w:ind w:firstLine="643"/>
      </w:pPr>
      <w:r>
        <w:rPr>
          <w:b/>
          <w:bCs/>
        </w:rPr>
        <w:t>规范项目归档。</w:t>
      </w:r>
      <w:r>
        <w:rPr>
          <w:rFonts w:hint="eastAsia"/>
        </w:rPr>
        <w:t>做好高标准农田建设全过程</w:t>
      </w:r>
      <w:r>
        <w:rPr>
          <w:rFonts w:hint="eastAsia" w:ascii="方正仿宋_GBK"/>
          <w:kern w:val="0"/>
          <w:shd w:val="clear" w:color="auto" w:fill="FFFFFF"/>
        </w:rPr>
        <w:t>档案的收集、保管和利用</w:t>
      </w:r>
      <w:r>
        <w:rPr>
          <w:rFonts w:hint="eastAsia"/>
        </w:rPr>
        <w:t>。</w:t>
      </w:r>
      <w:r>
        <w:t>项目竣工验收后，按照高标准农田档案管理有关规定，做好项目档案的收集、整理、组卷、存档工作。</w:t>
      </w:r>
    </w:p>
    <w:p>
      <w:pPr>
        <w:ind w:firstLine="643"/>
      </w:pPr>
      <w:r>
        <w:rPr>
          <w:b/>
          <w:bCs/>
        </w:rPr>
        <w:t>做好工程移交。</w:t>
      </w:r>
      <w:r>
        <w:t>工程竣工验收后，</w:t>
      </w:r>
      <w:r>
        <w:rPr>
          <w:rFonts w:hint="eastAsia"/>
        </w:rPr>
        <w:t>区农业农村委将工程明细登记造册，并及时将所建工程设施台账及竣工图移交到项目辖区镇街</w:t>
      </w:r>
      <w:r>
        <w:t>。</w:t>
      </w:r>
      <w:r>
        <w:rPr>
          <w:rFonts w:hint="eastAsia"/>
        </w:rPr>
        <w:t>辖区镇街及时明确管护责任，将工程设施台账及竣工图移交到项目所在村委会。</w:t>
      </w:r>
    </w:p>
    <w:p>
      <w:pPr>
        <w:pStyle w:val="4"/>
        <w:numPr>
          <w:ilvl w:val="0"/>
          <w:numId w:val="16"/>
        </w:numPr>
        <w:ind w:firstLineChars="0"/>
      </w:pPr>
      <w:bookmarkStart w:id="32" w:name="_Toc2108"/>
      <w:bookmarkStart w:id="33" w:name="_Toc12170"/>
      <w:bookmarkStart w:id="34" w:name="_Toc25660"/>
      <w:r>
        <w:t>加强后期管护</w:t>
      </w:r>
      <w:bookmarkEnd w:id="32"/>
      <w:bookmarkEnd w:id="33"/>
      <w:bookmarkEnd w:id="34"/>
    </w:p>
    <w:p>
      <w:pPr>
        <w:ind w:firstLine="643"/>
      </w:pPr>
      <w:r>
        <w:rPr>
          <w:b/>
          <w:bCs/>
        </w:rPr>
        <w:t>明确责任主体</w:t>
      </w:r>
      <w:r>
        <w:rPr>
          <w:rFonts w:hint="eastAsia"/>
          <w:b/>
          <w:bCs/>
        </w:rPr>
        <w:t>。</w:t>
      </w:r>
      <w:r>
        <w:rPr>
          <w:rFonts w:hint="eastAsia"/>
        </w:rPr>
        <w:t xml:space="preserve">新建成的高标准农田应优先划入永久基本农田储备区。按照“谁受益、谁管护，谁使用、谁管护”的原则，落实管护主体，压实管护责任，办理移交手续，签订管护合同。管护主体应对各项工程设施进行经常性检查维护，确保长期有效稳定利用。 </w:t>
      </w:r>
    </w:p>
    <w:p>
      <w:pPr>
        <w:ind w:firstLine="643"/>
      </w:pPr>
      <w:r>
        <w:rPr>
          <w:b/>
          <w:bCs/>
        </w:rPr>
        <w:t>健全管护机制</w:t>
      </w:r>
      <w:r>
        <w:rPr>
          <w:rFonts w:hint="eastAsia"/>
          <w:b/>
          <w:bCs/>
        </w:rPr>
        <w:t>。</w:t>
      </w:r>
      <w:r>
        <w:t>建立政府引导</w:t>
      </w:r>
      <w:r>
        <w:rPr>
          <w:rFonts w:hint="eastAsia"/>
        </w:rPr>
        <w:t>，</w:t>
      </w:r>
      <w:r>
        <w:t>行业部门监管</w:t>
      </w:r>
      <w:r>
        <w:rPr>
          <w:rFonts w:hint="eastAsia"/>
        </w:rPr>
        <w:t>，</w:t>
      </w:r>
      <w:r>
        <w:t>村级组织、受益农户、新型农业经营主体和专业管理机构、社会化服务组织等共同参与的管护机制和体系</w:t>
      </w:r>
      <w:r>
        <w:rPr>
          <w:rFonts w:hint="eastAsia"/>
        </w:rPr>
        <w:t>。按照权责明晰、运行有效的原则，建立健全日常管护和专项维护相结合的工程管护机制。相关部门要做好灌溉与排水、农田林网、输配电等工程管护的衔接，确保管护机制落实到位。</w:t>
      </w:r>
    </w:p>
    <w:p>
      <w:pPr>
        <w:ind w:firstLine="643"/>
      </w:pPr>
      <w:r>
        <w:rPr>
          <w:b/>
          <w:bCs/>
        </w:rPr>
        <w:t>落实管护资金</w:t>
      </w:r>
      <w:bookmarkStart w:id="35" w:name="_Toc9593"/>
      <w:r>
        <w:rPr>
          <w:rFonts w:hint="eastAsia"/>
          <w:b/>
          <w:bCs/>
        </w:rPr>
        <w:t>。</w:t>
      </w:r>
      <w:r>
        <w:t>建立农田建设项目管护经费合理保障机制。明确高标准农田建设所形成的农田设施的所有权和使用权</w:t>
      </w:r>
      <w:r>
        <w:rPr>
          <w:rFonts w:hint="eastAsia"/>
        </w:rPr>
        <w:t>。</w:t>
      </w:r>
      <w:r>
        <w:t>对公益性较强的灌排渠系、田间</w:t>
      </w:r>
      <w:r>
        <w:rPr>
          <w:highlight w:val="none"/>
        </w:rPr>
        <w:t>道</w:t>
      </w:r>
      <w:r>
        <w:t>等，可根据实际情况适当给予运行管护经费补助。探索通过新增耕地指标收益筹措后期管护资金。</w:t>
      </w:r>
    </w:p>
    <w:p>
      <w:pPr>
        <w:pStyle w:val="4"/>
        <w:numPr>
          <w:ilvl w:val="0"/>
          <w:numId w:val="16"/>
        </w:numPr>
        <w:ind w:firstLineChars="0"/>
      </w:pPr>
      <w:bookmarkStart w:id="36" w:name="_Toc30983"/>
      <w:r>
        <w:t>严格保护利用</w:t>
      </w:r>
      <w:bookmarkEnd w:id="35"/>
      <w:bookmarkEnd w:id="36"/>
    </w:p>
    <w:p>
      <w:pPr>
        <w:ind w:firstLine="643"/>
      </w:pPr>
      <w:r>
        <w:rPr>
          <w:rFonts w:hint="eastAsia"/>
          <w:b/>
          <w:bCs/>
        </w:rPr>
        <w:t>强化用途管控。</w:t>
      </w:r>
      <w:r>
        <w:t>已建成的高标准农田，要及时划为永久基本农田，实行特殊保护，</w:t>
      </w:r>
      <w:r>
        <w:rPr>
          <w:rFonts w:hint="eastAsia"/>
        </w:rPr>
        <w:t>遏制耕地“</w:t>
      </w:r>
      <w:r>
        <w:t>非农化</w:t>
      </w:r>
      <w:r>
        <w:rPr>
          <w:rFonts w:hint="eastAsia"/>
        </w:rPr>
        <w:t>”</w:t>
      </w:r>
      <w:r>
        <w:t>、防止</w:t>
      </w:r>
      <w:r>
        <w:rPr>
          <w:rFonts w:hint="eastAsia"/>
        </w:rPr>
        <w:t>耕地“</w:t>
      </w:r>
      <w:r>
        <w:t>非粮化</w:t>
      </w:r>
      <w:r>
        <w:rPr>
          <w:rFonts w:hint="eastAsia"/>
        </w:rPr>
        <w:t>”</w:t>
      </w:r>
      <w:r>
        <w:t>，任何单位和个人不得损毁、擅自占用或改变用途，确保长期发挥效益。严格耕地占用审批</w:t>
      </w:r>
      <w:r>
        <w:rPr>
          <w:rFonts w:hint="eastAsia"/>
        </w:rPr>
        <w:t>和用途管制</w:t>
      </w:r>
      <w:r>
        <w:t>，</w:t>
      </w:r>
      <w:r>
        <w:rPr>
          <w:rFonts w:hint="eastAsia"/>
        </w:rPr>
        <w:t>落实“占补平衡”制度，</w:t>
      </w:r>
      <w:r>
        <w:t>经依法批准占用高标准农田的，要及时补充，确保高标准农田数量不减少、质量不降低。</w:t>
      </w:r>
      <w:r>
        <w:rPr>
          <w:rFonts w:hint="eastAsia"/>
        </w:rPr>
        <w:t>推行合理耕作制度，</w:t>
      </w:r>
      <w:r>
        <w:rPr>
          <w:rFonts w:hint="eastAsia"/>
          <w:highlight w:val="none"/>
        </w:rPr>
        <w:t>实行用地养</w:t>
      </w:r>
      <w:r>
        <w:rPr>
          <w:rFonts w:hint="eastAsia"/>
        </w:rPr>
        <w:t>地相结合，加强后续培肥，防止地力下降，确保可持续利用。对自然损毁的高标准农田，要纳入年度建设任务，及时进行修复或补充。</w:t>
      </w:r>
    </w:p>
    <w:p>
      <w:pPr>
        <w:pStyle w:val="3"/>
        <w:numPr>
          <w:ilvl w:val="0"/>
          <w:numId w:val="2"/>
        </w:numPr>
        <w:spacing w:before="0" w:after="600"/>
        <w:rPr>
          <w:bCs w:val="0"/>
        </w:rPr>
      </w:pPr>
      <w:bookmarkStart w:id="37" w:name="_Toc13473"/>
      <w:r>
        <w:rPr>
          <w:rFonts w:hint="eastAsia"/>
          <w:bCs w:val="0"/>
        </w:rPr>
        <w:t>投资与效益分析</w:t>
      </w:r>
      <w:bookmarkEnd w:id="37"/>
    </w:p>
    <w:p>
      <w:pPr>
        <w:pStyle w:val="4"/>
        <w:numPr>
          <w:ilvl w:val="0"/>
          <w:numId w:val="17"/>
        </w:numPr>
        <w:ind w:firstLineChars="0"/>
      </w:pPr>
      <w:bookmarkStart w:id="38" w:name="_Toc17750"/>
      <w:r>
        <w:rPr>
          <w:rFonts w:hint="eastAsia"/>
        </w:rPr>
        <w:t>资金测算</w:t>
      </w:r>
      <w:bookmarkEnd w:id="38"/>
    </w:p>
    <w:p>
      <w:pPr>
        <w:pStyle w:val="21"/>
        <w:widowControl/>
        <w:spacing w:beforeAutospacing="0" w:afterAutospacing="0" w:line="594" w:lineRule="exact"/>
        <w:ind w:firstLine="640"/>
        <w:jc w:val="both"/>
        <w:rPr>
          <w:kern w:val="2"/>
          <w:sz w:val="32"/>
          <w:szCs w:val="24"/>
        </w:rPr>
      </w:pPr>
      <w:r>
        <w:rPr>
          <w:rFonts w:hint="eastAsia"/>
          <w:kern w:val="2"/>
          <w:sz w:val="32"/>
          <w:szCs w:val="24"/>
        </w:rPr>
        <w:t>依据《全国高标准农田建设规划（2021—2030年）》、《重庆市农田建设项目预算编制规定（试行）》等，综合考虑建设成本、物价波动、政府投入能力和多元筹资渠道等因素，新建高标准农田亩均投资一般应逐步达到3000元左右。</w:t>
      </w:r>
    </w:p>
    <w:p>
      <w:pPr>
        <w:pStyle w:val="21"/>
        <w:widowControl/>
        <w:spacing w:beforeAutospacing="0" w:afterAutospacing="0" w:line="594" w:lineRule="exact"/>
        <w:ind w:firstLine="640"/>
        <w:jc w:val="both"/>
        <w:rPr>
          <w:kern w:val="2"/>
          <w:sz w:val="32"/>
          <w:szCs w:val="24"/>
        </w:rPr>
      </w:pPr>
      <w:r>
        <w:rPr>
          <w:rFonts w:hint="eastAsia"/>
          <w:kern w:val="2"/>
          <w:sz w:val="32"/>
          <w:szCs w:val="24"/>
        </w:rPr>
        <w:t>2021—2022年正在建设中的高标准农田投资金额分别为470万和450万，亩均投资金额为1500左右，2023—2025年考虑建设成本上升等因素，按照2500元/亩的标准进行估算，其中市级重点项目丘陵山区高标准农田改造提升示范项目用地多为旱地，按照旱地3600元/亩的标准进行估算。</w:t>
      </w:r>
    </w:p>
    <w:p>
      <w:pPr>
        <w:pStyle w:val="21"/>
        <w:widowControl/>
        <w:spacing w:beforeAutospacing="0" w:afterAutospacing="0" w:line="594" w:lineRule="exact"/>
        <w:ind w:firstLine="640"/>
        <w:rPr>
          <w:kern w:val="2"/>
          <w:sz w:val="32"/>
          <w:szCs w:val="24"/>
        </w:rPr>
      </w:pPr>
      <w:r>
        <w:rPr>
          <w:rFonts w:hint="eastAsia"/>
          <w:kern w:val="2"/>
          <w:sz w:val="32"/>
          <w:szCs w:val="24"/>
        </w:rPr>
        <w:t>2026—2030年逐步提高按照3000元/亩的标准进行估算。</w:t>
      </w:r>
    </w:p>
    <w:p>
      <w:pPr>
        <w:spacing w:line="594" w:lineRule="exact"/>
        <w:ind w:firstLine="562"/>
        <w:rPr>
          <w:rFonts w:cs="Times New Roman"/>
          <w:b/>
          <w:sz w:val="28"/>
        </w:rPr>
      </w:pPr>
      <w:r>
        <w:rPr>
          <w:rFonts w:hint="eastAsia" w:cs="Times New Roman"/>
          <w:b/>
          <w:sz w:val="28"/>
        </w:rPr>
        <w:t>表6</w:t>
      </w:r>
      <w:r>
        <w:rPr>
          <w:rFonts w:cs="Times New Roman"/>
          <w:b/>
          <w:sz w:val="28"/>
        </w:rPr>
        <w:t xml:space="preserve">-1 </w:t>
      </w:r>
      <w:r>
        <w:rPr>
          <w:rFonts w:hint="eastAsia" w:cs="Times New Roman"/>
          <w:b/>
          <w:sz w:val="28"/>
        </w:rPr>
        <w:t>沙坪坝区</w:t>
      </w:r>
      <w:r>
        <w:rPr>
          <w:rFonts w:cs="Times New Roman"/>
          <w:b/>
          <w:sz w:val="28"/>
        </w:rPr>
        <w:t>20</w:t>
      </w:r>
      <w:r>
        <w:rPr>
          <w:rFonts w:hint="eastAsia" w:cs="Times New Roman"/>
          <w:b/>
          <w:sz w:val="28"/>
        </w:rPr>
        <w:t>21</w:t>
      </w:r>
      <w:r>
        <w:rPr>
          <w:rFonts w:cs="Times New Roman"/>
          <w:b/>
          <w:sz w:val="28"/>
        </w:rPr>
        <w:t>-20</w:t>
      </w:r>
      <w:r>
        <w:rPr>
          <w:rFonts w:hint="eastAsia" w:cs="Times New Roman"/>
          <w:b/>
          <w:sz w:val="28"/>
        </w:rPr>
        <w:t>30年度高标准农田建设投资估算表</w:t>
      </w:r>
    </w:p>
    <w:tbl>
      <w:tblPr>
        <w:tblStyle w:val="28"/>
        <w:tblpPr w:leftFromText="180" w:rightFromText="180" w:vertAnchor="text" w:horzAnchor="page" w:tblpXSpec="center" w:tblpY="267"/>
        <w:tblOverlap w:val="never"/>
        <w:tblW w:w="87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5322"/>
        <w:gridCol w:w="1453"/>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序号</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高标准农田建设项目名称</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实施规模（亩）</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1</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沙坪坝区2021年高标准农田建设项目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3000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沙坪坝区2022年高标准农田建设项目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3000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3</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沙坪坝区202</w:t>
            </w:r>
            <w:r>
              <w:rPr>
                <w:rFonts w:hint="eastAsia" w:ascii="方正仿宋_GBK" w:hAnsi="方正仿宋_GBK" w:cs="方正仿宋_GBK"/>
                <w:bCs/>
                <w:color w:val="000000"/>
                <w:kern w:val="0"/>
                <w:sz w:val="24"/>
                <w:szCs w:val="24"/>
                <w:lang w:val="en-US" w:eastAsia="zh-CN"/>
              </w:rPr>
              <w:t>2</w:t>
            </w:r>
            <w:r>
              <w:rPr>
                <w:rFonts w:hint="eastAsia" w:ascii="方正仿宋_GBK" w:hAnsi="方正仿宋_GBK" w:cs="方正仿宋_GBK"/>
                <w:bCs/>
                <w:color w:val="000000"/>
                <w:kern w:val="0"/>
                <w:sz w:val="24"/>
                <w:szCs w:val="24"/>
              </w:rPr>
              <w:t>年丘陵山区高标准农田改造提升示范项目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lang w:val="en-US" w:eastAsia="zh-CN"/>
              </w:rPr>
              <w:t>4</w:t>
            </w:r>
            <w:r>
              <w:rPr>
                <w:rFonts w:hint="eastAsia" w:ascii="方正仿宋_GBK" w:hAnsi="方正仿宋_GBK" w:cs="方正仿宋_GBK"/>
                <w:bCs/>
                <w:color w:val="000000"/>
                <w:kern w:val="0"/>
                <w:sz w:val="24"/>
                <w:szCs w:val="24"/>
              </w:rPr>
              <w:t>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hint="default"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bCs/>
                <w:color w:val="000000"/>
                <w:kern w:val="0"/>
                <w:sz w:val="24"/>
                <w:szCs w:val="24"/>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4</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沙坪坝区2023年凤凰镇高标准农田建设项目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1000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5</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沙坪坝区202</w:t>
            </w:r>
            <w:r>
              <w:rPr>
                <w:rFonts w:hint="eastAsia" w:ascii="方正仿宋_GBK" w:hAnsi="方正仿宋_GBK" w:cs="方正仿宋_GBK"/>
                <w:color w:val="000000"/>
                <w:kern w:val="0"/>
                <w:sz w:val="24"/>
                <w:szCs w:val="24"/>
                <w:lang w:val="en-US" w:eastAsia="zh-CN"/>
              </w:rPr>
              <w:t>3</w:t>
            </w:r>
            <w:r>
              <w:rPr>
                <w:rFonts w:hint="eastAsia" w:ascii="方正仿宋_GBK" w:hAnsi="方正仿宋_GBK" w:cs="方正仿宋_GBK"/>
                <w:color w:val="000000"/>
                <w:kern w:val="0"/>
                <w:sz w:val="24"/>
                <w:szCs w:val="24"/>
              </w:rPr>
              <w:t>年丘陵山区高标准农田改造提升示范项目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6</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沙坪坝区202</w:t>
            </w:r>
            <w:r>
              <w:rPr>
                <w:rFonts w:hint="eastAsia" w:ascii="方正仿宋_GBK" w:hAnsi="方正仿宋_GBK" w:cs="方正仿宋_GBK"/>
                <w:color w:val="000000"/>
                <w:kern w:val="0"/>
                <w:sz w:val="24"/>
                <w:szCs w:val="24"/>
                <w:lang w:val="en-US" w:eastAsia="zh-CN"/>
              </w:rPr>
              <w:t>4</w:t>
            </w:r>
            <w:r>
              <w:rPr>
                <w:rFonts w:hint="eastAsia" w:ascii="方正仿宋_GBK" w:hAnsi="方正仿宋_GBK" w:cs="方正仿宋_GBK"/>
                <w:color w:val="000000"/>
                <w:kern w:val="0"/>
                <w:sz w:val="24"/>
                <w:szCs w:val="24"/>
              </w:rPr>
              <w:t>年中梁镇丘陵山区高标准农田改造提升示范项目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lang w:val="en-US" w:eastAsia="zh-CN"/>
              </w:rPr>
              <w:t>3</w:t>
            </w:r>
            <w:r>
              <w:rPr>
                <w:rFonts w:hint="eastAsia" w:ascii="方正仿宋_GBK" w:hAnsi="方正仿宋_GBK" w:cs="方正仿宋_GBK"/>
                <w:bCs/>
                <w:color w:val="000000"/>
                <w:kern w:val="0"/>
                <w:sz w:val="24"/>
                <w:szCs w:val="24"/>
              </w:rPr>
              <w:t>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hint="default"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bCs/>
                <w:color w:val="000000"/>
                <w:kern w:val="0"/>
                <w:sz w:val="24"/>
                <w:szCs w:val="24"/>
                <w:lang w:val="en-US" w:eastAsia="zh-CN"/>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7</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沙坪坝区2025年中梁镇高标准农田建设项目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小计</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1</w:t>
            </w:r>
            <w:r>
              <w:rPr>
                <w:rFonts w:hint="eastAsia" w:ascii="方正仿宋_GBK" w:hAnsi="方正仿宋_GBK" w:cs="方正仿宋_GBK"/>
                <w:bCs/>
                <w:color w:val="000000"/>
                <w:kern w:val="0"/>
                <w:sz w:val="24"/>
                <w:szCs w:val="24"/>
                <w:lang w:val="en-US" w:eastAsia="zh-CN"/>
              </w:rPr>
              <w:t>80</w:t>
            </w:r>
            <w:r>
              <w:rPr>
                <w:rFonts w:hint="eastAsia" w:ascii="方正仿宋_GBK" w:hAnsi="方正仿宋_GBK" w:cs="方正仿宋_GBK"/>
                <w:bCs/>
                <w:color w:val="000000"/>
                <w:kern w:val="0"/>
                <w:sz w:val="24"/>
                <w:szCs w:val="24"/>
              </w:rPr>
              <w:t>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hint="default"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color w:val="000000"/>
                <w:kern w:val="0"/>
                <w:sz w:val="24"/>
                <w:szCs w:val="24"/>
                <w:lang w:val="en-US" w:eastAsia="zh-CN"/>
              </w:rPr>
              <w:t>4910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hint="eastAsia" w:ascii="方正仿宋_GBK" w:hAnsi="方正仿宋_GBK" w:eastAsia="方正仿宋_GBK" w:cs="方正仿宋_GBK"/>
                <w:bCs/>
                <w:color w:val="000000"/>
                <w:kern w:val="0"/>
                <w:sz w:val="24"/>
                <w:szCs w:val="24"/>
                <w:lang w:eastAsia="zh-CN"/>
              </w:rPr>
            </w:pPr>
            <w:r>
              <w:rPr>
                <w:rFonts w:hint="eastAsia" w:ascii="方正仿宋_GBK" w:hAnsi="方正仿宋_GBK" w:cs="方正仿宋_GBK"/>
                <w:bCs/>
                <w:color w:val="000000"/>
                <w:kern w:val="0"/>
                <w:sz w:val="24"/>
                <w:szCs w:val="24"/>
                <w:lang w:val="en-US" w:eastAsia="zh-CN"/>
              </w:rPr>
              <w:t>8</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沙坪坝区2026年中梁镇高标准农田建设项目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lang w:val="en-US" w:eastAsia="zh-CN"/>
              </w:rPr>
              <w:t>2</w:t>
            </w:r>
            <w:r>
              <w:rPr>
                <w:rFonts w:hint="eastAsia" w:ascii="方正仿宋_GBK" w:hAnsi="方正仿宋_GBK" w:cs="方正仿宋_GBK"/>
                <w:bCs/>
                <w:color w:val="000000"/>
                <w:kern w:val="0"/>
                <w:sz w:val="24"/>
                <w:szCs w:val="24"/>
              </w:rPr>
              <w:t>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lang w:val="en-US" w:eastAsia="zh-CN"/>
              </w:rPr>
              <w:t>6</w:t>
            </w:r>
            <w:r>
              <w:rPr>
                <w:rFonts w:hint="eastAsia" w:ascii="方正仿宋_GBK" w:hAnsi="方正仿宋_GBK" w:cs="方正仿宋_GBK"/>
                <w:bCs/>
                <w:color w:val="000000"/>
                <w:kern w:val="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hint="eastAsia" w:ascii="方正仿宋_GBK" w:hAnsi="方正仿宋_GBK" w:eastAsia="方正仿宋_GBK" w:cs="方正仿宋_GBK"/>
                <w:bCs/>
                <w:color w:val="000000"/>
                <w:kern w:val="0"/>
                <w:sz w:val="24"/>
                <w:szCs w:val="24"/>
                <w:lang w:eastAsia="zh-CN"/>
              </w:rPr>
            </w:pPr>
            <w:r>
              <w:rPr>
                <w:rFonts w:hint="eastAsia" w:ascii="方正仿宋_GBK" w:hAnsi="方正仿宋_GBK" w:cs="方正仿宋_GBK"/>
                <w:bCs/>
                <w:color w:val="000000"/>
                <w:kern w:val="0"/>
                <w:sz w:val="24"/>
                <w:szCs w:val="24"/>
                <w:lang w:val="en-US" w:eastAsia="zh-CN"/>
              </w:rPr>
              <w:t>9</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沙坪坝区2027年中梁镇高标准农田建设项目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hint="default"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bCs/>
                <w:color w:val="000000"/>
                <w:kern w:val="0"/>
                <w:sz w:val="24"/>
                <w:szCs w:val="24"/>
                <w:lang w:val="en-US" w:eastAsia="zh-CN"/>
              </w:rPr>
              <w:t>10</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沙坪坝区2028年中梁镇高标准农田建设项目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hint="default"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bCs/>
                <w:color w:val="000000"/>
                <w:kern w:val="0"/>
                <w:sz w:val="24"/>
                <w:szCs w:val="24"/>
                <w:lang w:val="en-US" w:eastAsia="zh-CN"/>
              </w:rPr>
              <w:t>11</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沙坪坝区2029年回龙坝镇高标准农田建设项目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hint="default"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bCs/>
                <w:color w:val="000000"/>
                <w:kern w:val="0"/>
                <w:sz w:val="24"/>
                <w:szCs w:val="24"/>
                <w:lang w:val="en-US" w:eastAsia="zh-CN"/>
              </w:rPr>
              <w:t>12</w:t>
            </w: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color w:val="000000"/>
                <w:kern w:val="0"/>
                <w:sz w:val="24"/>
                <w:szCs w:val="24"/>
              </w:rPr>
              <w:t>沙坪坝区2030年高标准农田建设项目</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2000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86"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p>
        </w:tc>
        <w:tc>
          <w:tcPr>
            <w:tcW w:w="5322"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小计</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1</w:t>
            </w:r>
            <w:r>
              <w:rPr>
                <w:rFonts w:hint="eastAsia" w:ascii="方正仿宋_GBK" w:hAnsi="方正仿宋_GBK" w:cs="方正仿宋_GBK"/>
                <w:bCs/>
                <w:color w:val="000000"/>
                <w:kern w:val="0"/>
                <w:sz w:val="24"/>
                <w:szCs w:val="24"/>
                <w:lang w:val="en-US" w:eastAsia="zh-CN"/>
              </w:rPr>
              <w:t>0</w:t>
            </w:r>
            <w:r>
              <w:rPr>
                <w:rFonts w:hint="eastAsia" w:ascii="方正仿宋_GBK" w:hAnsi="方正仿宋_GBK" w:cs="方正仿宋_GBK"/>
                <w:bCs/>
                <w:color w:val="000000"/>
                <w:kern w:val="0"/>
                <w:sz w:val="24"/>
                <w:szCs w:val="24"/>
              </w:rPr>
              <w:t>000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3</w:t>
            </w:r>
            <w:r>
              <w:rPr>
                <w:rFonts w:hint="eastAsia" w:ascii="方正仿宋_GBK" w:hAnsi="方正仿宋_GBK" w:cs="方正仿宋_GBK"/>
                <w:bCs/>
                <w:color w:val="000000"/>
                <w:kern w:val="0"/>
                <w:sz w:val="24"/>
                <w:szCs w:val="24"/>
                <w:lang w:val="en-US" w:eastAsia="zh-CN"/>
              </w:rPr>
              <w:t>0</w:t>
            </w:r>
            <w:r>
              <w:rPr>
                <w:rFonts w:hint="eastAsia" w:ascii="方正仿宋_GBK" w:hAnsi="方正仿宋_GBK" w:cs="方正仿宋_GBK"/>
                <w:bCs/>
                <w:color w:val="000000"/>
                <w:kern w:val="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blHeader/>
          <w:jc w:val="center"/>
        </w:trPr>
        <w:tc>
          <w:tcPr>
            <w:tcW w:w="6008" w:type="dxa"/>
            <w:gridSpan w:val="2"/>
            <w:shd w:val="clear" w:color="auto" w:fill="auto"/>
            <w:vAlign w:val="center"/>
          </w:tcPr>
          <w:p>
            <w:pPr>
              <w:widowControl/>
              <w:adjustRightInd w:val="0"/>
              <w:snapToGrid w:val="0"/>
              <w:spacing w:line="240" w:lineRule="auto"/>
              <w:ind w:firstLine="0" w:firstLineChars="0"/>
              <w:jc w:val="center"/>
              <w:textAlignment w:val="center"/>
              <w:rPr>
                <w:rFonts w:ascii="方正仿宋_GBK" w:hAnsi="方正仿宋_GBK" w:cs="方正仿宋_GBK"/>
                <w:bCs/>
                <w:color w:val="000000"/>
                <w:kern w:val="0"/>
                <w:sz w:val="24"/>
                <w:szCs w:val="24"/>
              </w:rPr>
            </w:pPr>
            <w:r>
              <w:rPr>
                <w:rFonts w:hint="eastAsia" w:ascii="方正仿宋_GBK" w:hAnsi="方正仿宋_GBK" w:cs="方正仿宋_GBK"/>
                <w:bCs/>
                <w:color w:val="000000"/>
                <w:kern w:val="0"/>
                <w:sz w:val="24"/>
                <w:szCs w:val="24"/>
              </w:rPr>
              <w:t>合计</w:t>
            </w:r>
          </w:p>
        </w:tc>
        <w:tc>
          <w:tcPr>
            <w:tcW w:w="1453" w:type="dxa"/>
            <w:shd w:val="clear" w:color="auto" w:fill="auto"/>
            <w:vAlign w:val="center"/>
          </w:tcPr>
          <w:p>
            <w:pPr>
              <w:widowControl/>
              <w:adjustRightInd w:val="0"/>
              <w:snapToGrid w:val="0"/>
              <w:spacing w:line="240" w:lineRule="auto"/>
              <w:ind w:firstLine="0" w:firstLineChars="0"/>
              <w:jc w:val="center"/>
              <w:textAlignment w:val="center"/>
              <w:rPr>
                <w:rFonts w:hint="eastAsia"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bCs/>
                <w:color w:val="000000"/>
                <w:kern w:val="0"/>
                <w:sz w:val="24"/>
                <w:szCs w:val="24"/>
              </w:rPr>
              <w:t>2800</w:t>
            </w:r>
            <w:r>
              <w:rPr>
                <w:rFonts w:hint="eastAsia" w:ascii="方正仿宋_GBK" w:hAnsi="方正仿宋_GBK" w:cs="方正仿宋_GBK"/>
                <w:bCs/>
                <w:color w:val="000000"/>
                <w:kern w:val="0"/>
                <w:sz w:val="24"/>
                <w:szCs w:val="24"/>
                <w:lang w:val="en-US" w:eastAsia="zh-CN"/>
              </w:rPr>
              <w:t>0</w:t>
            </w:r>
          </w:p>
        </w:tc>
        <w:tc>
          <w:tcPr>
            <w:tcW w:w="1303" w:type="dxa"/>
            <w:shd w:val="clear" w:color="auto" w:fill="auto"/>
            <w:vAlign w:val="center"/>
          </w:tcPr>
          <w:p>
            <w:pPr>
              <w:widowControl/>
              <w:adjustRightInd w:val="0"/>
              <w:snapToGrid w:val="0"/>
              <w:spacing w:line="240" w:lineRule="auto"/>
              <w:ind w:firstLine="0" w:firstLineChars="0"/>
              <w:jc w:val="center"/>
              <w:textAlignment w:val="center"/>
              <w:rPr>
                <w:rFonts w:hint="default" w:ascii="方正仿宋_GBK" w:hAnsi="方正仿宋_GBK" w:eastAsia="方正仿宋_GBK" w:cs="方正仿宋_GBK"/>
                <w:bCs/>
                <w:color w:val="000000"/>
                <w:kern w:val="0"/>
                <w:sz w:val="24"/>
                <w:szCs w:val="24"/>
                <w:lang w:val="en-US" w:eastAsia="zh-CN"/>
              </w:rPr>
            </w:pPr>
            <w:r>
              <w:rPr>
                <w:rFonts w:hint="eastAsia" w:ascii="方正仿宋_GBK" w:hAnsi="方正仿宋_GBK" w:cs="方正仿宋_GBK"/>
                <w:bCs/>
                <w:color w:val="000000"/>
                <w:kern w:val="0"/>
                <w:sz w:val="24"/>
                <w:szCs w:val="24"/>
              </w:rPr>
              <w:t>7</w:t>
            </w:r>
            <w:r>
              <w:rPr>
                <w:rFonts w:hint="eastAsia" w:ascii="方正仿宋_GBK" w:hAnsi="方正仿宋_GBK" w:cs="方正仿宋_GBK"/>
                <w:bCs/>
                <w:color w:val="000000"/>
                <w:kern w:val="0"/>
                <w:sz w:val="24"/>
                <w:szCs w:val="24"/>
                <w:lang w:val="en-US" w:eastAsia="zh-CN"/>
              </w:rPr>
              <w:t>910</w:t>
            </w:r>
          </w:p>
        </w:tc>
      </w:tr>
    </w:tbl>
    <w:p>
      <w:pPr>
        <w:pStyle w:val="13"/>
        <w:snapToGrid w:val="0"/>
        <w:spacing w:line="240" w:lineRule="auto"/>
        <w:ind w:firstLine="480"/>
      </w:pPr>
      <w:r>
        <w:rPr>
          <w:rFonts w:hint="eastAsia" w:ascii="方正仿宋_GBK" w:hAnsi="方正仿宋_GBK" w:eastAsia="方正仿宋_GBK" w:cs="方正仿宋_GBK"/>
          <w:color w:val="000000"/>
          <w:kern w:val="0"/>
          <w:sz w:val="24"/>
          <w:szCs w:val="24"/>
        </w:rPr>
        <w:t>注：</w:t>
      </w:r>
      <w:r>
        <w:rPr>
          <w:rFonts w:hint="eastAsia" w:ascii="方正仿宋_GBK" w:hAnsi="方正仿宋_GBK" w:eastAsia="方正仿宋_GBK" w:cs="方正仿宋_GBK"/>
          <w:bCs/>
          <w:color w:val="000000"/>
          <w:kern w:val="0"/>
          <w:sz w:val="24"/>
          <w:szCs w:val="24"/>
        </w:rPr>
        <w:t>沙坪坝区回龙坝镇大桥村高标准农田建设项目投资金额为</w:t>
      </w:r>
      <w:r>
        <w:rPr>
          <w:rFonts w:hint="eastAsia" w:ascii="方正仿宋_GBK" w:hAnsi="方正仿宋_GBK" w:eastAsia="方正仿宋_GBK" w:cs="方正仿宋_GBK"/>
          <w:sz w:val="24"/>
          <w:szCs w:val="24"/>
        </w:rPr>
        <w:t>120万元，</w:t>
      </w:r>
      <w:r>
        <w:rPr>
          <w:rFonts w:hint="eastAsia" w:ascii="方正仿宋_GBK" w:hAnsi="方正仿宋_GBK" w:eastAsia="方正仿宋_GBK" w:cs="方正仿宋_GBK"/>
          <w:bCs/>
          <w:color w:val="000000"/>
          <w:kern w:val="0"/>
          <w:sz w:val="24"/>
          <w:szCs w:val="24"/>
        </w:rPr>
        <w:t>属于2019—2020</w:t>
      </w:r>
      <w:r>
        <w:rPr>
          <w:rFonts w:hint="eastAsia" w:ascii="方正仿宋_GBK" w:hAnsi="方正仿宋_GBK" w:eastAsia="方正仿宋_GBK" w:cs="方正仿宋_GBK"/>
          <w:sz w:val="24"/>
          <w:szCs w:val="24"/>
        </w:rPr>
        <w:t>结余资金项目，不计入投资测算。</w:t>
      </w:r>
    </w:p>
    <w:p>
      <w:pPr>
        <w:pStyle w:val="4"/>
        <w:numPr>
          <w:ilvl w:val="0"/>
          <w:numId w:val="17"/>
        </w:numPr>
        <w:ind w:firstLineChars="0"/>
      </w:pPr>
      <w:bookmarkStart w:id="39" w:name="_Toc26014"/>
      <w:r>
        <w:rPr>
          <w:rFonts w:hint="eastAsia"/>
        </w:rPr>
        <w:t>资金筹措</w:t>
      </w:r>
      <w:bookmarkEnd w:id="39"/>
    </w:p>
    <w:p>
      <w:pPr>
        <w:numPr>
          <w:ilvl w:val="0"/>
          <w:numId w:val="18"/>
        </w:numPr>
        <w:spacing w:line="594" w:lineRule="exact"/>
        <w:ind w:firstLine="640"/>
        <w:rPr>
          <w:rFonts w:cs="方正仿宋_GBK"/>
        </w:rPr>
      </w:pPr>
      <w:r>
        <w:rPr>
          <w:rFonts w:hint="eastAsia" w:cs="方正仿宋_GBK"/>
        </w:rPr>
        <w:t>积极争取国家和市级有关部门农田建设、现代农业债券资金、水利建设、土地复垦整理开发等项目资金投入；</w:t>
      </w:r>
    </w:p>
    <w:p>
      <w:pPr>
        <w:spacing w:line="594" w:lineRule="exact"/>
        <w:ind w:firstLine="640"/>
        <w:rPr>
          <w:rFonts w:cs="方正仿宋_GBK"/>
        </w:rPr>
      </w:pPr>
      <w:r>
        <w:rPr>
          <w:rFonts w:hint="eastAsia" w:cs="方正仿宋_GBK"/>
        </w:rPr>
        <w:t>2.建立资金统筹使用机制，积极推动源头整合，将各级各种相关资金有效整合，用于高标准农田建设；</w:t>
      </w:r>
    </w:p>
    <w:p>
      <w:pPr>
        <w:spacing w:line="594" w:lineRule="exact"/>
        <w:ind w:firstLine="640"/>
      </w:pPr>
      <w:r>
        <w:rPr>
          <w:rFonts w:hint="eastAsia" w:cs="方正仿宋_GBK"/>
        </w:rPr>
        <w:t>3.吸引社会资金投入高标准农田建设，鼓励农业龙头企业、农民专业合作组织等参与高标准农田建设；</w:t>
      </w:r>
    </w:p>
    <w:p>
      <w:pPr>
        <w:spacing w:line="594" w:lineRule="exact"/>
        <w:ind w:firstLine="640"/>
        <w:rPr>
          <w:rFonts w:cs="方正仿宋_GBK"/>
        </w:rPr>
      </w:pPr>
      <w:r>
        <w:rPr>
          <w:rFonts w:hint="eastAsia" w:cs="方正仿宋_GBK"/>
        </w:rPr>
        <w:t>4.统筹高标准农田新增耕地指标调剂收益，用于新建高标准农田。</w:t>
      </w:r>
    </w:p>
    <w:p>
      <w:pPr>
        <w:pStyle w:val="4"/>
        <w:numPr>
          <w:ilvl w:val="0"/>
          <w:numId w:val="17"/>
        </w:numPr>
        <w:ind w:firstLineChars="0"/>
      </w:pPr>
      <w:bookmarkStart w:id="40" w:name="_Toc30397"/>
      <w:r>
        <w:rPr>
          <w:rFonts w:hint="eastAsia"/>
        </w:rPr>
        <w:t>效益分析</w:t>
      </w:r>
      <w:bookmarkEnd w:id="40"/>
    </w:p>
    <w:p>
      <w:pPr>
        <w:spacing w:line="594" w:lineRule="exact"/>
        <w:ind w:firstLine="640"/>
        <w:rPr>
          <w:rFonts w:cs="方正仿宋_GBK"/>
        </w:rPr>
      </w:pPr>
      <w:r>
        <w:rPr>
          <w:rFonts w:hint="eastAsia" w:cs="方正仿宋_GBK"/>
        </w:rPr>
        <w:t>预计到2030年，沙坪坝区累计建成高标准农田5.</w:t>
      </w:r>
      <w:r>
        <w:rPr>
          <w:rFonts w:hint="eastAsia" w:cs="方正仿宋_GBK"/>
          <w:lang w:val="en-US" w:eastAsia="zh-CN"/>
        </w:rPr>
        <w:t>1</w:t>
      </w:r>
      <w:r>
        <w:rPr>
          <w:rFonts w:hint="eastAsia" w:cs="方正仿宋_GBK"/>
        </w:rPr>
        <w:t>万亩，改造提升高标准农田1.</w:t>
      </w:r>
      <w:r>
        <w:rPr>
          <w:rFonts w:hint="eastAsia" w:cs="方正仿宋_GBK"/>
          <w:lang w:val="en-US" w:eastAsia="zh-CN"/>
        </w:rPr>
        <w:t>63</w:t>
      </w:r>
      <w:r>
        <w:rPr>
          <w:rFonts w:hint="eastAsia" w:cs="方正仿宋_GBK"/>
        </w:rPr>
        <w:t>万亩。高标准农田建成后，能够加快补齐农田基础设施短板，提高水土资源利用效率，增强粮食生产能力和防灾抗灾减灾能力，成为旱涝保收、稳产高产的粮田，对促进农村现代化建设，提高农民生活水平具有重要意义。</w:t>
      </w:r>
    </w:p>
    <w:p>
      <w:pPr>
        <w:pStyle w:val="5"/>
        <w:numPr>
          <w:ilvl w:val="0"/>
          <w:numId w:val="19"/>
        </w:numPr>
        <w:ind w:left="0" w:firstLine="640"/>
      </w:pPr>
      <w:r>
        <w:rPr>
          <w:rFonts w:hint="eastAsia"/>
        </w:rPr>
        <w:t>经济效益</w:t>
      </w:r>
    </w:p>
    <w:p>
      <w:pPr>
        <w:pStyle w:val="13"/>
        <w:tabs>
          <w:tab w:val="left" w:pos="113"/>
        </w:tabs>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粮食综合产能将提高。</w:t>
      </w:r>
      <w:r>
        <w:rPr>
          <w:rFonts w:ascii="方正仿宋_GBK" w:hAnsi="方正仿宋_GBK" w:eastAsia="方正仿宋_GBK" w:cs="方正仿宋_GBK"/>
          <w:sz w:val="32"/>
          <w:szCs w:val="32"/>
        </w:rPr>
        <w:t>规划实施完成后，预期能新增</w:t>
      </w: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25</w:t>
      </w:r>
      <w:r>
        <w:rPr>
          <w:rFonts w:hint="eastAsia" w:ascii="方正仿宋_GBK" w:hAnsi="方正仿宋_GBK" w:eastAsia="方正仿宋_GBK" w:cs="方正仿宋_GBK"/>
          <w:sz w:val="32"/>
          <w:szCs w:val="32"/>
        </w:rPr>
        <w:t>万亩高标准农田，改造提升1.</w:t>
      </w:r>
      <w:r>
        <w:rPr>
          <w:rFonts w:hint="eastAsia" w:ascii="方正仿宋_GBK" w:hAnsi="方正仿宋_GBK" w:eastAsia="方正仿宋_GBK" w:cs="方正仿宋_GBK"/>
          <w:sz w:val="32"/>
          <w:szCs w:val="32"/>
          <w:lang w:val="en-US" w:eastAsia="zh-CN"/>
        </w:rPr>
        <w:t>63</w:t>
      </w:r>
      <w:r>
        <w:rPr>
          <w:rFonts w:hint="eastAsia" w:ascii="方正仿宋_GBK" w:hAnsi="方正仿宋_GBK" w:eastAsia="方正仿宋_GBK" w:cs="方正仿宋_GBK"/>
          <w:sz w:val="32"/>
          <w:szCs w:val="32"/>
        </w:rPr>
        <w:t>万亩高标准农田，相比规划实施前，新增高标准农田亩均提高粮食综合产能</w:t>
      </w:r>
      <w:r>
        <w:rPr>
          <w:rFonts w:ascii="方正仿宋_GBK" w:hAnsi="方正仿宋_GBK" w:eastAsia="方正仿宋_GBK" w:cs="方正仿宋_GBK"/>
          <w:sz w:val="32"/>
          <w:szCs w:val="32"/>
        </w:rPr>
        <w:t>100</w:t>
      </w:r>
      <w:r>
        <w:rPr>
          <w:rFonts w:hint="eastAsia" w:ascii="方正仿宋_GBK" w:hAnsi="方正仿宋_GBK" w:eastAsia="方正仿宋_GBK" w:cs="方正仿宋_GBK"/>
          <w:sz w:val="32"/>
          <w:szCs w:val="32"/>
        </w:rPr>
        <w:t>公斤左右，改造提升高标准农田亩均提高粮食综合产能</w:t>
      </w:r>
      <w:r>
        <w:rPr>
          <w:rFonts w:ascii="方正仿宋_GBK" w:hAnsi="方正仿宋_GBK" w:eastAsia="方正仿宋_GBK" w:cs="方正仿宋_GBK"/>
          <w:sz w:val="32"/>
          <w:szCs w:val="32"/>
        </w:rPr>
        <w:t>80</w:t>
      </w:r>
      <w:r>
        <w:rPr>
          <w:rFonts w:hint="eastAsia" w:ascii="方正仿宋_GBK" w:hAnsi="方正仿宋_GBK" w:eastAsia="方正仿宋_GBK" w:cs="方正仿宋_GBK"/>
          <w:sz w:val="32"/>
          <w:szCs w:val="32"/>
        </w:rPr>
        <w:t>公斤左右。耕地质量等级将明显提高，达到本地中等以上水平。农田基础设施更加完善，加上节水、节能、节肥、节药等其他效益，每亩耕地平均每年增收节支5</w:t>
      </w:r>
      <w:r>
        <w:rPr>
          <w:rFonts w:ascii="方正仿宋_GBK" w:hAnsi="方正仿宋_GBK" w:eastAsia="方正仿宋_GBK" w:cs="方正仿宋_GBK"/>
          <w:sz w:val="32"/>
          <w:szCs w:val="32"/>
        </w:rPr>
        <w:t>00</w:t>
      </w:r>
      <w:r>
        <w:rPr>
          <w:rFonts w:hint="eastAsia" w:ascii="方正仿宋_GBK" w:hAnsi="方正仿宋_GBK" w:eastAsia="方正仿宋_GBK" w:cs="方正仿宋_GBK"/>
          <w:sz w:val="32"/>
          <w:szCs w:val="32"/>
        </w:rPr>
        <w:t>元以上，促进农民增收效果明显。</w:t>
      </w:r>
    </w:p>
    <w:p>
      <w:pPr>
        <w:pStyle w:val="13"/>
        <w:tabs>
          <w:tab w:val="left" w:pos="113"/>
        </w:tabs>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新增耕地有收益。新建高标准农田会产生一些新增耕地，一般按照</w:t>
      </w:r>
      <w:r>
        <w:rPr>
          <w:rFonts w:hint="eastAsia" w:ascii="方正仿宋_GBK" w:hAnsi="方正仿宋_GBK" w:eastAsia="方正仿宋_GBK" w:cs="方正仿宋_GBK"/>
          <w:sz w:val="32"/>
          <w:szCs w:val="32"/>
          <w:lang w:val="en-US" w:eastAsia="zh-CN"/>
        </w:rPr>
        <w:t>土地平整</w:t>
      </w:r>
      <w:r>
        <w:rPr>
          <w:rFonts w:hint="eastAsia" w:ascii="方正仿宋_GBK" w:hAnsi="方正仿宋_GBK" w:eastAsia="方正仿宋_GBK" w:cs="方正仿宋_GBK"/>
          <w:sz w:val="32"/>
          <w:szCs w:val="32"/>
        </w:rPr>
        <w:t>面积的5%进行测算。沙坪坝区新建高标准农田规模小，从</w:t>
      </w:r>
      <w:r>
        <w:rPr>
          <w:rFonts w:hint="eastAsia" w:ascii="方正仿宋_GBK" w:hAnsi="方正仿宋_GBK" w:eastAsia="方正仿宋_GBK" w:cs="方正仿宋_GBK"/>
          <w:sz w:val="32"/>
          <w:szCs w:val="32"/>
          <w:lang w:val="en-US" w:eastAsia="zh-CN"/>
        </w:rPr>
        <w:t>2021—</w:t>
      </w:r>
      <w:r>
        <w:rPr>
          <w:rFonts w:hint="eastAsia" w:ascii="方正仿宋_GBK" w:hAnsi="方正仿宋_GBK" w:eastAsia="方正仿宋_GBK" w:cs="方正仿宋_GBK"/>
          <w:sz w:val="32"/>
          <w:szCs w:val="32"/>
        </w:rPr>
        <w:t>2022年已实施项目情况看，新增耕地刚好与项目工程设施占地实现平衡。</w:t>
      </w:r>
      <w:r>
        <w:rPr>
          <w:rFonts w:hint="eastAsia" w:ascii="方正仿宋_GBK" w:hAnsi="方正仿宋_GBK" w:eastAsia="方正仿宋_GBK" w:cs="方正仿宋_GBK"/>
          <w:sz w:val="32"/>
          <w:szCs w:val="32"/>
          <w:lang w:val="en-US" w:eastAsia="zh-CN"/>
        </w:rPr>
        <w:t>2023—2030年</w:t>
      </w:r>
      <w:r>
        <w:rPr>
          <w:rFonts w:hint="eastAsia" w:ascii="方正仿宋_GBK" w:hAnsi="方正仿宋_GBK" w:eastAsia="方正仿宋_GBK" w:cs="方正仿宋_GBK"/>
          <w:sz w:val="32"/>
          <w:szCs w:val="32"/>
        </w:rPr>
        <w:t>沙坪坝区将新建高标准农田</w:t>
      </w:r>
      <w:r>
        <w:rPr>
          <w:rFonts w:hint="eastAsia" w:ascii="方正仿宋_GBK" w:hAnsi="方正仿宋_GBK" w:eastAsia="方正仿宋_GBK" w:cs="方正仿宋_GBK"/>
          <w:sz w:val="32"/>
          <w:szCs w:val="32"/>
          <w:lang w:val="en-US" w:eastAsia="zh-CN"/>
        </w:rPr>
        <w:t>0.5</w:t>
      </w:r>
      <w:r>
        <w:rPr>
          <w:rFonts w:hint="eastAsia" w:ascii="方正仿宋_GBK" w:hAnsi="方正仿宋_GBK" w:eastAsia="方正仿宋_GBK" w:cs="方正仿宋_GBK"/>
          <w:sz w:val="32"/>
          <w:szCs w:val="32"/>
        </w:rPr>
        <w:t>万亩，</w:t>
      </w:r>
      <w:r>
        <w:rPr>
          <w:rFonts w:hint="eastAsia" w:ascii="方正仿宋_GBK" w:hAnsi="方正仿宋_GBK" w:eastAsia="方正仿宋_GBK" w:cs="方正仿宋_GBK"/>
          <w:sz w:val="32"/>
          <w:szCs w:val="32"/>
          <w:lang w:val="en-US" w:eastAsia="zh-CN"/>
        </w:rPr>
        <w:t>主要分布在粱滩河流域，结合实际情况，土地平整面积按照</w:t>
      </w:r>
      <w:r>
        <w:rPr>
          <w:rFonts w:hint="eastAsia" w:ascii="方正仿宋_GBK" w:hAnsi="方正仿宋_GBK" w:eastAsia="方正仿宋_GBK" w:cs="方正仿宋_GBK"/>
          <w:sz w:val="32"/>
          <w:szCs w:val="32"/>
        </w:rPr>
        <w:t>新建高标准农田</w:t>
      </w:r>
      <w:r>
        <w:rPr>
          <w:rFonts w:hint="eastAsia" w:ascii="方正仿宋_GBK" w:hAnsi="方正仿宋_GBK" w:eastAsia="方正仿宋_GBK" w:cs="方正仿宋_GBK"/>
          <w:sz w:val="32"/>
          <w:szCs w:val="32"/>
          <w:lang w:val="en-US" w:eastAsia="zh-CN"/>
        </w:rPr>
        <w:t>30%计算，</w:t>
      </w:r>
      <w:r>
        <w:rPr>
          <w:rFonts w:hint="eastAsia" w:ascii="方正仿宋_GBK" w:hAnsi="方正仿宋_GBK" w:eastAsia="方正仿宋_GBK" w:cs="方正仿宋_GBK"/>
          <w:sz w:val="32"/>
          <w:szCs w:val="32"/>
        </w:rPr>
        <w:t>预计新增耕地面积</w:t>
      </w:r>
      <w:r>
        <w:rPr>
          <w:rFonts w:hint="eastAsia" w:ascii="方正仿宋_GBK" w:hAnsi="方正仿宋_GBK" w:eastAsia="方正仿宋_GBK" w:cs="方正仿宋_GBK"/>
          <w:sz w:val="32"/>
          <w:szCs w:val="32"/>
          <w:lang w:val="en-US" w:eastAsia="zh-CN"/>
        </w:rPr>
        <w:t>75</w:t>
      </w:r>
      <w:r>
        <w:rPr>
          <w:rFonts w:hint="eastAsia" w:ascii="方正仿宋_GBK" w:hAnsi="方正仿宋_GBK" w:eastAsia="方正仿宋_GBK" w:cs="方正仿宋_GBK"/>
          <w:sz w:val="32"/>
          <w:szCs w:val="32"/>
        </w:rPr>
        <w:t>亩，如果扣除项目工程设施占地后新增耕地有剩余，则新增耕地收益（每亩约4万元）将投入到高标准农田建设中，有力助推乡村振兴。</w:t>
      </w:r>
    </w:p>
    <w:p>
      <w:pPr>
        <w:pStyle w:val="5"/>
        <w:numPr>
          <w:ilvl w:val="0"/>
          <w:numId w:val="19"/>
        </w:numPr>
        <w:ind w:left="0" w:firstLine="640"/>
      </w:pPr>
      <w:r>
        <w:rPr>
          <w:rFonts w:hint="eastAsia"/>
        </w:rPr>
        <w:t>社会效益</w:t>
      </w:r>
    </w:p>
    <w:p>
      <w:pPr>
        <w:spacing w:line="594" w:lineRule="exact"/>
        <w:ind w:firstLine="640"/>
        <w:rPr>
          <w:rFonts w:cs="方正仿宋_GBK"/>
        </w:rPr>
      </w:pPr>
      <w:r>
        <w:rPr>
          <w:rFonts w:hint="eastAsia" w:cs="方正仿宋_GBK"/>
        </w:rPr>
        <w:t>推动农业高质量发展。高标准农田建成后，有效促进农业规模化、专业化、标准化生产经营，加快农业新品种、新技术、新装备的推广应用，推动农业经营方式、生产方式、资源利用方式的转型升级，加快质量兴农、绿色兴农、品牌强农，助力全面推进乡村振兴战略。</w:t>
      </w:r>
    </w:p>
    <w:p>
      <w:pPr>
        <w:spacing w:line="594" w:lineRule="exact"/>
        <w:ind w:firstLine="640"/>
        <w:rPr>
          <w:rFonts w:cs="方正仿宋_GBK"/>
        </w:rPr>
      </w:pPr>
      <w:r>
        <w:rPr>
          <w:rFonts w:hint="eastAsia" w:cs="方正仿宋_GBK"/>
        </w:rPr>
        <w:t>保护种粮农民积极性。高标准农田建成后，能够完善农田基础设施，提升耕地质量，改善农业生产条件，提高农业竞争力，调动种粮农民的积极性。</w:t>
      </w:r>
    </w:p>
    <w:p>
      <w:pPr>
        <w:pStyle w:val="13"/>
        <w:ind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促进一、三产业融合发展。高标准农田建成后，田园基础设施将提档升级，有利于吸引市民观花、采摘、亲子体验、研学教育，成为市民休闲观光乐园。</w:t>
      </w:r>
    </w:p>
    <w:p>
      <w:pPr>
        <w:pStyle w:val="5"/>
        <w:numPr>
          <w:ilvl w:val="0"/>
          <w:numId w:val="19"/>
        </w:numPr>
        <w:ind w:left="0" w:firstLine="640"/>
      </w:pPr>
      <w:r>
        <w:rPr>
          <w:rFonts w:hint="eastAsia"/>
        </w:rPr>
        <w:t>生态效益</w:t>
      </w:r>
    </w:p>
    <w:p>
      <w:pPr>
        <w:spacing w:line="594" w:lineRule="exact"/>
        <w:ind w:firstLine="640"/>
        <w:rPr>
          <w:rFonts w:cs="方正仿宋_GBK"/>
        </w:rPr>
      </w:pPr>
      <w:r>
        <w:rPr>
          <w:rFonts w:hint="eastAsia" w:cs="方正仿宋_GBK"/>
        </w:rPr>
        <w:t>提高水土资源利用效率。有效提升耕地集约节约利用水平，缓解农业发展的水土资源约束，促进农业可持续发展。</w:t>
      </w:r>
    </w:p>
    <w:p>
      <w:pPr>
        <w:spacing w:line="594" w:lineRule="exact"/>
        <w:ind w:firstLine="640"/>
        <w:rPr>
          <w:rFonts w:cs="方正仿宋_GBK"/>
        </w:rPr>
      </w:pPr>
      <w:r>
        <w:rPr>
          <w:rFonts w:hint="eastAsia" w:cs="方正仿宋_GBK"/>
        </w:rPr>
        <w:t>改善农业生态环境。有效提高农药化肥利用效率、减轻农业面源污染，</w:t>
      </w:r>
      <w:r>
        <w:rPr>
          <w:rFonts w:hint="eastAsia" w:cs="方正仿宋_GBK"/>
          <w:highlight w:val="none"/>
        </w:rPr>
        <w:t>防治</w:t>
      </w:r>
      <w:r>
        <w:rPr>
          <w:rFonts w:hint="eastAsia" w:cs="方正仿宋_GBK"/>
        </w:rPr>
        <w:t>土壤酸化和水土流失，保持耕地土壤健康，促进农业绿色发展。</w:t>
      </w:r>
    </w:p>
    <w:p>
      <w:pPr>
        <w:spacing w:line="594" w:lineRule="exact"/>
        <w:ind w:firstLine="640"/>
        <w:rPr>
          <w:rFonts w:cs="方正仿宋_GBK"/>
        </w:rPr>
      </w:pPr>
      <w:r>
        <w:rPr>
          <w:rFonts w:hint="eastAsia" w:cs="方正仿宋_GBK"/>
        </w:rPr>
        <w:t>提升农田生态功能。增强农田水土保持能力，改善农田小气候，优化农村田园景观，为乡村生态宜居提供绿色屏障。</w:t>
      </w:r>
    </w:p>
    <w:p>
      <w:pPr>
        <w:pStyle w:val="3"/>
        <w:numPr>
          <w:ilvl w:val="0"/>
          <w:numId w:val="2"/>
        </w:numPr>
        <w:spacing w:before="0" w:after="600"/>
        <w:rPr>
          <w:bCs w:val="0"/>
        </w:rPr>
      </w:pPr>
      <w:bookmarkStart w:id="41" w:name="_Toc29166"/>
      <w:r>
        <w:rPr>
          <w:rFonts w:hint="eastAsia"/>
          <w:bCs w:val="0"/>
        </w:rPr>
        <w:t>保障措施</w:t>
      </w:r>
      <w:bookmarkEnd w:id="41"/>
    </w:p>
    <w:p>
      <w:pPr>
        <w:pStyle w:val="4"/>
        <w:numPr>
          <w:ilvl w:val="0"/>
          <w:numId w:val="20"/>
        </w:numPr>
        <w:ind w:firstLineChars="0"/>
      </w:pPr>
      <w:bookmarkStart w:id="42" w:name="_Toc10083"/>
      <w:r>
        <w:rPr>
          <w:rFonts w:hint="eastAsia"/>
        </w:rPr>
        <w:t>加强组织领导</w:t>
      </w:r>
      <w:bookmarkEnd w:id="42"/>
    </w:p>
    <w:p>
      <w:pPr>
        <w:pStyle w:val="5"/>
        <w:numPr>
          <w:ilvl w:val="0"/>
          <w:numId w:val="21"/>
        </w:numPr>
        <w:ind w:left="0" w:firstLine="640"/>
      </w:pPr>
      <w:r>
        <w:rPr>
          <w:rFonts w:hint="eastAsia"/>
        </w:rPr>
        <w:t>强化组织保障</w:t>
      </w:r>
    </w:p>
    <w:p>
      <w:pPr>
        <w:spacing w:line="594" w:lineRule="exact"/>
        <w:ind w:firstLine="640"/>
        <w:rPr>
          <w:rFonts w:cs="方正仿宋_GBK"/>
        </w:rPr>
      </w:pPr>
      <w:r>
        <w:rPr>
          <w:rFonts w:hint="eastAsia" w:cs="方正仿宋_GBK"/>
        </w:rPr>
        <w:t>在区政府领导下，区级相关部门按职责分工，加强对规划实施的指导和协调，研究制定本部门推进高标准农田建设的具体措施。区发展改革委负责中央预算内项目的申报；区财政部门会同有关部门加强资金统筹整合和使用监管，落实建设资金；区农业农村委具体负责组织高标准农田项目建设实施，并开展耕地质量等级评定、高标准农田“一张图”综合信息管理平台建设、成果数据更新管理与监测、高标准农田建设的技术指导、成果评定、项目后评价等工作。</w:t>
      </w:r>
    </w:p>
    <w:p>
      <w:pPr>
        <w:pStyle w:val="5"/>
        <w:numPr>
          <w:ilvl w:val="0"/>
          <w:numId w:val="21"/>
        </w:numPr>
        <w:ind w:left="0" w:firstLine="640"/>
      </w:pPr>
      <w:r>
        <w:rPr>
          <w:rFonts w:hint="eastAsia"/>
        </w:rPr>
        <w:t>建立协调机制</w:t>
      </w:r>
    </w:p>
    <w:p>
      <w:pPr>
        <w:spacing w:line="594" w:lineRule="exact"/>
        <w:ind w:firstLine="640"/>
        <w:rPr>
          <w:rFonts w:ascii="宋体" w:hAnsi="宋体" w:eastAsia="宋体" w:cs="宋体"/>
        </w:rPr>
      </w:pPr>
      <w:r>
        <w:rPr>
          <w:rFonts w:hint="eastAsia" w:cs="方正仿宋_GBK"/>
        </w:rPr>
        <w:t>区级相关部门形成“部门配合、标准统一、信息共享、协力推进”的工作机制，加强对规划实施的指导、监督检查和考核评价。及时研究和解决高标准农田建设中的重大问题，统筹协调资金和项目的安排，按工作职责加强建设验收管理和后期管护责任落实。各项目镇街负责做好高标准农田建设群众工作的协调和后续管护等工作。</w:t>
      </w:r>
    </w:p>
    <w:p>
      <w:pPr>
        <w:pStyle w:val="4"/>
        <w:numPr>
          <w:ilvl w:val="0"/>
          <w:numId w:val="20"/>
        </w:numPr>
        <w:ind w:firstLineChars="0"/>
      </w:pPr>
      <w:bookmarkStart w:id="43" w:name="_Toc14808"/>
      <w:r>
        <w:rPr>
          <w:rFonts w:hint="eastAsia"/>
        </w:rPr>
        <w:t>加大资金投入</w:t>
      </w:r>
      <w:bookmarkEnd w:id="43"/>
    </w:p>
    <w:p>
      <w:pPr>
        <w:pStyle w:val="5"/>
        <w:numPr>
          <w:ilvl w:val="0"/>
          <w:numId w:val="22"/>
        </w:numPr>
        <w:ind w:left="0" w:firstLine="640"/>
        <w:rPr>
          <w:rFonts w:ascii="Times New Roman" w:hAnsi="Times New Roman" w:eastAsia="方正仿宋_GBK" w:cs="方正仿宋_GBK"/>
        </w:rPr>
      </w:pPr>
      <w:r>
        <w:rPr>
          <w:rFonts w:hint="eastAsia"/>
        </w:rPr>
        <w:t>整合财政资金</w:t>
      </w:r>
    </w:p>
    <w:p>
      <w:pPr>
        <w:spacing w:line="594" w:lineRule="exact"/>
        <w:ind w:firstLine="640"/>
        <w:rPr>
          <w:rFonts w:cs="方正仿宋_GBK"/>
        </w:rPr>
      </w:pPr>
      <w:r>
        <w:rPr>
          <w:rFonts w:hint="eastAsia" w:cs="方正仿宋_GBK"/>
        </w:rPr>
        <w:t>围绕规划确定的重点建设区域和目标任务，坚持以统筹使用财政资金为手段，以提高财政资金使用效益为目的，在维持现有各类资金投向相对稳定的前提下，要把高标准农田建设作为支农投入的重点，不断加大各涉农资金主管部门间资金统筹协调力度，形成有效合力，支持沙坪坝区高标准农田建设。</w:t>
      </w:r>
    </w:p>
    <w:p>
      <w:pPr>
        <w:pStyle w:val="5"/>
        <w:numPr>
          <w:ilvl w:val="0"/>
          <w:numId w:val="22"/>
        </w:numPr>
        <w:ind w:left="0" w:firstLine="640"/>
      </w:pPr>
      <w:r>
        <w:rPr>
          <w:rFonts w:hint="eastAsia"/>
        </w:rPr>
        <w:t>规范资金使用</w:t>
      </w:r>
    </w:p>
    <w:p>
      <w:pPr>
        <w:spacing w:line="594" w:lineRule="exact"/>
        <w:ind w:firstLine="640"/>
        <w:rPr>
          <w:rFonts w:cs="方正仿宋_GBK"/>
        </w:rPr>
      </w:pPr>
      <w:r>
        <w:rPr>
          <w:rFonts w:hint="eastAsia" w:cs="方正仿宋_GBK"/>
        </w:rPr>
        <w:t>严格执行国家关于财政资金管理的各项制度，实行专账管理，专款专用，严禁滞留、挤占、挪用财政专项资金。加强对工程实施中和竣工后的资金使用情况的专项检查和审计，确保财政资金使用安全。</w:t>
      </w:r>
    </w:p>
    <w:p>
      <w:pPr>
        <w:pStyle w:val="5"/>
        <w:numPr>
          <w:ilvl w:val="0"/>
          <w:numId w:val="22"/>
        </w:numPr>
        <w:ind w:left="0" w:firstLine="640"/>
      </w:pPr>
      <w:r>
        <w:rPr>
          <w:rFonts w:hint="eastAsia"/>
        </w:rPr>
        <w:t>拓宽投入渠道</w:t>
      </w:r>
    </w:p>
    <w:p>
      <w:pPr>
        <w:spacing w:line="594" w:lineRule="exact"/>
        <w:ind w:firstLine="640"/>
        <w:rPr>
          <w:rFonts w:ascii="宋体" w:hAnsi="宋体" w:eastAsia="宋体" w:cs="宋体"/>
        </w:rPr>
      </w:pPr>
      <w:r>
        <w:rPr>
          <w:rFonts w:hint="eastAsia" w:cs="方正仿宋_GBK"/>
        </w:rPr>
        <w:t>探索建立以公共财政为主体的多元投入机制，完善支持政策，引导专业合作社组织和农业企业等经营主体的投资建设高标准农田，运用市场机制鼓励吸引金融资本、民间资本参与高标准农田建设。鼓励采取民办公助、先建后补、以奖代补等建设方式，调动项目区群众的积极性，严格按照“村民一事一议筹资筹劳管理办法”的相关程序，使农民通过投工投劳等多种方式参与工程建设。</w:t>
      </w:r>
    </w:p>
    <w:p>
      <w:pPr>
        <w:pStyle w:val="4"/>
        <w:numPr>
          <w:ilvl w:val="0"/>
          <w:numId w:val="20"/>
        </w:numPr>
        <w:ind w:firstLineChars="0"/>
      </w:pPr>
      <w:bookmarkStart w:id="44" w:name="_Toc12845"/>
      <w:r>
        <w:rPr>
          <w:rFonts w:hint="eastAsia"/>
        </w:rPr>
        <w:t>规范建设管理</w:t>
      </w:r>
      <w:bookmarkEnd w:id="44"/>
    </w:p>
    <w:p>
      <w:pPr>
        <w:pStyle w:val="5"/>
        <w:numPr>
          <w:ilvl w:val="0"/>
          <w:numId w:val="23"/>
        </w:numPr>
        <w:ind w:left="0" w:firstLine="640"/>
      </w:pPr>
      <w:r>
        <w:rPr>
          <w:rFonts w:hint="eastAsia"/>
        </w:rPr>
        <w:t>选好选准项目</w:t>
      </w:r>
    </w:p>
    <w:p>
      <w:pPr>
        <w:spacing w:line="594" w:lineRule="exact"/>
        <w:ind w:firstLine="640"/>
        <w:rPr>
          <w:rFonts w:cs="方正仿宋_GBK"/>
        </w:rPr>
      </w:pPr>
      <w:r>
        <w:rPr>
          <w:rFonts w:hint="eastAsia" w:cs="方正仿宋_GBK"/>
        </w:rPr>
        <w:t>认真评估、筛选、论证项目，发挥项目库基础支撑作用，综合考虑资源条件、生产基础、市场环境及资金、技术等方面的因素，超前谋划和储备高标准农田建设项目。坚持集中连片、综合治理，坚持发展优势主导产业，突出示范带动，坚持优中选优。</w:t>
      </w:r>
    </w:p>
    <w:p>
      <w:pPr>
        <w:pStyle w:val="5"/>
        <w:numPr>
          <w:ilvl w:val="0"/>
          <w:numId w:val="23"/>
        </w:numPr>
        <w:ind w:left="0" w:firstLine="640"/>
      </w:pPr>
      <w:r>
        <w:rPr>
          <w:rFonts w:hint="eastAsia"/>
        </w:rPr>
        <w:t>做好规划设计</w:t>
      </w:r>
    </w:p>
    <w:p>
      <w:pPr>
        <w:spacing w:line="594" w:lineRule="exact"/>
        <w:ind w:firstLine="640"/>
        <w:rPr>
          <w:rFonts w:cs="方正仿宋_GBK"/>
        </w:rPr>
      </w:pPr>
      <w:r>
        <w:rPr>
          <w:rFonts w:hint="eastAsia" w:cs="方正仿宋_GBK"/>
        </w:rPr>
        <w:t>切实提高项目规划设计水平，针对农田现状，进行水土田林路科学规划，合理设计，对照高标准农田建设标准，完成项目初步设计文件编制，做到缺什么补什么，科学确定项目建设范围、内容、规模、标准，确保规划设计质量。</w:t>
      </w:r>
    </w:p>
    <w:p>
      <w:pPr>
        <w:pStyle w:val="5"/>
        <w:numPr>
          <w:ilvl w:val="0"/>
          <w:numId w:val="23"/>
        </w:numPr>
        <w:ind w:left="0" w:firstLine="640"/>
      </w:pPr>
      <w:r>
        <w:rPr>
          <w:rFonts w:hint="eastAsia"/>
        </w:rPr>
        <w:t>规范项目管理</w:t>
      </w:r>
    </w:p>
    <w:p>
      <w:pPr>
        <w:spacing w:line="594" w:lineRule="exact"/>
        <w:ind w:firstLine="640"/>
        <w:rPr>
          <w:rFonts w:cs="方正仿宋_GBK"/>
        </w:rPr>
      </w:pPr>
      <w:r>
        <w:rPr>
          <w:rFonts w:hint="eastAsia" w:cs="方正仿宋_GBK"/>
        </w:rPr>
        <w:t>按照现行农田建设项目管理办法、农田建设补助资金管理办法等制度，进一步规范项目申报、组织实施、竣工验收、监督管理等各个环节，实现项目建设管理精细化。严格执行项目法人制、招标投标制、工程建设监理制和合同管理制。深化工程质量管理，规范项目档案管理，严格项目审计，落实工程建后管护程序。</w:t>
      </w:r>
    </w:p>
    <w:p>
      <w:pPr>
        <w:pStyle w:val="5"/>
        <w:numPr>
          <w:ilvl w:val="0"/>
          <w:numId w:val="23"/>
        </w:numPr>
        <w:ind w:left="0" w:firstLine="640"/>
      </w:pPr>
      <w:r>
        <w:rPr>
          <w:rFonts w:hint="eastAsia"/>
        </w:rPr>
        <w:t>加强风险防控</w:t>
      </w:r>
    </w:p>
    <w:p>
      <w:pPr>
        <w:ind w:firstLine="640"/>
      </w:pPr>
      <w:r>
        <w:rPr>
          <w:rFonts w:hint="eastAsia"/>
        </w:rPr>
        <w:t>加强高标准农田项目廉政建设，强化廉政教育，完善制度机制，推进项目建设公开透明、廉洁高效。依法依规执行项目各项程序，加强项目全过程监督检查，切实防范建设项目管理工作风险，确保项目安全、资金安全、队伍安全。</w:t>
      </w:r>
    </w:p>
    <w:p>
      <w:pPr>
        <w:pStyle w:val="4"/>
        <w:numPr>
          <w:ilvl w:val="0"/>
          <w:numId w:val="20"/>
        </w:numPr>
        <w:ind w:firstLineChars="0"/>
      </w:pPr>
      <w:bookmarkStart w:id="45" w:name="_Toc8581"/>
      <w:r>
        <w:rPr>
          <w:rFonts w:hint="eastAsia"/>
        </w:rPr>
        <w:t>注重示范引导</w:t>
      </w:r>
      <w:bookmarkEnd w:id="45"/>
    </w:p>
    <w:p>
      <w:pPr>
        <w:pStyle w:val="5"/>
        <w:numPr>
          <w:ilvl w:val="0"/>
          <w:numId w:val="24"/>
        </w:numPr>
        <w:ind w:left="0" w:firstLine="640"/>
      </w:pPr>
      <w:r>
        <w:rPr>
          <w:rFonts w:hint="eastAsia"/>
        </w:rPr>
        <w:t>突出重点区域</w:t>
      </w:r>
    </w:p>
    <w:p>
      <w:pPr>
        <w:spacing w:line="594" w:lineRule="exact"/>
        <w:ind w:firstLine="640"/>
        <w:rPr>
          <w:rFonts w:cs="方正仿宋_GBK"/>
        </w:rPr>
      </w:pPr>
      <w:r>
        <w:rPr>
          <w:rFonts w:hint="eastAsia"/>
        </w:rPr>
        <w:t>中梁山脉渡淡蔬菜高标准农田建设带是本次规划的重点区域，农产品保</w:t>
      </w:r>
      <w:r>
        <w:rPr>
          <w:rFonts w:cs="方正仿宋_GBK"/>
        </w:rPr>
        <w:t>供功能突出。</w:t>
      </w:r>
      <w:r>
        <w:rPr>
          <w:rFonts w:hint="eastAsia" w:cs="方正仿宋_GBK"/>
        </w:rPr>
        <w:t>规划布局以</w:t>
      </w:r>
      <w:r>
        <w:rPr>
          <w:rFonts w:cs="方正仿宋_GBK"/>
        </w:rPr>
        <w:t>中梁</w:t>
      </w:r>
      <w:r>
        <w:rPr>
          <w:rFonts w:hint="eastAsia" w:cs="方正仿宋_GBK"/>
        </w:rPr>
        <w:t>镇</w:t>
      </w:r>
      <w:r>
        <w:rPr>
          <w:rFonts w:cs="方正仿宋_GBK"/>
        </w:rPr>
        <w:t>和歌乐山街道</w:t>
      </w:r>
      <w:r>
        <w:rPr>
          <w:rFonts w:hint="eastAsia" w:cs="方正仿宋_GBK"/>
        </w:rPr>
        <w:t>的</w:t>
      </w:r>
      <w:r>
        <w:rPr>
          <w:rFonts w:cs="方正仿宋_GBK"/>
        </w:rPr>
        <w:t>重庆市中海拔</w:t>
      </w:r>
      <w:r>
        <w:rPr>
          <w:rFonts w:hint="eastAsia" w:cs="方正仿宋_GBK"/>
        </w:rPr>
        <w:t>地区</w:t>
      </w:r>
      <w:r>
        <w:rPr>
          <w:rFonts w:cs="方正仿宋_GBK"/>
        </w:rPr>
        <w:t>渡</w:t>
      </w:r>
      <w:r>
        <w:rPr>
          <w:rFonts w:hint="eastAsia" w:cs="方正仿宋_GBK"/>
        </w:rPr>
        <w:t>淡蔬菜</w:t>
      </w:r>
      <w:r>
        <w:rPr>
          <w:rFonts w:cs="方正仿宋_GBK"/>
        </w:rPr>
        <w:t>基地</w:t>
      </w:r>
      <w:r>
        <w:rPr>
          <w:rFonts w:hint="eastAsia" w:cs="方正仿宋_GBK"/>
        </w:rPr>
        <w:t>为重点，</w:t>
      </w:r>
      <w:r>
        <w:rPr>
          <w:rFonts w:cs="Times New Roman"/>
        </w:rPr>
        <w:t>着力打造特色明显、集聚集约、绿色生态、增效增收的</w:t>
      </w:r>
      <w:r>
        <w:rPr>
          <w:rFonts w:hint="eastAsia" w:cs="Times New Roman"/>
        </w:rPr>
        <w:t>都市现代</w:t>
      </w:r>
      <w:r>
        <w:rPr>
          <w:rFonts w:cs="Times New Roman"/>
        </w:rPr>
        <w:t>农业</w:t>
      </w:r>
      <w:r>
        <w:rPr>
          <w:rFonts w:hint="eastAsia" w:cs="Times New Roman"/>
        </w:rPr>
        <w:t>示范。</w:t>
      </w:r>
    </w:p>
    <w:p>
      <w:pPr>
        <w:pStyle w:val="5"/>
        <w:numPr>
          <w:ilvl w:val="0"/>
          <w:numId w:val="24"/>
        </w:numPr>
        <w:ind w:left="0" w:firstLine="640"/>
      </w:pPr>
      <w:r>
        <w:rPr>
          <w:rFonts w:hint="eastAsia"/>
        </w:rPr>
        <w:t>突出重点内容</w:t>
      </w:r>
    </w:p>
    <w:p>
      <w:pPr>
        <w:spacing w:line="594" w:lineRule="exact"/>
        <w:ind w:firstLine="640"/>
        <w:rPr>
          <w:rFonts w:cs="方正仿宋_GBK"/>
        </w:rPr>
      </w:pPr>
      <w:r>
        <w:rPr>
          <w:rFonts w:hint="eastAsia" w:cs="方正仿宋_GBK"/>
        </w:rPr>
        <w:t>针对沙坪坝区耕地蓄水短板和土壤酸化问题，高标准</w:t>
      </w:r>
      <w:r>
        <w:rPr>
          <w:rFonts w:cs="方正仿宋_GBK"/>
        </w:rPr>
        <w:t>农田建设以提升水利设施配套和耕地质量为主攻方向，</w:t>
      </w:r>
      <w:r>
        <w:rPr>
          <w:rFonts w:hint="eastAsia" w:cs="方正仿宋_GBK"/>
        </w:rPr>
        <w:t>重点完善囤水田、蓄水池、泵站等水源工程设施、提档升级田间道路系统、采取粮（绿）肥轮作、秸秆还田、增施有机肥等综合措施，提升土壤有机质含量。</w:t>
      </w:r>
    </w:p>
    <w:p>
      <w:pPr>
        <w:pStyle w:val="5"/>
        <w:numPr>
          <w:ilvl w:val="0"/>
          <w:numId w:val="24"/>
        </w:numPr>
        <w:ind w:left="0" w:firstLine="640"/>
      </w:pPr>
      <w:r>
        <w:rPr>
          <w:rFonts w:hint="eastAsia"/>
        </w:rPr>
        <w:t>突出科技作用</w:t>
      </w:r>
    </w:p>
    <w:p>
      <w:pPr>
        <w:ind w:firstLine="640"/>
        <w:rPr>
          <w:rFonts w:cs="方正仿宋_GBK"/>
        </w:rPr>
        <w:sectPr>
          <w:pgSz w:w="11906" w:h="16838"/>
          <w:pgMar w:top="1800" w:right="1440" w:bottom="1800" w:left="1440" w:header="851" w:footer="992" w:gutter="0"/>
          <w:cols w:space="425" w:num="1"/>
          <w:docGrid w:type="lines" w:linePitch="312" w:charSpace="0"/>
        </w:sectPr>
      </w:pPr>
      <w:r>
        <w:rPr>
          <w:rFonts w:hint="eastAsia" w:cs="方正仿宋_GBK"/>
        </w:rPr>
        <w:t>大力引进和推广高标准农田建设先进实用工程与装备技术，加强农田建设与农机农艺技术的集成与应用。开展生态绿色农田、数字农田和土壤酸化及工程性缺水等专项建设示范。</w:t>
      </w:r>
    </w:p>
    <w:p>
      <w:pPr>
        <w:pStyle w:val="3"/>
        <w:jc w:val="left"/>
      </w:pPr>
      <w:bookmarkStart w:id="46" w:name="_Toc21545"/>
      <w:r>
        <w:rPr>
          <w:rFonts w:hint="eastAsia"/>
        </w:rPr>
        <w:t>附表</w:t>
      </w:r>
      <w:bookmarkEnd w:id="46"/>
    </w:p>
    <w:p>
      <w:pPr>
        <w:pStyle w:val="4"/>
        <w:numPr>
          <w:ilvl w:val="0"/>
          <w:numId w:val="0"/>
        </w:numPr>
        <w:snapToGrid w:val="0"/>
        <w:spacing w:line="240" w:lineRule="auto"/>
        <w:rPr>
          <w:rFonts w:hint="default" w:ascii="方正黑体_GBK" w:hAnsi="方正黑体_GBK" w:eastAsia="方正黑体_GBK" w:cs="方正黑体_GBK"/>
          <w:sz w:val="28"/>
          <w:szCs w:val="28"/>
          <w:lang w:val="en-US" w:eastAsia="zh-CN"/>
        </w:rPr>
      </w:pPr>
      <w:bookmarkStart w:id="47" w:name="_Toc23848"/>
      <w:r>
        <w:rPr>
          <w:rFonts w:hint="eastAsia" w:ascii="方正黑体_GBK" w:hAnsi="方正黑体_GBK" w:cs="方正黑体_GBK"/>
          <w:sz w:val="28"/>
          <w:szCs w:val="28"/>
        </w:rPr>
        <w:t>附表01              沙坪坝区2021－2030年高标准农田建设时序表</w:t>
      </w:r>
      <w:bookmarkEnd w:id="47"/>
      <w:r>
        <w:rPr>
          <w:rFonts w:hint="eastAsia" w:ascii="方正黑体_GBK" w:hAnsi="方正黑体_GBK" w:cs="方正黑体_GBK"/>
          <w:sz w:val="28"/>
          <w:szCs w:val="28"/>
          <w:lang w:val="en-US" w:eastAsia="zh-CN"/>
        </w:rPr>
        <w:t xml:space="preserve">   </w:t>
      </w:r>
    </w:p>
    <w:p>
      <w:pPr>
        <w:snapToGrid w:val="0"/>
        <w:spacing w:line="240" w:lineRule="auto"/>
        <w:ind w:firstLine="440"/>
        <w:jc w:val="center"/>
        <w:rPr>
          <w:sz w:val="22"/>
          <w:szCs w:val="22"/>
        </w:rPr>
      </w:pPr>
      <w:r>
        <w:rPr>
          <w:rFonts w:hint="eastAsia"/>
          <w:sz w:val="22"/>
          <w:szCs w:val="22"/>
        </w:rPr>
        <w:t xml:space="preserve">                                                                                          </w:t>
      </w:r>
      <w:r>
        <w:rPr>
          <w:rFonts w:hint="eastAsia"/>
          <w:sz w:val="22"/>
          <w:szCs w:val="22"/>
          <w:lang w:val="en-US" w:eastAsia="zh-CN"/>
        </w:rPr>
        <w:t xml:space="preserve">             </w:t>
      </w:r>
      <w:r>
        <w:rPr>
          <w:rFonts w:hint="eastAsia"/>
          <w:sz w:val="22"/>
          <w:szCs w:val="22"/>
        </w:rPr>
        <w:t>单位：亩、万元</w:t>
      </w:r>
    </w:p>
    <w:tbl>
      <w:tblPr>
        <w:tblStyle w:val="29"/>
        <w:tblW w:w="134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36"/>
        <w:gridCol w:w="1037"/>
        <w:gridCol w:w="1036"/>
        <w:gridCol w:w="1037"/>
        <w:gridCol w:w="1036"/>
        <w:gridCol w:w="1037"/>
        <w:gridCol w:w="1036"/>
        <w:gridCol w:w="1037"/>
        <w:gridCol w:w="1384"/>
        <w:gridCol w:w="1384"/>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1008" w:type="dxa"/>
            <w:vMerge w:val="restart"/>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年份</w:t>
            </w:r>
          </w:p>
        </w:tc>
        <w:tc>
          <w:tcPr>
            <w:tcW w:w="2073" w:type="dxa"/>
            <w:gridSpan w:val="2"/>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中梁镇</w:t>
            </w:r>
          </w:p>
        </w:tc>
        <w:tc>
          <w:tcPr>
            <w:tcW w:w="2073" w:type="dxa"/>
            <w:gridSpan w:val="2"/>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回龙坝镇</w:t>
            </w:r>
          </w:p>
        </w:tc>
        <w:tc>
          <w:tcPr>
            <w:tcW w:w="2073" w:type="dxa"/>
            <w:gridSpan w:val="2"/>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凤凰镇</w:t>
            </w:r>
          </w:p>
        </w:tc>
        <w:tc>
          <w:tcPr>
            <w:tcW w:w="2073" w:type="dxa"/>
            <w:gridSpan w:val="2"/>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歌乐山街道</w:t>
            </w:r>
          </w:p>
        </w:tc>
        <w:tc>
          <w:tcPr>
            <w:tcW w:w="2768" w:type="dxa"/>
            <w:gridSpan w:val="2"/>
          </w:tcPr>
          <w:p>
            <w:pPr>
              <w:snapToGrid w:val="0"/>
              <w:spacing w:line="240" w:lineRule="auto"/>
              <w:ind w:firstLine="0" w:firstLineChars="0"/>
              <w:jc w:val="center"/>
              <w:rPr>
                <w:rFonts w:hint="default" w:ascii="方正仿宋_GBK" w:hAnsi="方正仿宋_GBK" w:cs="方正仿宋_GBK"/>
                <w:kern w:val="0"/>
                <w:sz w:val="24"/>
                <w:szCs w:val="24"/>
                <w:lang w:val="en-US"/>
              </w:rPr>
            </w:pPr>
            <w:r>
              <w:rPr>
                <w:rFonts w:hint="eastAsia" w:ascii="方正仿宋_GBK" w:hAnsi="方正仿宋_GBK" w:cs="方正仿宋_GBK"/>
                <w:kern w:val="0"/>
                <w:sz w:val="24"/>
                <w:szCs w:val="24"/>
                <w:lang w:val="en-US" w:eastAsia="zh-CN"/>
              </w:rPr>
              <w:t>各镇街汇总</w:t>
            </w:r>
          </w:p>
        </w:tc>
        <w:tc>
          <w:tcPr>
            <w:tcW w:w="1384" w:type="dxa"/>
            <w:vMerge w:val="restart"/>
          </w:tcPr>
          <w:p>
            <w:pPr>
              <w:snapToGrid w:val="0"/>
              <w:spacing w:line="240" w:lineRule="auto"/>
              <w:ind w:firstLine="0" w:firstLineChars="0"/>
              <w:jc w:val="center"/>
              <w:rPr>
                <w:rFonts w:hint="eastAsia" w:ascii="方正仿宋_GBK" w:hAnsi="方正仿宋_GBK" w:cs="方正仿宋_GBK"/>
                <w:kern w:val="0"/>
                <w:sz w:val="24"/>
                <w:szCs w:val="24"/>
                <w:lang w:val="en-US" w:eastAsia="zh-CN"/>
              </w:rPr>
            </w:pPr>
          </w:p>
          <w:p>
            <w:pPr>
              <w:snapToGrid w:val="0"/>
              <w:spacing w:line="240" w:lineRule="auto"/>
              <w:ind w:firstLine="0" w:firstLineChars="0"/>
              <w:jc w:val="center"/>
              <w:rPr>
                <w:rFonts w:hint="eastAsia"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1008" w:type="dxa"/>
            <w:vMerge w:val="continue"/>
          </w:tcPr>
          <w:p>
            <w:pPr>
              <w:snapToGrid w:val="0"/>
              <w:spacing w:line="240" w:lineRule="auto"/>
              <w:ind w:firstLine="0" w:firstLineChars="0"/>
              <w:jc w:val="both"/>
              <w:rPr>
                <w:rFonts w:ascii="方正仿宋_GBK" w:hAnsi="方正仿宋_GBK" w:cs="方正仿宋_GBK"/>
                <w:spacing w:val="-9"/>
                <w:sz w:val="24"/>
                <w:szCs w:val="24"/>
              </w:rPr>
            </w:pPr>
          </w:p>
        </w:tc>
        <w:tc>
          <w:tcPr>
            <w:tcW w:w="1036"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新建</w:t>
            </w:r>
          </w:p>
        </w:tc>
        <w:tc>
          <w:tcPr>
            <w:tcW w:w="1037"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改造</w:t>
            </w:r>
          </w:p>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提升</w:t>
            </w:r>
          </w:p>
        </w:tc>
        <w:tc>
          <w:tcPr>
            <w:tcW w:w="1036"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新建</w:t>
            </w:r>
          </w:p>
        </w:tc>
        <w:tc>
          <w:tcPr>
            <w:tcW w:w="1037"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改造</w:t>
            </w:r>
          </w:p>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提升</w:t>
            </w:r>
          </w:p>
        </w:tc>
        <w:tc>
          <w:tcPr>
            <w:tcW w:w="1036"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新建</w:t>
            </w:r>
          </w:p>
        </w:tc>
        <w:tc>
          <w:tcPr>
            <w:tcW w:w="1037"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改造</w:t>
            </w:r>
          </w:p>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提升</w:t>
            </w:r>
          </w:p>
        </w:tc>
        <w:tc>
          <w:tcPr>
            <w:tcW w:w="1036"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新建</w:t>
            </w:r>
          </w:p>
        </w:tc>
        <w:tc>
          <w:tcPr>
            <w:tcW w:w="1037"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改造</w:t>
            </w:r>
          </w:p>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提升</w:t>
            </w:r>
          </w:p>
        </w:tc>
        <w:tc>
          <w:tcPr>
            <w:tcW w:w="1384"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新建</w:t>
            </w:r>
          </w:p>
        </w:tc>
        <w:tc>
          <w:tcPr>
            <w:tcW w:w="1384"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改造</w:t>
            </w:r>
          </w:p>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提升</w:t>
            </w:r>
          </w:p>
        </w:tc>
        <w:tc>
          <w:tcPr>
            <w:tcW w:w="1384" w:type="dxa"/>
            <w:vMerge w:val="continue"/>
            <w:vAlign w:val="center"/>
          </w:tcPr>
          <w:p>
            <w:pPr>
              <w:snapToGrid w:val="0"/>
              <w:spacing w:line="240" w:lineRule="auto"/>
              <w:ind w:firstLine="0" w:firstLineChars="0"/>
              <w:jc w:val="center"/>
              <w:rPr>
                <w:rFonts w:hint="eastAsia" w:ascii="方正仿宋_GBK" w:hAnsi="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vAlign w:val="center"/>
          </w:tcPr>
          <w:p>
            <w:pPr>
              <w:snapToGrid w:val="0"/>
              <w:spacing w:line="240" w:lineRule="auto"/>
              <w:ind w:firstLine="0" w:firstLineChars="0"/>
              <w:jc w:val="center"/>
              <w:rPr>
                <w:rFonts w:ascii="方正仿宋_GBK" w:hAnsi="方正仿宋_GBK" w:cs="方正仿宋_GBK"/>
                <w:spacing w:val="-9"/>
                <w:sz w:val="24"/>
                <w:szCs w:val="24"/>
              </w:rPr>
            </w:pPr>
            <w:r>
              <w:rPr>
                <w:rFonts w:hint="eastAsia" w:ascii="方正仿宋_GBK" w:hAnsi="方正仿宋_GBK" w:cs="方正仿宋_GBK"/>
                <w:kern w:val="0"/>
                <w:sz w:val="24"/>
                <w:szCs w:val="24"/>
              </w:rPr>
              <w:t>2021年</w:t>
            </w:r>
          </w:p>
        </w:tc>
        <w:tc>
          <w:tcPr>
            <w:tcW w:w="1036"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2510</w:t>
            </w:r>
          </w:p>
        </w:tc>
        <w:tc>
          <w:tcPr>
            <w:tcW w:w="1037"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800</w:t>
            </w:r>
          </w:p>
        </w:tc>
        <w:tc>
          <w:tcPr>
            <w:tcW w:w="1037"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490</w:t>
            </w:r>
          </w:p>
        </w:tc>
        <w:tc>
          <w:tcPr>
            <w:tcW w:w="1037"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037"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3800</w:t>
            </w:r>
          </w:p>
        </w:tc>
        <w:tc>
          <w:tcPr>
            <w:tcW w:w="1384" w:type="dxa"/>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384" w:type="dxa"/>
            <w:vAlign w:val="center"/>
          </w:tcPr>
          <w:p>
            <w:pPr>
              <w:snapToGrid w:val="0"/>
              <w:spacing w:line="240" w:lineRule="auto"/>
              <w:ind w:firstLine="0" w:firstLineChars="0"/>
              <w:jc w:val="center"/>
              <w:rPr>
                <w:rFonts w:hint="default" w:ascii="方正仿宋_GBK" w:hAnsi="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shd w:val="clear" w:color="auto" w:fill="auto"/>
            <w:vAlign w:val="center"/>
          </w:tcPr>
          <w:p>
            <w:pPr>
              <w:snapToGrid w:val="0"/>
              <w:spacing w:line="240" w:lineRule="auto"/>
              <w:ind w:firstLine="0" w:firstLineChars="0"/>
              <w:jc w:val="center"/>
              <w:rPr>
                <w:rFonts w:ascii="方正仿宋_GBK" w:hAnsi="方正仿宋_GBK" w:cs="方正仿宋_GBK"/>
                <w:spacing w:val="-9"/>
                <w:sz w:val="24"/>
                <w:szCs w:val="24"/>
              </w:rPr>
            </w:pPr>
            <w:r>
              <w:rPr>
                <w:rFonts w:hint="eastAsia" w:ascii="方正仿宋_GBK" w:hAnsi="方正仿宋_GBK" w:cs="方正仿宋_GBK"/>
                <w:kern w:val="0"/>
                <w:sz w:val="24"/>
                <w:szCs w:val="24"/>
              </w:rPr>
              <w:t>2022年</w:t>
            </w:r>
          </w:p>
        </w:tc>
        <w:tc>
          <w:tcPr>
            <w:tcW w:w="1036" w:type="dxa"/>
            <w:shd w:val="clear" w:color="auto" w:fill="auto"/>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68</w:t>
            </w:r>
          </w:p>
        </w:tc>
        <w:tc>
          <w:tcPr>
            <w:tcW w:w="1037" w:type="dxa"/>
            <w:shd w:val="clear" w:color="auto" w:fill="auto"/>
            <w:vAlign w:val="center"/>
          </w:tcPr>
          <w:p>
            <w:pPr>
              <w:snapToGrid w:val="0"/>
              <w:spacing w:line="240" w:lineRule="auto"/>
              <w:ind w:firstLine="0" w:firstLineChars="0"/>
              <w:jc w:val="center"/>
              <w:rPr>
                <w:rFonts w:hint="default" w:ascii="方正仿宋_GBK" w:hAnsi="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1935</w:t>
            </w:r>
          </w:p>
        </w:tc>
        <w:tc>
          <w:tcPr>
            <w:tcW w:w="1036" w:type="dxa"/>
            <w:shd w:val="clear" w:color="auto" w:fill="auto"/>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snapToGrid w:val="0"/>
              <w:spacing w:line="240" w:lineRule="auto"/>
              <w:ind w:firstLine="0" w:firstLineChars="0"/>
              <w:jc w:val="center"/>
              <w:rPr>
                <w:rFonts w:hint="default" w:ascii="方正仿宋_GBK" w:hAnsi="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2065</w:t>
            </w:r>
          </w:p>
        </w:tc>
        <w:tc>
          <w:tcPr>
            <w:tcW w:w="1036" w:type="dxa"/>
            <w:shd w:val="clear" w:color="auto" w:fill="auto"/>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2932</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3000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4000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vAlign w:val="center"/>
          </w:tcPr>
          <w:p>
            <w:pPr>
              <w:snapToGrid w:val="0"/>
              <w:spacing w:line="240" w:lineRule="auto"/>
              <w:ind w:firstLine="0" w:firstLineChars="0"/>
              <w:jc w:val="center"/>
              <w:rPr>
                <w:rFonts w:ascii="方正仿宋_GBK" w:hAnsi="方正仿宋_GBK" w:cs="方正仿宋_GBK"/>
                <w:spacing w:val="-9"/>
                <w:sz w:val="24"/>
                <w:szCs w:val="24"/>
              </w:rPr>
            </w:pPr>
            <w:r>
              <w:rPr>
                <w:rFonts w:hint="eastAsia" w:ascii="方正仿宋_GBK" w:hAnsi="方正仿宋_GBK" w:cs="方正仿宋_GBK"/>
                <w:kern w:val="0"/>
                <w:sz w:val="24"/>
                <w:szCs w:val="24"/>
              </w:rPr>
              <w:t>2023年</w:t>
            </w:r>
          </w:p>
        </w:tc>
        <w:tc>
          <w:tcPr>
            <w:tcW w:w="1036"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c>
          <w:tcPr>
            <w:tcW w:w="1036"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036"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1000</w:t>
            </w:r>
          </w:p>
        </w:tc>
        <w:tc>
          <w:tcPr>
            <w:tcW w:w="10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1000</w:t>
            </w:r>
          </w:p>
        </w:tc>
        <w:tc>
          <w:tcPr>
            <w:tcW w:w="1384" w:type="dxa"/>
            <w:vAlign w:val="center"/>
          </w:tcPr>
          <w:p>
            <w:pPr>
              <w:snapToGrid w:val="0"/>
              <w:spacing w:line="240" w:lineRule="auto"/>
              <w:ind w:firstLine="0" w:firstLineChars="0"/>
              <w:jc w:val="center"/>
              <w:rPr>
                <w:rFonts w:hint="eastAsia" w:ascii="方正仿宋_GBK" w:hAnsi="方正仿宋_GBK" w:cs="方正仿宋_GBK"/>
                <w:kern w:val="0"/>
                <w:sz w:val="24"/>
                <w:szCs w:val="24"/>
              </w:rPr>
            </w:pPr>
            <w:r>
              <w:rPr>
                <w:rFonts w:hint="eastAsia" w:ascii="方正仿宋_GBK" w:hAnsi="方正仿宋_GBK" w:cs="方正仿宋_GBK"/>
                <w:kern w:val="0"/>
                <w:sz w:val="24"/>
                <w:szCs w:val="24"/>
              </w:rPr>
              <w:t>2000</w:t>
            </w:r>
          </w:p>
        </w:tc>
        <w:tc>
          <w:tcPr>
            <w:tcW w:w="1384" w:type="dxa"/>
            <w:vAlign w:val="center"/>
          </w:tcPr>
          <w:p>
            <w:pPr>
              <w:snapToGrid w:val="0"/>
              <w:spacing w:line="240" w:lineRule="auto"/>
              <w:ind w:firstLine="0" w:firstLineChars="0"/>
              <w:jc w:val="center"/>
              <w:rPr>
                <w:rFonts w:hint="default" w:ascii="方正仿宋_GBK" w:hAnsi="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vAlign w:val="center"/>
          </w:tcPr>
          <w:p>
            <w:pPr>
              <w:snapToGrid w:val="0"/>
              <w:spacing w:line="240" w:lineRule="auto"/>
              <w:ind w:firstLine="0" w:firstLineChars="0"/>
              <w:jc w:val="center"/>
              <w:rPr>
                <w:rFonts w:ascii="方正仿宋_GBK" w:hAnsi="方正仿宋_GBK" w:cs="方正仿宋_GBK"/>
                <w:spacing w:val="-9"/>
                <w:sz w:val="24"/>
                <w:szCs w:val="24"/>
              </w:rPr>
            </w:pPr>
            <w:r>
              <w:rPr>
                <w:rFonts w:hint="eastAsia" w:ascii="方正仿宋_GBK" w:hAnsi="方正仿宋_GBK" w:cs="方正仿宋_GBK"/>
                <w:kern w:val="0"/>
                <w:sz w:val="24"/>
                <w:szCs w:val="24"/>
              </w:rPr>
              <w:t>2024年</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spacing w:val="-9"/>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3000</w:t>
            </w:r>
          </w:p>
        </w:tc>
        <w:tc>
          <w:tcPr>
            <w:tcW w:w="1036"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0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w:t>
            </w:r>
          </w:p>
        </w:tc>
        <w:tc>
          <w:tcPr>
            <w:tcW w:w="1384" w:type="dxa"/>
            <w:vAlign w:val="center"/>
          </w:tcPr>
          <w:p>
            <w:pPr>
              <w:snapToGrid w:val="0"/>
              <w:spacing w:line="240" w:lineRule="auto"/>
              <w:ind w:firstLine="0" w:firstLineChars="0"/>
              <w:jc w:val="center"/>
              <w:rPr>
                <w:rFonts w:hint="default" w:ascii="方正仿宋_GBK" w:hAnsi="方正仿宋_GBK" w:eastAsia="方正仿宋_GBK" w:cs="方正仿宋_GBK"/>
                <w:spacing w:val="-9"/>
                <w:sz w:val="24"/>
                <w:szCs w:val="24"/>
                <w:lang w:val="en-US" w:eastAsia="zh-CN"/>
              </w:rPr>
            </w:pPr>
            <w:r>
              <w:rPr>
                <w:rFonts w:hint="eastAsia" w:ascii="方正仿宋_GBK" w:hAnsi="方正仿宋_GBK" w:cs="方正仿宋_GBK"/>
                <w:spacing w:val="-9"/>
                <w:sz w:val="24"/>
                <w:szCs w:val="24"/>
                <w:lang w:val="en-US" w:eastAsia="zh-CN"/>
              </w:rPr>
              <w:t>3000</w:t>
            </w:r>
          </w:p>
        </w:tc>
        <w:tc>
          <w:tcPr>
            <w:tcW w:w="1384" w:type="dxa"/>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vAlign w:val="center"/>
          </w:tcPr>
          <w:p>
            <w:pPr>
              <w:snapToGrid w:val="0"/>
              <w:spacing w:line="240" w:lineRule="auto"/>
              <w:ind w:firstLine="0" w:firstLineChars="0"/>
              <w:jc w:val="center"/>
              <w:rPr>
                <w:rFonts w:ascii="方正仿宋_GBK" w:hAnsi="方正仿宋_GBK" w:cs="方正仿宋_GBK"/>
                <w:spacing w:val="-9"/>
                <w:sz w:val="24"/>
                <w:szCs w:val="24"/>
              </w:rPr>
            </w:pPr>
            <w:r>
              <w:rPr>
                <w:rFonts w:hint="eastAsia" w:ascii="方正仿宋_GBK" w:hAnsi="方正仿宋_GBK" w:cs="方正仿宋_GBK"/>
                <w:kern w:val="0"/>
                <w:sz w:val="24"/>
                <w:szCs w:val="24"/>
              </w:rPr>
              <w:t>2025年</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spacing w:val="-9"/>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036" w:type="dxa"/>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c>
          <w:tcPr>
            <w:tcW w:w="10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0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c>
          <w:tcPr>
            <w:tcW w:w="1384" w:type="dxa"/>
            <w:vAlign w:val="center"/>
          </w:tcPr>
          <w:p>
            <w:pPr>
              <w:snapToGrid w:val="0"/>
              <w:spacing w:line="240" w:lineRule="auto"/>
              <w:ind w:firstLine="0" w:firstLineChars="0"/>
              <w:jc w:val="center"/>
              <w:rPr>
                <w:rFonts w:hint="eastAsia" w:ascii="方正仿宋_GBK" w:hAnsi="方正仿宋_GBK" w:eastAsia="方正仿宋_GBK" w:cs="方正仿宋_GBK"/>
                <w:spacing w:val="-9"/>
                <w:sz w:val="24"/>
                <w:szCs w:val="24"/>
                <w:lang w:eastAsia="zh-CN"/>
              </w:rPr>
            </w:pPr>
            <w:r>
              <w:rPr>
                <w:rFonts w:hint="eastAsia" w:ascii="方正仿宋_GBK" w:hAnsi="方正仿宋_GBK" w:cs="方正仿宋_GBK"/>
                <w:kern w:val="0"/>
                <w:sz w:val="24"/>
                <w:szCs w:val="24"/>
                <w:lang w:val="en-US" w:eastAsia="zh-CN"/>
              </w:rPr>
              <w:t>-</w:t>
            </w:r>
          </w:p>
        </w:tc>
        <w:tc>
          <w:tcPr>
            <w:tcW w:w="1384" w:type="dxa"/>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2026年</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2</w:t>
            </w:r>
            <w:r>
              <w:rPr>
                <w:rFonts w:hint="eastAsia" w:ascii="方正仿宋_GBK" w:hAnsi="方正仿宋_GBK" w:cs="方正仿宋_GBK"/>
                <w:kern w:val="0"/>
                <w:sz w:val="24"/>
                <w:szCs w:val="24"/>
              </w:rPr>
              <w:t>000</w:t>
            </w:r>
          </w:p>
        </w:tc>
        <w:tc>
          <w:tcPr>
            <w:tcW w:w="1036"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2</w:t>
            </w:r>
            <w:r>
              <w:rPr>
                <w:rFonts w:hint="eastAsia" w:ascii="方正仿宋_GBK" w:hAnsi="方正仿宋_GBK" w:cs="方正仿宋_GBK"/>
                <w:kern w:val="0"/>
                <w:sz w:val="24"/>
                <w:szCs w:val="24"/>
              </w:rPr>
              <w:t>000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2027年</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2000</w:t>
            </w:r>
          </w:p>
        </w:tc>
        <w:tc>
          <w:tcPr>
            <w:tcW w:w="1036"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eastAsia="zh-CN"/>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2028年</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方正仿宋_GBK" w:hAnsi="方正仿宋_GBK" w:cs="方正仿宋_GBK"/>
                <w:kern w:val="0"/>
                <w:sz w:val="24"/>
                <w:szCs w:val="24"/>
                <w:lang w:val="en-US"/>
              </w:rPr>
            </w:pPr>
            <w:r>
              <w:rPr>
                <w:rFonts w:hint="eastAsia" w:ascii="方正仿宋_GBK" w:hAnsi="方正仿宋_GBK" w:cs="方正仿宋_GBK"/>
                <w:kern w:val="0"/>
                <w:sz w:val="24"/>
                <w:szCs w:val="24"/>
                <w:lang w:val="en-US" w:eastAsia="zh-CN"/>
              </w:rPr>
              <w:t>400</w:t>
            </w:r>
          </w:p>
        </w:tc>
        <w:tc>
          <w:tcPr>
            <w:tcW w:w="1037"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16</w:t>
            </w:r>
            <w:r>
              <w:rPr>
                <w:rFonts w:hint="eastAsia" w:ascii="方正仿宋_GBK" w:hAnsi="方正仿宋_GBK" w:cs="方正仿宋_GBK"/>
                <w:kern w:val="0"/>
                <w:sz w:val="24"/>
                <w:szCs w:val="24"/>
              </w:rPr>
              <w:t>00</w:t>
            </w:r>
          </w:p>
        </w:tc>
        <w:tc>
          <w:tcPr>
            <w:tcW w:w="1036"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400</w:t>
            </w:r>
          </w:p>
        </w:tc>
        <w:tc>
          <w:tcPr>
            <w:tcW w:w="1384"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16</w:t>
            </w:r>
            <w:r>
              <w:rPr>
                <w:rFonts w:hint="eastAsia" w:ascii="方正仿宋_GBK" w:hAnsi="方正仿宋_GBK" w:cs="方正仿宋_GBK"/>
                <w:kern w:val="0"/>
                <w:sz w:val="24"/>
                <w:szCs w:val="24"/>
              </w:rPr>
              <w:t>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2029年</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spacing w:val="-9"/>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2000</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spacing w:val="-9"/>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pacing w:val="-9"/>
                <w:sz w:val="24"/>
                <w:szCs w:val="24"/>
                <w:lang w:val="en-US" w:eastAsia="zh-CN"/>
              </w:rPr>
            </w:pPr>
            <w:r>
              <w:rPr>
                <w:rFonts w:hint="eastAsia" w:ascii="方正仿宋_GBK" w:hAnsi="方正仿宋_GBK" w:cs="方正仿宋_GBK"/>
                <w:spacing w:val="-9"/>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eastAsia="方正仿宋_GBK" w:cs="方正仿宋_GBK"/>
                <w:spacing w:val="-9"/>
                <w:kern w:val="2"/>
                <w:sz w:val="24"/>
                <w:szCs w:val="24"/>
                <w:lang w:val="en-US" w:eastAsia="zh-CN" w:bidi="ar-SA"/>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spacing w:val="-9"/>
                <w:sz w:val="24"/>
                <w:szCs w:val="24"/>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ascii="方正仿宋_GBK" w:hAnsi="方正仿宋_GBK" w:cs="方正仿宋_GBK"/>
                <w:spacing w:val="-9"/>
                <w:sz w:val="24"/>
                <w:szCs w:val="24"/>
              </w:rPr>
            </w:pPr>
            <w:r>
              <w:rPr>
                <w:rFonts w:hint="eastAsia" w:ascii="方正仿宋_GBK" w:hAnsi="方正仿宋_GBK" w:cs="方正仿宋_GBK"/>
                <w:kern w:val="0"/>
                <w:sz w:val="24"/>
                <w:szCs w:val="24"/>
              </w:rPr>
              <w:t>2000</w:t>
            </w:r>
          </w:p>
        </w:tc>
        <w:tc>
          <w:tcPr>
            <w:tcW w:w="1384" w:type="dxa"/>
            <w:shd w:val="clear" w:color="auto" w:fill="auto"/>
            <w:vAlign w:val="center"/>
          </w:tcPr>
          <w:p>
            <w:pPr>
              <w:snapToGrid w:val="0"/>
              <w:spacing w:line="240" w:lineRule="auto"/>
              <w:ind w:firstLine="0" w:firstLineChars="0"/>
              <w:jc w:val="center"/>
              <w:rPr>
                <w:rFonts w:hint="eastAsia" w:ascii="方正仿宋_GBK" w:hAnsi="方正仿宋_GBK" w:eastAsia="方正仿宋_GBK" w:cs="方正仿宋_GBK"/>
                <w:spacing w:val="-9"/>
                <w:sz w:val="24"/>
                <w:szCs w:val="24"/>
                <w:lang w:eastAsia="zh-CN"/>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2030年</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spacing w:val="-9"/>
                <w:sz w:val="24"/>
                <w:szCs w:val="24"/>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kern w:val="0"/>
                <w:sz w:val="24"/>
                <w:szCs w:val="24"/>
              </w:rPr>
            </w:pPr>
            <w:r>
              <w:rPr>
                <w:rFonts w:hint="eastAsia" w:ascii="方正仿宋_GBK" w:hAnsi="方正仿宋_GBK" w:cs="方正仿宋_GBK"/>
                <w:kern w:val="0"/>
                <w:sz w:val="24"/>
                <w:szCs w:val="24"/>
                <w:lang w:val="en-US" w:eastAsia="zh-CN"/>
              </w:rPr>
              <w:t>-</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方正仿宋_GBK" w:hAnsi="方正仿宋_GBK" w:cs="方正仿宋_GBK"/>
                <w:kern w:val="0"/>
                <w:sz w:val="24"/>
                <w:szCs w:val="24"/>
                <w:lang w:val="en-US"/>
              </w:rPr>
            </w:pPr>
            <w:r>
              <w:rPr>
                <w:rFonts w:hint="eastAsia" w:ascii="方正仿宋_GBK" w:hAnsi="方正仿宋_GBK" w:cs="方正仿宋_GBK"/>
                <w:kern w:val="0"/>
                <w:sz w:val="24"/>
                <w:szCs w:val="24"/>
                <w:lang w:val="en-US" w:eastAsia="zh-CN"/>
              </w:rPr>
              <w:t>300</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1700</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eastAsia="方正仿宋_GBK" w:cs="方正仿宋_GBK"/>
                <w:kern w:val="0"/>
                <w:sz w:val="24"/>
                <w:szCs w:val="24"/>
                <w:lang w:val="en-US" w:eastAsia="zh-CN" w:bidi="ar-SA"/>
              </w:rPr>
            </w:pPr>
            <w:r>
              <w:rPr>
                <w:rFonts w:hint="eastAsia" w:ascii="方正仿宋_GBK" w:hAnsi="方正仿宋_GBK" w:cs="方正仿宋_GBK"/>
                <w:kern w:val="0"/>
                <w:sz w:val="24"/>
                <w:szCs w:val="24"/>
                <w:lang w:val="en-US" w:eastAsia="zh-CN"/>
              </w:rPr>
              <w:t>-</w:t>
            </w:r>
          </w:p>
        </w:tc>
        <w:tc>
          <w:tcPr>
            <w:tcW w:w="1037"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方正仿宋_GBK" w:hAnsi="方正仿宋_GBK" w:cs="方正仿宋_GBK"/>
                <w:spacing w:val="-9"/>
                <w:sz w:val="24"/>
                <w:szCs w:val="24"/>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cs="方正仿宋_GBK"/>
                <w:kern w:val="0"/>
                <w:sz w:val="24"/>
                <w:szCs w:val="24"/>
                <w:lang w:val="en-US"/>
              </w:rPr>
            </w:pPr>
            <w:r>
              <w:rPr>
                <w:rFonts w:hint="eastAsia" w:ascii="方正仿宋_GBK" w:hAnsi="方正仿宋_GBK" w:cs="方正仿宋_GBK"/>
                <w:kern w:val="0"/>
                <w:sz w:val="24"/>
                <w:szCs w:val="24"/>
                <w:lang w:val="en-US" w:eastAsia="zh-CN"/>
              </w:rPr>
              <w:t>300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1700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008" w:type="dxa"/>
            <w:shd w:val="clear" w:color="auto" w:fill="auto"/>
            <w:vAlign w:val="center"/>
          </w:tcPr>
          <w:p>
            <w:pPr>
              <w:snapToGrid w:val="0"/>
              <w:spacing w:line="240" w:lineRule="auto"/>
              <w:ind w:firstLine="0" w:firstLineChars="0"/>
              <w:jc w:val="center"/>
              <w:rPr>
                <w:rFonts w:ascii="方正仿宋_GBK" w:hAnsi="方正仿宋_GBK" w:cs="方正仿宋_GBK"/>
                <w:kern w:val="0"/>
                <w:sz w:val="24"/>
                <w:szCs w:val="24"/>
              </w:rPr>
            </w:pPr>
            <w:r>
              <w:rPr>
                <w:rFonts w:hint="eastAsia" w:ascii="方正仿宋_GBK" w:hAnsi="方正仿宋_GBK" w:cs="方正仿宋_GBK"/>
                <w:kern w:val="0"/>
                <w:sz w:val="24"/>
                <w:szCs w:val="24"/>
              </w:rPr>
              <w:t>合计</w:t>
            </w:r>
          </w:p>
        </w:tc>
        <w:tc>
          <w:tcPr>
            <w:tcW w:w="1036"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2978</w:t>
            </w:r>
          </w:p>
        </w:tc>
        <w:tc>
          <w:tcPr>
            <w:tcW w:w="1037"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12535</w:t>
            </w:r>
          </w:p>
        </w:tc>
        <w:tc>
          <w:tcPr>
            <w:tcW w:w="1036"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4800</w:t>
            </w:r>
          </w:p>
        </w:tc>
        <w:tc>
          <w:tcPr>
            <w:tcW w:w="1037"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2065</w:t>
            </w:r>
          </w:p>
        </w:tc>
        <w:tc>
          <w:tcPr>
            <w:tcW w:w="1036"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1790</w:t>
            </w:r>
          </w:p>
        </w:tc>
        <w:tc>
          <w:tcPr>
            <w:tcW w:w="1037"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1700</w:t>
            </w:r>
          </w:p>
        </w:tc>
        <w:tc>
          <w:tcPr>
            <w:tcW w:w="103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2932</w:t>
            </w:r>
          </w:p>
        </w:tc>
        <w:tc>
          <w:tcPr>
            <w:tcW w:w="1037" w:type="dxa"/>
            <w:shd w:val="clear" w:color="auto" w:fill="auto"/>
            <w:vAlign w:val="center"/>
          </w:tcPr>
          <w:p>
            <w:pPr>
              <w:snapToGrid w:val="0"/>
              <w:spacing w:line="240" w:lineRule="auto"/>
              <w:ind w:firstLine="0" w:firstLineChars="0"/>
              <w:jc w:val="center"/>
              <w:rPr>
                <w:rFonts w:hint="eastAsia"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12500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16300</w:t>
            </w:r>
          </w:p>
        </w:tc>
        <w:tc>
          <w:tcPr>
            <w:tcW w:w="1384" w:type="dxa"/>
            <w:shd w:val="clear" w:color="auto" w:fill="auto"/>
            <w:vAlign w:val="center"/>
          </w:tcPr>
          <w:p>
            <w:pPr>
              <w:snapToGrid w:val="0"/>
              <w:spacing w:line="240" w:lineRule="auto"/>
              <w:ind w:firstLine="0" w:firstLineChars="0"/>
              <w:jc w:val="center"/>
              <w:rPr>
                <w:rFonts w:hint="default" w:ascii="方正仿宋_GBK" w:hAnsi="方正仿宋_GBK" w:eastAsia="方正仿宋_GBK" w:cs="方正仿宋_GBK"/>
                <w:kern w:val="0"/>
                <w:sz w:val="24"/>
                <w:szCs w:val="24"/>
                <w:lang w:val="en-US" w:eastAsia="zh-CN"/>
              </w:rPr>
            </w:pPr>
            <w:r>
              <w:rPr>
                <w:rFonts w:hint="eastAsia" w:ascii="方正仿宋_GBK" w:hAnsi="方正仿宋_GBK" w:cs="方正仿宋_GBK"/>
                <w:kern w:val="0"/>
                <w:sz w:val="24"/>
                <w:szCs w:val="24"/>
                <w:lang w:val="en-US" w:eastAsia="zh-CN"/>
              </w:rPr>
              <w:t>28800</w:t>
            </w:r>
          </w:p>
        </w:tc>
      </w:tr>
    </w:tbl>
    <w:p>
      <w:pPr>
        <w:pStyle w:val="4"/>
        <w:numPr>
          <w:ilvl w:val="0"/>
          <w:numId w:val="0"/>
        </w:numPr>
        <w:rPr>
          <w:rFonts w:hint="eastAsia" w:ascii="方正黑体_GBK" w:hAnsi="方正黑体_GBK" w:cs="方正黑体_GBK"/>
          <w:sz w:val="28"/>
          <w:szCs w:val="28"/>
        </w:rPr>
        <w:sectPr>
          <w:pgSz w:w="16838" w:h="11906" w:orient="landscape"/>
          <w:pgMar w:top="1440" w:right="1800" w:bottom="1440" w:left="1800" w:header="851" w:footer="992" w:gutter="0"/>
          <w:cols w:space="425" w:num="1"/>
          <w:docGrid w:type="lines" w:linePitch="312" w:charSpace="0"/>
        </w:sectPr>
      </w:pPr>
      <w:bookmarkStart w:id="48" w:name="_Toc13975"/>
    </w:p>
    <w:p>
      <w:pPr>
        <w:pStyle w:val="4"/>
        <w:numPr>
          <w:ilvl w:val="0"/>
          <w:numId w:val="0"/>
        </w:numPr>
        <w:rPr>
          <w:rFonts w:ascii="方正黑体_GBK" w:hAnsi="方正黑体_GBK" w:cs="方正黑体_GBK"/>
          <w:sz w:val="28"/>
          <w:szCs w:val="28"/>
        </w:rPr>
      </w:pPr>
      <w:r>
        <w:rPr>
          <w:rFonts w:hint="eastAsia" w:ascii="方正黑体_GBK" w:hAnsi="方正黑体_GBK" w:cs="方正黑体_GBK"/>
          <w:sz w:val="28"/>
          <w:szCs w:val="28"/>
        </w:rPr>
        <w:t>附表02              沙坪坝区2021－2030年高标准农田建设项目总表</w:t>
      </w:r>
      <w:bookmarkEnd w:id="48"/>
    </w:p>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 xml:space="preserve">                                                                                                  </w:t>
      </w:r>
      <w:r>
        <w:rPr>
          <w:rFonts w:hint="eastAsia" w:ascii="方正仿宋_GBK" w:hAnsi="方正仿宋_GBK" w:cs="方正仿宋_GBK"/>
          <w:color w:val="000000"/>
          <w:kern w:val="0"/>
          <w:sz w:val="22"/>
          <w:szCs w:val="22"/>
          <w:lang w:val="en-US" w:eastAsia="zh-CN"/>
        </w:rPr>
        <w:t xml:space="preserve">                                                                       </w:t>
      </w:r>
      <w:r>
        <w:rPr>
          <w:rFonts w:hint="eastAsia" w:ascii="方正仿宋_GBK" w:hAnsi="方正仿宋_GBK" w:cs="方正仿宋_GBK"/>
          <w:color w:val="000000"/>
          <w:kern w:val="0"/>
          <w:sz w:val="22"/>
          <w:szCs w:val="22"/>
        </w:rPr>
        <w:t>单位：亩、万元</w:t>
      </w:r>
    </w:p>
    <w:tbl>
      <w:tblPr>
        <w:tblStyle w:val="28"/>
        <w:tblW w:w="20185" w:type="dxa"/>
        <w:tblInd w:w="93" w:type="dxa"/>
        <w:tblLayout w:type="fixed"/>
        <w:tblCellMar>
          <w:top w:w="0" w:type="dxa"/>
          <w:left w:w="108" w:type="dxa"/>
          <w:bottom w:w="0" w:type="dxa"/>
          <w:right w:w="108" w:type="dxa"/>
        </w:tblCellMar>
      </w:tblPr>
      <w:tblGrid>
        <w:gridCol w:w="494"/>
        <w:gridCol w:w="1605"/>
        <w:gridCol w:w="1786"/>
        <w:gridCol w:w="5860"/>
        <w:gridCol w:w="1800"/>
        <w:gridCol w:w="800"/>
        <w:gridCol w:w="700"/>
        <w:gridCol w:w="920"/>
        <w:gridCol w:w="940"/>
        <w:gridCol w:w="900"/>
        <w:gridCol w:w="920"/>
        <w:gridCol w:w="940"/>
        <w:gridCol w:w="920"/>
        <w:gridCol w:w="840"/>
        <w:gridCol w:w="760"/>
      </w:tblGrid>
      <w:tr>
        <w:tblPrEx>
          <w:tblLayout w:type="fixed"/>
          <w:tblCellMar>
            <w:top w:w="0" w:type="dxa"/>
            <w:left w:w="108" w:type="dxa"/>
            <w:bottom w:w="0" w:type="dxa"/>
            <w:right w:w="108" w:type="dxa"/>
          </w:tblCellMar>
        </w:tblPrEx>
        <w:trPr>
          <w:trHeight w:val="90" w:hRule="atLeast"/>
        </w:trPr>
        <w:tc>
          <w:tcPr>
            <w:tcW w:w="494"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序号</w:t>
            </w:r>
          </w:p>
        </w:tc>
        <w:tc>
          <w:tcPr>
            <w:tcW w:w="1605"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项目名称</w:t>
            </w:r>
          </w:p>
        </w:tc>
        <w:tc>
          <w:tcPr>
            <w:tcW w:w="1786"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建设地点</w:t>
            </w:r>
          </w:p>
        </w:tc>
        <w:tc>
          <w:tcPr>
            <w:tcW w:w="5860"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建设内容</w:t>
            </w:r>
          </w:p>
        </w:tc>
        <w:tc>
          <w:tcPr>
            <w:tcW w:w="1800"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限制因素分析</w:t>
            </w:r>
          </w:p>
        </w:tc>
        <w:tc>
          <w:tcPr>
            <w:tcW w:w="800"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建设类型</w:t>
            </w:r>
          </w:p>
        </w:tc>
        <w:tc>
          <w:tcPr>
            <w:tcW w:w="700"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项目类型</w:t>
            </w:r>
          </w:p>
        </w:tc>
        <w:tc>
          <w:tcPr>
            <w:tcW w:w="18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建设规模</w:t>
            </w:r>
          </w:p>
        </w:tc>
        <w:tc>
          <w:tcPr>
            <w:tcW w:w="452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投资规模</w:t>
            </w:r>
          </w:p>
        </w:tc>
        <w:tc>
          <w:tcPr>
            <w:tcW w:w="760"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建设年度</w:t>
            </w:r>
          </w:p>
        </w:tc>
      </w:tr>
      <w:tr>
        <w:tblPrEx>
          <w:tblLayout w:type="fixed"/>
          <w:tblCellMar>
            <w:top w:w="0" w:type="dxa"/>
            <w:left w:w="108" w:type="dxa"/>
            <w:bottom w:w="0" w:type="dxa"/>
            <w:right w:w="108" w:type="dxa"/>
          </w:tblCellMar>
        </w:tblPrEx>
        <w:trPr>
          <w:trHeight w:val="90" w:hRule="atLeast"/>
        </w:trPr>
        <w:tc>
          <w:tcPr>
            <w:tcW w:w="494"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p>
        </w:tc>
        <w:tc>
          <w:tcPr>
            <w:tcW w:w="1605"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p>
        </w:tc>
        <w:tc>
          <w:tcPr>
            <w:tcW w:w="1786"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p>
        </w:tc>
        <w:tc>
          <w:tcPr>
            <w:tcW w:w="5860"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p>
        </w:tc>
        <w:tc>
          <w:tcPr>
            <w:tcW w:w="1800"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p>
        </w:tc>
        <w:tc>
          <w:tcPr>
            <w:tcW w:w="800"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700"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both"/>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新建</w:t>
            </w:r>
          </w:p>
        </w:tc>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改造提升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合计</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中央</w:t>
            </w:r>
          </w:p>
        </w:tc>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市级</w:t>
            </w:r>
          </w:p>
        </w:tc>
        <w:tc>
          <w:tcPr>
            <w:tcW w:w="9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区县</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其他</w:t>
            </w:r>
          </w:p>
        </w:tc>
        <w:tc>
          <w:tcPr>
            <w:tcW w:w="760"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p>
        </w:tc>
      </w:tr>
      <w:tr>
        <w:tblPrEx>
          <w:tblLayout w:type="fixed"/>
          <w:tblCellMar>
            <w:top w:w="0" w:type="dxa"/>
            <w:left w:w="108" w:type="dxa"/>
            <w:bottom w:w="0" w:type="dxa"/>
            <w:right w:w="108" w:type="dxa"/>
          </w:tblCellMar>
        </w:tblPrEx>
        <w:trPr>
          <w:trHeight w:val="90" w:hRule="atLeast"/>
        </w:trPr>
        <w:tc>
          <w:tcPr>
            <w:tcW w:w="49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1</w:t>
            </w:r>
          </w:p>
        </w:tc>
        <w:tc>
          <w:tcPr>
            <w:tcW w:w="160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沙坪坝区2021年高标准农田建设项目</w:t>
            </w:r>
          </w:p>
        </w:tc>
        <w:tc>
          <w:tcPr>
            <w:tcW w:w="178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凤凰镇</w:t>
            </w:r>
            <w:r>
              <w:rPr>
                <w:rFonts w:hint="eastAsia" w:ascii="方正仿宋_GBK" w:hAnsi="方正仿宋_GBK" w:cs="方正仿宋_GBK"/>
                <w:color w:val="000000"/>
                <w:kern w:val="0"/>
                <w:sz w:val="22"/>
                <w:szCs w:val="22"/>
                <w:highlight w:val="none"/>
              </w:rPr>
              <w:t>皂桷</w:t>
            </w:r>
            <w:r>
              <w:rPr>
                <w:rFonts w:hint="eastAsia" w:ascii="方正仿宋_GBK" w:hAnsi="方正仿宋_GBK" w:cs="方正仿宋_GBK"/>
                <w:color w:val="000000"/>
                <w:kern w:val="0"/>
                <w:sz w:val="22"/>
                <w:szCs w:val="22"/>
              </w:rPr>
              <w:t>村、中梁镇龙泉村</w:t>
            </w:r>
          </w:p>
        </w:tc>
        <w:tc>
          <w:tcPr>
            <w:tcW w:w="586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衬砌沟渠1012m，新建管道1640m，整治山坪塘1座，新建蓄水池2座，改建蓄水池1座；新建3.5m宽机耕路1404m，改建4.0m宽机耕路145m，新建生产路3313m，新建挡土墙147m</w:t>
            </w:r>
          </w:p>
        </w:tc>
        <w:tc>
          <w:tcPr>
            <w:tcW w:w="18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耕地破碎化、水土保持能力差、田间道路基础设施不完善</w:t>
            </w:r>
          </w:p>
        </w:tc>
        <w:tc>
          <w:tcPr>
            <w:tcW w:w="8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新建</w:t>
            </w:r>
          </w:p>
        </w:tc>
        <w:tc>
          <w:tcPr>
            <w:tcW w:w="7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3000</w:t>
            </w:r>
          </w:p>
        </w:tc>
        <w:tc>
          <w:tcPr>
            <w:tcW w:w="94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0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470</w:t>
            </w:r>
          </w:p>
        </w:tc>
        <w:tc>
          <w:tcPr>
            <w:tcW w:w="92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260</w:t>
            </w:r>
          </w:p>
        </w:tc>
        <w:tc>
          <w:tcPr>
            <w:tcW w:w="94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77</w:t>
            </w:r>
          </w:p>
        </w:tc>
        <w:tc>
          <w:tcPr>
            <w:tcW w:w="92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0</w:t>
            </w:r>
          </w:p>
        </w:tc>
        <w:tc>
          <w:tcPr>
            <w:tcW w:w="84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133</w:t>
            </w:r>
          </w:p>
        </w:tc>
        <w:tc>
          <w:tcPr>
            <w:tcW w:w="76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2021</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沙坪坝区回龙坝镇大桥村高标准农田建设项目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回龙坝镇大桥村等</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 xml:space="preserve"> 新建蓄水池4口，新建排水沟1147米，现状沟渠清淤110米；维修3.5m宽机耕路90米，新建2m宽生产路478米，新建1.2m宽生产路365米；新建2.0m高挡土墙30m</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lang w:val="en-US" w:eastAsia="zh-CN"/>
              </w:rPr>
              <w:t>土壤肥力下降、灌溉设施和田间道路不完善、宜机化水平低</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新建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800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120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120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2021</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沙坪坝区2022年高标准农田建设项目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val="en-US" w:eastAsia="zh-CN"/>
              </w:rPr>
            </w:pPr>
            <w:r>
              <w:rPr>
                <w:rFonts w:hint="eastAsia" w:ascii="方正仿宋_GBK" w:hAnsi="方正仿宋_GBK" w:cs="方正仿宋_GBK"/>
                <w:color w:val="000000"/>
                <w:kern w:val="0"/>
                <w:sz w:val="22"/>
                <w:szCs w:val="22"/>
              </w:rPr>
              <w:t>歌乐山街道金刚村、天池村、新开寺村，中梁镇石院村</w:t>
            </w:r>
            <w:r>
              <w:rPr>
                <w:rFonts w:hint="eastAsia" w:ascii="方正仿宋_GBK" w:hAnsi="方正仿宋_GBK" w:cs="方正仿宋_GBK"/>
                <w:color w:val="000000"/>
                <w:kern w:val="0"/>
                <w:sz w:val="22"/>
                <w:szCs w:val="22"/>
                <w:lang w:val="en-US" w:eastAsia="zh-CN"/>
              </w:rPr>
              <w:t>等</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坡改梯台42.8亩，绿肥改良215.1亩</w:t>
            </w:r>
            <w:r>
              <w:rPr>
                <w:rFonts w:hint="eastAsia" w:ascii="方正仿宋_GBK" w:hAnsi="方正仿宋_GBK" w:cs="方正仿宋_GBK"/>
                <w:color w:val="000000"/>
                <w:kern w:val="0"/>
                <w:sz w:val="22"/>
                <w:szCs w:val="22"/>
                <w:highlight w:val="none"/>
                <w:lang w:eastAsia="zh-CN"/>
              </w:rPr>
              <w:t>，</w:t>
            </w:r>
            <w:r>
              <w:rPr>
                <w:rFonts w:hint="eastAsia" w:ascii="方正仿宋_GBK" w:hAnsi="方正仿宋_GBK" w:cs="方正仿宋_GBK"/>
                <w:color w:val="000000"/>
                <w:kern w:val="0"/>
                <w:sz w:val="22"/>
                <w:szCs w:val="22"/>
              </w:rPr>
              <w:t>改建排洪沟880m；新建蓄水池4座、新建DN300涵管6处、新建管道压阀井4座、新建过沟板7处、新建斧劈石生产路4748m、改建斧劈石生产路907m</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lang w:val="en-US" w:eastAsia="zh-CN"/>
              </w:rPr>
              <w:t>宜机化水平低、灌溉和田间道路基础设施不完善，土壤肥力有待提升</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新建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3000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450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102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348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2022</w:t>
            </w:r>
          </w:p>
        </w:tc>
      </w:tr>
      <w:tr>
        <w:tblPrEx>
          <w:tblLayout w:type="fixed"/>
          <w:tblCellMar>
            <w:top w:w="0" w:type="dxa"/>
            <w:left w:w="108" w:type="dxa"/>
            <w:bottom w:w="0" w:type="dxa"/>
            <w:right w:w="108" w:type="dxa"/>
          </w:tblCellMar>
        </w:tblPrEx>
        <w:trPr>
          <w:trHeight w:val="1656"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w:t>
            </w:r>
            <w:r>
              <w:rPr>
                <w:rFonts w:hint="eastAsia" w:ascii="方正仿宋_GBK" w:hAnsi="方正仿宋_GBK" w:cs="方正仿宋_GBK"/>
                <w:color w:val="000000"/>
                <w:kern w:val="0"/>
                <w:sz w:val="22"/>
                <w:szCs w:val="22"/>
                <w:lang w:val="en-US" w:eastAsia="zh-CN"/>
              </w:rPr>
              <w:t>2</w:t>
            </w:r>
            <w:r>
              <w:rPr>
                <w:rFonts w:hint="eastAsia" w:ascii="方正仿宋_GBK" w:hAnsi="方正仿宋_GBK" w:cs="方正仿宋_GBK"/>
                <w:color w:val="000000"/>
                <w:kern w:val="0"/>
                <w:sz w:val="22"/>
                <w:szCs w:val="22"/>
              </w:rPr>
              <w:t>年丘陵山区高标准农田改造提升示范项目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val="en-US" w:eastAsia="zh-CN"/>
              </w:rPr>
            </w:pPr>
            <w:r>
              <w:rPr>
                <w:rFonts w:hint="eastAsia" w:ascii="方正仿宋_GBK" w:hAnsi="方正仿宋_GBK" w:cs="方正仿宋_GBK"/>
                <w:color w:val="000000"/>
                <w:kern w:val="0"/>
                <w:sz w:val="22"/>
                <w:szCs w:val="22"/>
              </w:rPr>
              <w:t>回龙坝镇四龙村</w:t>
            </w:r>
            <w:r>
              <w:rPr>
                <w:rFonts w:hint="eastAsia" w:ascii="方正仿宋_GBK" w:hAnsi="方正仿宋_GBK" w:cs="方正仿宋_GBK"/>
                <w:color w:val="000000"/>
                <w:kern w:val="0"/>
                <w:sz w:val="22"/>
                <w:szCs w:val="22"/>
                <w:lang w:eastAsia="zh-CN"/>
              </w:rPr>
              <w:t>、</w:t>
            </w:r>
            <w:r>
              <w:rPr>
                <w:rFonts w:hint="eastAsia" w:ascii="方正仿宋_GBK" w:hAnsi="方正仿宋_GBK" w:cs="方正仿宋_GBK"/>
                <w:color w:val="000000"/>
                <w:kern w:val="0"/>
                <w:sz w:val="22"/>
                <w:szCs w:val="22"/>
                <w:lang w:val="en-US" w:eastAsia="zh-CN"/>
              </w:rPr>
              <w:t>回龙坝村、</w:t>
            </w:r>
            <w:r>
              <w:rPr>
                <w:rFonts w:hint="eastAsia" w:ascii="方正仿宋_GBK" w:hAnsi="方正仿宋_GBK" w:cs="方正仿宋_GBK"/>
                <w:color w:val="000000"/>
                <w:kern w:val="0"/>
                <w:sz w:val="22"/>
                <w:szCs w:val="22"/>
              </w:rPr>
              <w:t>大桥村、大水沟村</w:t>
            </w:r>
            <w:r>
              <w:rPr>
                <w:rFonts w:hint="eastAsia" w:ascii="方正仿宋_GBK" w:hAnsi="方正仿宋_GBK" w:cs="方正仿宋_GBK"/>
                <w:color w:val="000000"/>
                <w:kern w:val="0"/>
                <w:sz w:val="22"/>
                <w:szCs w:val="22"/>
                <w:lang w:eastAsia="zh-CN"/>
              </w:rPr>
              <w:t>、</w:t>
            </w:r>
            <w:r>
              <w:rPr>
                <w:rFonts w:hint="eastAsia" w:ascii="方正仿宋_GBK" w:hAnsi="方正仿宋_GBK" w:cs="方正仿宋_GBK"/>
                <w:color w:val="000000"/>
                <w:kern w:val="0"/>
                <w:sz w:val="22"/>
                <w:szCs w:val="22"/>
              </w:rPr>
              <w:t>中梁镇</w:t>
            </w:r>
            <w:r>
              <w:rPr>
                <w:rFonts w:hint="eastAsia" w:ascii="方正仿宋_GBK" w:hAnsi="方正仿宋_GBK" w:cs="方正仿宋_GBK"/>
                <w:color w:val="000000"/>
                <w:kern w:val="0"/>
                <w:sz w:val="22"/>
                <w:szCs w:val="22"/>
                <w:lang w:val="en-US" w:eastAsia="zh-CN"/>
              </w:rPr>
              <w:t>石院</w:t>
            </w:r>
            <w:r>
              <w:rPr>
                <w:rFonts w:hint="eastAsia" w:ascii="方正仿宋_GBK" w:hAnsi="方正仿宋_GBK" w:cs="方正仿宋_GBK"/>
                <w:color w:val="000000"/>
                <w:kern w:val="0"/>
                <w:sz w:val="22"/>
                <w:szCs w:val="22"/>
              </w:rPr>
              <w:t>村</w:t>
            </w:r>
            <w:r>
              <w:rPr>
                <w:rFonts w:hint="eastAsia" w:ascii="方正仿宋_GBK" w:hAnsi="方正仿宋_GBK" w:cs="方正仿宋_GBK"/>
                <w:color w:val="000000"/>
                <w:kern w:val="0"/>
                <w:sz w:val="22"/>
                <w:szCs w:val="22"/>
                <w:lang w:val="en-US" w:eastAsia="zh-CN"/>
              </w:rPr>
              <w:t>等</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以“改大、改水、改路、改土”为标准，进行丘陵山区高标准农田改造提升示范。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cs="方正仿宋_GBK"/>
                <w:color w:val="000000"/>
                <w:kern w:val="0"/>
                <w:sz w:val="22"/>
                <w:szCs w:val="22"/>
                <w:lang w:val="en-US"/>
              </w:rPr>
            </w:pPr>
            <w:r>
              <w:rPr>
                <w:rFonts w:hint="eastAsia" w:ascii="方正仿宋_GBK" w:hAnsi="方正仿宋_GBK" w:cs="方正仿宋_GBK"/>
                <w:color w:val="000000"/>
                <w:kern w:val="0"/>
                <w:sz w:val="22"/>
                <w:szCs w:val="22"/>
                <w:lang w:val="en-US" w:eastAsia="zh-CN"/>
              </w:rPr>
              <w:t>灌溉水源缺乏、土壤肥力下降、道路基础设施和农田配套年久失修</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改建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重点项目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4</w:t>
            </w:r>
            <w:r>
              <w:rPr>
                <w:rFonts w:hint="eastAsia" w:ascii="方正仿宋_GBK" w:hAnsi="方正仿宋_GBK" w:cs="方正仿宋_GBK"/>
                <w:color w:val="000000"/>
                <w:kern w:val="0"/>
                <w:sz w:val="22"/>
                <w:szCs w:val="22"/>
              </w:rPr>
              <w:t>000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1440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1008</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144</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144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144</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eastAsia="zh-CN"/>
              </w:rPr>
            </w:pPr>
            <w:r>
              <w:rPr>
                <w:rFonts w:hint="eastAsia" w:ascii="方正仿宋_GBK" w:hAnsi="方正仿宋_GBK" w:cs="方正仿宋_GBK"/>
                <w:color w:val="000000"/>
                <w:kern w:val="0"/>
                <w:sz w:val="22"/>
                <w:szCs w:val="22"/>
              </w:rPr>
              <w:t>202</w:t>
            </w:r>
            <w:r>
              <w:rPr>
                <w:rFonts w:hint="eastAsia" w:ascii="方正仿宋_GBK" w:hAnsi="方正仿宋_GBK" w:cs="方正仿宋_GBK"/>
                <w:color w:val="000000"/>
                <w:kern w:val="0"/>
                <w:sz w:val="22"/>
                <w:szCs w:val="22"/>
                <w:lang w:val="en-US" w:eastAsia="zh-CN"/>
              </w:rPr>
              <w:t>2</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沙坪坝区2023年凤凰镇高标准农田建设项目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凤凰镇八字桥村、凤凰桥村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土地平整工程；土壤改良工程；灌溉与排水工程：新修蓄水池、山坪塘、铺设灌溉管网等；其他工程：挡土墙、标志牌、工号牌。</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田间道路基础设施不完善、高效节水灌溉设施的配套不足，宜机化水平低</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新建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1000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175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2023</w:t>
            </w:r>
          </w:p>
        </w:tc>
      </w:tr>
      <w:tr>
        <w:tblPrEx>
          <w:tblLayout w:type="fixed"/>
          <w:tblCellMar>
            <w:top w:w="0" w:type="dxa"/>
            <w:left w:w="108" w:type="dxa"/>
            <w:bottom w:w="0" w:type="dxa"/>
            <w:right w:w="108" w:type="dxa"/>
          </w:tblCellMar>
        </w:tblPrEx>
        <w:trPr>
          <w:trHeight w:val="1683"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6</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w:t>
            </w:r>
            <w:r>
              <w:rPr>
                <w:rFonts w:hint="eastAsia" w:ascii="方正仿宋_GBK" w:hAnsi="方正仿宋_GBK" w:cs="方正仿宋_GBK"/>
                <w:color w:val="000000"/>
                <w:kern w:val="0"/>
                <w:sz w:val="22"/>
                <w:szCs w:val="22"/>
                <w:lang w:val="en-US" w:eastAsia="zh-CN"/>
              </w:rPr>
              <w:t>3</w:t>
            </w:r>
            <w:r>
              <w:rPr>
                <w:rFonts w:hint="eastAsia" w:ascii="方正仿宋_GBK" w:hAnsi="方正仿宋_GBK" w:cs="方正仿宋_GBK"/>
                <w:color w:val="000000"/>
                <w:kern w:val="0"/>
                <w:sz w:val="22"/>
                <w:szCs w:val="22"/>
              </w:rPr>
              <w:t>年丘陵山区高标准农田改造提升示范项目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sz w:val="22"/>
                <w:szCs w:val="22"/>
                <w:lang w:val="en-US" w:eastAsia="zh-CN"/>
              </w:rPr>
            </w:pPr>
            <w:r>
              <w:rPr>
                <w:rFonts w:hint="eastAsia" w:ascii="方正仿宋_GBK" w:hAnsi="方正仿宋_GBK" w:cs="方正仿宋_GBK"/>
                <w:color w:val="000000"/>
                <w:kern w:val="0"/>
                <w:sz w:val="22"/>
                <w:szCs w:val="22"/>
              </w:rPr>
              <w:t>中梁镇</w:t>
            </w:r>
            <w:r>
              <w:rPr>
                <w:rFonts w:hint="eastAsia" w:ascii="方正仿宋_GBK" w:hAnsi="方正仿宋_GBK" w:cs="方正仿宋_GBK"/>
                <w:color w:val="000000"/>
                <w:kern w:val="0"/>
                <w:sz w:val="22"/>
                <w:szCs w:val="22"/>
                <w:lang w:val="en-US" w:eastAsia="zh-CN"/>
              </w:rPr>
              <w:t>新发</w:t>
            </w:r>
            <w:r>
              <w:rPr>
                <w:rFonts w:hint="eastAsia" w:ascii="方正仿宋_GBK" w:hAnsi="方正仿宋_GBK" w:cs="方正仿宋_GBK"/>
                <w:color w:val="000000"/>
                <w:kern w:val="0"/>
                <w:sz w:val="22"/>
                <w:szCs w:val="22"/>
              </w:rPr>
              <w:t>村</w:t>
            </w:r>
            <w:r>
              <w:rPr>
                <w:rFonts w:hint="eastAsia" w:ascii="方正仿宋_GBK" w:hAnsi="方正仿宋_GBK" w:cs="方正仿宋_GBK"/>
                <w:color w:val="000000"/>
                <w:kern w:val="0"/>
                <w:sz w:val="22"/>
                <w:szCs w:val="22"/>
                <w:lang w:eastAsia="zh-CN"/>
              </w:rPr>
              <w:t>、</w:t>
            </w:r>
            <w:r>
              <w:rPr>
                <w:rFonts w:hint="eastAsia" w:ascii="方正仿宋_GBK" w:hAnsi="方正仿宋_GBK" w:cs="方正仿宋_GBK"/>
                <w:color w:val="000000"/>
                <w:kern w:val="0"/>
                <w:sz w:val="22"/>
                <w:szCs w:val="22"/>
                <w:lang w:val="en-US" w:eastAsia="zh-CN"/>
              </w:rPr>
              <w:t>永宁寺村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以“改大、改水、改路、改土”为标准，进行丘陵山区高标准农田改造提升示范。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lang w:val="en-US" w:eastAsia="zh-CN"/>
              </w:rPr>
              <w:t>灌溉水源缺乏、土壤肥力下降、道路和农田灌溉基础设施缺乏</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改建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重点项目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720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504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72</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72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72</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eastAsia="zh-CN"/>
              </w:rPr>
            </w:pPr>
            <w:r>
              <w:rPr>
                <w:rFonts w:hint="eastAsia" w:ascii="方正仿宋_GBK" w:hAnsi="方正仿宋_GBK" w:cs="方正仿宋_GBK"/>
                <w:color w:val="000000"/>
                <w:kern w:val="0"/>
                <w:sz w:val="22"/>
                <w:szCs w:val="22"/>
              </w:rPr>
              <w:t>202</w:t>
            </w:r>
            <w:r>
              <w:rPr>
                <w:rFonts w:hint="eastAsia" w:ascii="方正仿宋_GBK" w:hAnsi="方正仿宋_GBK" w:cs="方正仿宋_GBK"/>
                <w:color w:val="000000"/>
                <w:kern w:val="0"/>
                <w:sz w:val="22"/>
                <w:szCs w:val="22"/>
                <w:lang w:val="en-US" w:eastAsia="zh-CN"/>
              </w:rPr>
              <w:t>3</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7</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w:t>
            </w:r>
            <w:r>
              <w:rPr>
                <w:rFonts w:hint="eastAsia" w:ascii="方正仿宋_GBK" w:hAnsi="方正仿宋_GBK" w:cs="方正仿宋_GBK"/>
                <w:color w:val="000000"/>
                <w:kern w:val="0"/>
                <w:sz w:val="22"/>
                <w:szCs w:val="22"/>
                <w:lang w:val="en-US" w:eastAsia="zh-CN"/>
              </w:rPr>
              <w:t>4</w:t>
            </w:r>
            <w:r>
              <w:rPr>
                <w:rFonts w:hint="eastAsia" w:ascii="方正仿宋_GBK" w:hAnsi="方正仿宋_GBK" w:cs="方正仿宋_GBK"/>
                <w:color w:val="000000"/>
                <w:kern w:val="0"/>
                <w:sz w:val="22"/>
                <w:szCs w:val="22"/>
              </w:rPr>
              <w:t>年中梁镇丘陵山区高标准农田改造提升示范项目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中梁镇庆丰山村</w:t>
            </w:r>
            <w:r>
              <w:rPr>
                <w:rFonts w:hint="eastAsia" w:ascii="方正仿宋_GBK" w:hAnsi="方正仿宋_GBK" w:cs="方正仿宋_GBK"/>
                <w:color w:val="000000"/>
                <w:kern w:val="0"/>
                <w:sz w:val="22"/>
                <w:szCs w:val="22"/>
                <w:lang w:eastAsia="zh-CN"/>
              </w:rPr>
              <w:t>、</w:t>
            </w:r>
            <w:r>
              <w:rPr>
                <w:rFonts w:hint="eastAsia" w:ascii="方正仿宋_GBK" w:hAnsi="方正仿宋_GBK" w:cs="方正仿宋_GBK"/>
                <w:color w:val="000000"/>
                <w:kern w:val="0"/>
                <w:sz w:val="22"/>
                <w:szCs w:val="22"/>
              </w:rPr>
              <w:t>茅山峡村龙泉村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以“改大、改水、改路、改土”为标准，进行丘陵山区高标准农田改造提升示范。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rPr>
              <w:t>宜机化率较低、土壤肥力有待提升，灌溉水利和田间道路需改</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改建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重点项目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3</w:t>
            </w:r>
            <w:r>
              <w:rPr>
                <w:rFonts w:hint="eastAsia" w:ascii="方正仿宋_GBK" w:hAnsi="方正仿宋_GBK" w:cs="方正仿宋_GBK"/>
                <w:color w:val="000000"/>
                <w:kern w:val="0"/>
                <w:sz w:val="22"/>
                <w:szCs w:val="22"/>
              </w:rPr>
              <w:t>000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1080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756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108</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108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108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eastAsia="zh-CN"/>
              </w:rPr>
            </w:pPr>
            <w:r>
              <w:rPr>
                <w:rFonts w:hint="eastAsia" w:ascii="方正仿宋_GBK" w:hAnsi="方正仿宋_GBK" w:cs="方正仿宋_GBK"/>
                <w:color w:val="000000"/>
                <w:kern w:val="0"/>
                <w:sz w:val="22"/>
                <w:szCs w:val="22"/>
              </w:rPr>
              <w:t>202</w:t>
            </w:r>
            <w:r>
              <w:rPr>
                <w:rFonts w:hint="eastAsia" w:ascii="方正仿宋_GBK" w:hAnsi="方正仿宋_GBK" w:cs="方正仿宋_GBK"/>
                <w:color w:val="000000"/>
                <w:kern w:val="0"/>
                <w:sz w:val="22"/>
                <w:szCs w:val="22"/>
                <w:lang w:val="en-US" w:eastAsia="zh-CN"/>
              </w:rPr>
              <w:t>4</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8</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w:t>
            </w:r>
            <w:r>
              <w:rPr>
                <w:rFonts w:hint="eastAsia" w:ascii="方正仿宋_GBK" w:hAnsi="方正仿宋_GBK" w:cs="方正仿宋_GBK"/>
                <w:color w:val="000000"/>
                <w:kern w:val="0"/>
                <w:sz w:val="22"/>
                <w:szCs w:val="22"/>
                <w:lang w:val="en-US" w:eastAsia="zh-CN"/>
              </w:rPr>
              <w:t>5</w:t>
            </w:r>
            <w:r>
              <w:rPr>
                <w:rFonts w:hint="eastAsia" w:ascii="方正仿宋_GBK" w:hAnsi="方正仿宋_GBK" w:cs="方正仿宋_GBK"/>
                <w:color w:val="000000"/>
                <w:kern w:val="0"/>
                <w:sz w:val="22"/>
                <w:szCs w:val="22"/>
              </w:rPr>
              <w:t>年回龙坝镇高标准农田建设项目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回龙坝镇西溪桥村</w:t>
            </w:r>
            <w:r>
              <w:rPr>
                <w:rFonts w:hint="eastAsia" w:ascii="方正仿宋_GBK" w:hAnsi="方正仿宋_GBK" w:cs="方正仿宋_GBK"/>
                <w:color w:val="000000"/>
                <w:kern w:val="0"/>
                <w:sz w:val="22"/>
                <w:szCs w:val="22"/>
                <w:lang w:val="en-US" w:eastAsia="zh-CN"/>
              </w:rPr>
              <w:t>等</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土地平整工程；土壤改良工程；灌溉与排水工程：新修蓄水池、山坪塘、铺设灌溉管网等；设置耕地质量监测点1个等；其他工程：挡土墙、标志牌、工号牌。</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lang w:val="en-US" w:eastAsia="zh-CN"/>
              </w:rPr>
              <w:t>田间道路基础设施不完善、高效节水灌溉设施的配套不足，宜机化水平低</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新建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w:t>
            </w:r>
            <w:r>
              <w:rPr>
                <w:rFonts w:hint="eastAsia" w:ascii="方正仿宋_GBK" w:hAnsi="方正仿宋_GBK" w:cs="方正仿宋_GBK"/>
                <w:color w:val="000000"/>
                <w:kern w:val="0"/>
                <w:sz w:val="22"/>
                <w:szCs w:val="22"/>
              </w:rPr>
              <w:t>000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175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eastAsia="zh-CN"/>
              </w:rPr>
            </w:pPr>
            <w:r>
              <w:rPr>
                <w:rFonts w:hint="eastAsia" w:ascii="方正仿宋_GBK" w:hAnsi="方正仿宋_GBK" w:cs="方正仿宋_GBK"/>
                <w:color w:val="000000"/>
                <w:kern w:val="0"/>
                <w:sz w:val="22"/>
                <w:szCs w:val="22"/>
              </w:rPr>
              <w:t>202</w:t>
            </w:r>
            <w:r>
              <w:rPr>
                <w:rFonts w:hint="eastAsia" w:ascii="方正仿宋_GBK" w:hAnsi="方正仿宋_GBK" w:cs="方正仿宋_GBK"/>
                <w:color w:val="000000"/>
                <w:kern w:val="0"/>
                <w:sz w:val="22"/>
                <w:szCs w:val="22"/>
                <w:lang w:val="en-US" w:eastAsia="zh-CN"/>
              </w:rPr>
              <w:t>5</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cs="方正仿宋_GBK"/>
                <w:color w:val="000000"/>
                <w:kern w:val="0"/>
                <w:sz w:val="22"/>
                <w:szCs w:val="22"/>
                <w:lang w:val="en-US" w:eastAsia="zh-CN"/>
              </w:rPr>
              <w:t>9</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沙坪坝区2026年中梁镇高标准农田建设项目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中梁镇庆丰山村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进行土地平整，原有田间机耕道的提升和修缮，整治修建山坪塘、蓄水池，维修泵站、机井等，实施农田林网工程、岸坡防护工程、坡面防护工程、沟道治理工程等。</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rPr>
              <w:t>宜机化水平低、田间道路不足、高效节水灌溉设施的配套</w:t>
            </w:r>
            <w:r>
              <w:rPr>
                <w:rFonts w:hint="eastAsia" w:ascii="方正仿宋_GBK" w:hAnsi="方正仿宋_GBK" w:cs="方正仿宋_GBK"/>
                <w:color w:val="000000"/>
                <w:kern w:val="0"/>
                <w:sz w:val="22"/>
                <w:szCs w:val="22"/>
                <w:lang w:val="en-US" w:eastAsia="zh-CN"/>
              </w:rPr>
              <w:t>待改善</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改建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2</w:t>
            </w:r>
            <w:r>
              <w:rPr>
                <w:rFonts w:hint="eastAsia" w:ascii="方正仿宋_GBK" w:hAnsi="方正仿宋_GBK" w:cs="方正仿宋_GBK"/>
                <w:color w:val="000000"/>
                <w:kern w:val="0"/>
                <w:sz w:val="22"/>
                <w:szCs w:val="22"/>
              </w:rPr>
              <w:t>000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420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2026</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cs="方正仿宋_GBK"/>
                <w:color w:val="000000"/>
                <w:kern w:val="0"/>
                <w:sz w:val="22"/>
                <w:szCs w:val="22"/>
              </w:rPr>
              <w:t>1</w:t>
            </w:r>
            <w:r>
              <w:rPr>
                <w:rFonts w:hint="eastAsia" w:ascii="方正仿宋_GBK" w:hAnsi="方正仿宋_GBK" w:cs="方正仿宋_GBK"/>
                <w:color w:val="000000"/>
                <w:kern w:val="0"/>
                <w:sz w:val="22"/>
                <w:szCs w:val="22"/>
                <w:lang w:val="en-US" w:eastAsia="zh-CN"/>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沙坪坝区2027年中梁镇高标准农田建设项目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cs="方正仿宋_GBK"/>
                <w:color w:val="000000"/>
                <w:kern w:val="0"/>
                <w:sz w:val="22"/>
                <w:szCs w:val="22"/>
              </w:rPr>
              <w:t>中梁镇</w:t>
            </w:r>
            <w:r>
              <w:rPr>
                <w:rFonts w:hint="eastAsia" w:ascii="方正仿宋_GBK" w:hAnsi="方正仿宋_GBK" w:cs="方正仿宋_GBK"/>
                <w:color w:val="000000"/>
                <w:kern w:val="0"/>
                <w:sz w:val="22"/>
                <w:szCs w:val="22"/>
                <w:lang w:val="en-US" w:eastAsia="zh-CN"/>
              </w:rPr>
              <w:t>龙泉村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进行土地平整，原有田间机耕道的提升和修缮，整治修建山坪塘、蓄水池，维修泵站、机井等，实施农田林网工程、岸坡防护工程、坡面防护工程、沟道治理工程等。</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rPr>
              <w:t>宜机化率较低、土壤肥力有待提升，灌溉水利和田间道路需改善</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改建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420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2027</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cs="方正仿宋_GBK"/>
                <w:color w:val="000000"/>
                <w:kern w:val="0"/>
                <w:sz w:val="22"/>
                <w:szCs w:val="22"/>
              </w:rPr>
              <w:t>1</w:t>
            </w:r>
            <w:r>
              <w:rPr>
                <w:rFonts w:hint="eastAsia" w:ascii="方正仿宋_GBK" w:hAnsi="方正仿宋_GBK" w:cs="方正仿宋_GBK"/>
                <w:color w:val="000000"/>
                <w:kern w:val="0"/>
                <w:sz w:val="22"/>
                <w:szCs w:val="22"/>
                <w:lang w:val="en-US" w:eastAsia="zh-CN"/>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沙坪坝区2028年高标准农田建设项目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中梁镇茅山峡村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进行土地平整，原有田间机耕道的提升和修缮，整治修建山坪塘、蓄水池，维修泵站、机井等，实施农田林网工程、岸坡防护工程、坡面防护工程、沟道治理工程等。</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4"/>
                <w:szCs w:val="24"/>
                <w:lang w:val="en-US" w:eastAsia="zh-CN"/>
              </w:rPr>
            </w:pPr>
            <w:r>
              <w:rPr>
                <w:rFonts w:hint="eastAsia" w:ascii="方正仿宋_GBK" w:hAnsi="方正仿宋_GBK" w:cs="方正仿宋_GBK"/>
                <w:color w:val="000000"/>
                <w:kern w:val="0"/>
                <w:sz w:val="22"/>
                <w:szCs w:val="22"/>
              </w:rPr>
              <w:t>宜机化水平低、田间道路不足、高效节水灌溉设施的配套</w:t>
            </w:r>
            <w:r>
              <w:rPr>
                <w:rFonts w:hint="eastAsia" w:ascii="方正仿宋_GBK" w:hAnsi="方正仿宋_GBK" w:cs="方正仿宋_GBK"/>
                <w:color w:val="000000"/>
                <w:kern w:val="0"/>
                <w:sz w:val="22"/>
                <w:szCs w:val="22"/>
                <w:lang w:val="en-US" w:eastAsia="zh-CN"/>
              </w:rPr>
              <w:t>待改善</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新建改建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400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1600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420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2028</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cs="方正仿宋_GBK"/>
                <w:color w:val="000000"/>
                <w:kern w:val="0"/>
                <w:sz w:val="22"/>
                <w:szCs w:val="22"/>
              </w:rPr>
              <w:t>1</w:t>
            </w:r>
            <w:r>
              <w:rPr>
                <w:rFonts w:hint="eastAsia" w:ascii="方正仿宋_GBK" w:hAnsi="方正仿宋_GBK" w:cs="方正仿宋_GBK"/>
                <w:color w:val="000000"/>
                <w:kern w:val="0"/>
                <w:sz w:val="22"/>
                <w:szCs w:val="22"/>
                <w:lang w:val="en-US" w:eastAsia="zh-CN"/>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沙坪坝区2029年回龙坝镇高标准农田建设项目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回龙坝镇</w:t>
            </w:r>
            <w:r>
              <w:rPr>
                <w:rFonts w:hint="eastAsia" w:ascii="方正仿宋_GBK" w:hAnsi="方正仿宋_GBK" w:cs="方正仿宋_GBK"/>
                <w:color w:val="000000"/>
                <w:kern w:val="0"/>
                <w:sz w:val="22"/>
                <w:szCs w:val="22"/>
                <w:lang w:val="en-US" w:eastAsia="zh-CN"/>
              </w:rPr>
              <w:t>梁滩桥</w:t>
            </w:r>
            <w:r>
              <w:rPr>
                <w:rFonts w:hint="eastAsia" w:ascii="方正仿宋_GBK" w:hAnsi="方正仿宋_GBK" w:cs="方正仿宋_GBK"/>
                <w:color w:val="000000"/>
                <w:kern w:val="0"/>
                <w:sz w:val="22"/>
                <w:szCs w:val="22"/>
              </w:rPr>
              <w:t>村、青龙庙村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灌溉与排水工程：新修蓄水池、山坪塘、铺设灌溉管网等；设置耕地质量监测点1个等；其他工程：挡土墙、标志牌、工号牌。</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rPr>
              <w:t>灌溉水利和田间道路等基础设施不完善，宜机化水平低</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新建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420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2029</w:t>
            </w:r>
          </w:p>
        </w:tc>
      </w:tr>
      <w:tr>
        <w:tblPrEx>
          <w:tblLayout w:type="fixed"/>
          <w:tblCellMar>
            <w:top w:w="0" w:type="dxa"/>
            <w:left w:w="108" w:type="dxa"/>
            <w:bottom w:w="0" w:type="dxa"/>
            <w:right w:w="108" w:type="dxa"/>
          </w:tblCellMar>
        </w:tblPrEx>
        <w:trPr>
          <w:trHeight w:val="9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eastAsia="方正仿宋_GBK" w:cs="方正仿宋_GBK"/>
                <w:color w:val="000000"/>
                <w:sz w:val="22"/>
                <w:szCs w:val="22"/>
                <w:lang w:eastAsia="zh-CN"/>
              </w:rPr>
            </w:pPr>
            <w:r>
              <w:rPr>
                <w:rFonts w:hint="eastAsia" w:ascii="方正仿宋_GBK" w:hAnsi="方正仿宋_GBK" w:cs="方正仿宋_GBK"/>
                <w:color w:val="000000"/>
                <w:kern w:val="0"/>
                <w:sz w:val="22"/>
                <w:szCs w:val="22"/>
              </w:rPr>
              <w:t>1</w:t>
            </w:r>
            <w:r>
              <w:rPr>
                <w:rFonts w:hint="eastAsia" w:ascii="方正仿宋_GBK" w:hAnsi="方正仿宋_GBK" w:cs="方正仿宋_GBK"/>
                <w:color w:val="000000"/>
                <w:kern w:val="0"/>
                <w:sz w:val="22"/>
                <w:szCs w:val="22"/>
                <w:lang w:val="en-US" w:eastAsia="zh-CN"/>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沙坪坝区2030年</w:t>
            </w:r>
            <w:r>
              <w:rPr>
                <w:rFonts w:hint="eastAsia" w:ascii="方正仿宋_GBK" w:hAnsi="方正仿宋_GBK" w:cs="方正仿宋_GBK"/>
                <w:color w:val="000000"/>
                <w:kern w:val="0"/>
                <w:sz w:val="22"/>
                <w:szCs w:val="22"/>
                <w:lang w:val="en-US" w:eastAsia="zh-CN"/>
              </w:rPr>
              <w:t>凤凰镇</w:t>
            </w:r>
            <w:r>
              <w:rPr>
                <w:rFonts w:hint="eastAsia" w:ascii="方正仿宋_GBK" w:hAnsi="方正仿宋_GBK" w:cs="方正仿宋_GBK"/>
                <w:color w:val="000000"/>
                <w:kern w:val="0"/>
                <w:sz w:val="22"/>
                <w:szCs w:val="22"/>
              </w:rPr>
              <w:t>高标准农田建设项目</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凤凰镇胡南坝村、五福村</w:t>
            </w:r>
          </w:p>
        </w:tc>
        <w:tc>
          <w:tcPr>
            <w:tcW w:w="5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sz w:val="22"/>
                <w:szCs w:val="22"/>
              </w:rPr>
            </w:pPr>
            <w:r>
              <w:rPr>
                <w:rFonts w:hint="eastAsia" w:ascii="方正仿宋_GBK" w:hAnsi="方正仿宋_GBK" w:cs="方正仿宋_GBK"/>
                <w:color w:val="000000"/>
                <w:kern w:val="0"/>
                <w:sz w:val="22"/>
                <w:szCs w:val="22"/>
              </w:rPr>
              <w:t>进行土地平整，原有田间机耕道的提升和修缮，整治修建山坪塘、蓄水池，维修泵站、机井等，实施农田林网工程、岸坡防护工程、坡面防护工程、沟道治理工程等，其他工程：挡土墙、标志牌、工号牌。</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r>
              <w:rPr>
                <w:rFonts w:hint="eastAsia" w:ascii="方正仿宋_GBK" w:hAnsi="方正仿宋_GBK" w:cs="方正仿宋_GBK"/>
                <w:color w:val="000000"/>
                <w:kern w:val="0"/>
                <w:sz w:val="22"/>
                <w:szCs w:val="22"/>
              </w:rPr>
              <w:t>宜机化率较低、土壤肥力有待提升，灌溉水利和田间道路需改善</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新建改建</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一般项目</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300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1700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420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60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2030</w:t>
            </w:r>
          </w:p>
        </w:tc>
      </w:tr>
      <w:tr>
        <w:tblPrEx>
          <w:tblLayout w:type="fixed"/>
          <w:tblCellMar>
            <w:top w:w="0" w:type="dxa"/>
            <w:left w:w="108" w:type="dxa"/>
            <w:bottom w:w="0" w:type="dxa"/>
            <w:right w:w="108" w:type="dxa"/>
          </w:tblCellMar>
        </w:tblPrEx>
        <w:trPr>
          <w:trHeight w:val="451" w:hRule="atLeast"/>
        </w:trPr>
        <w:tc>
          <w:tcPr>
            <w:tcW w:w="974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ascii="方正仿宋_GBK" w:hAnsi="方正仿宋_GBK" w:cs="方正仿宋_GBK"/>
                <w:color w:val="000000"/>
                <w:kern w:val="0"/>
                <w:sz w:val="22"/>
                <w:szCs w:val="22"/>
              </w:rPr>
            </w:pPr>
            <w:r>
              <w:rPr>
                <w:rFonts w:hint="eastAsia" w:ascii="方正仿宋_GBK" w:hAnsi="方正仿宋_GBK" w:cs="方正仿宋_GBK"/>
                <w:color w:val="000000"/>
                <w:kern w:val="0"/>
                <w:sz w:val="22"/>
                <w:szCs w:val="22"/>
              </w:rPr>
              <w:t>合计</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12500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eastAsia="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16300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default" w:ascii="方正仿宋_GBK" w:hAnsi="方正仿宋_GBK" w:cs="方正仿宋_GBK"/>
                <w:color w:val="000000"/>
                <w:kern w:val="0"/>
                <w:sz w:val="22"/>
                <w:szCs w:val="22"/>
                <w:lang w:val="en-US" w:eastAsia="zh-CN"/>
              </w:rPr>
            </w:pPr>
            <w:r>
              <w:rPr>
                <w:rFonts w:hint="eastAsia" w:ascii="方正仿宋_GBK" w:hAnsi="方正仿宋_GBK" w:cs="方正仿宋_GBK"/>
                <w:color w:val="000000"/>
                <w:kern w:val="0"/>
                <w:sz w:val="22"/>
                <w:szCs w:val="22"/>
                <w:lang w:val="en-US" w:eastAsia="zh-CN"/>
              </w:rPr>
              <w:t>7910</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lang w:val="en-US" w:eastAsia="zh-CN"/>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auto"/>
              <w:ind w:firstLine="0" w:firstLineChars="0"/>
              <w:jc w:val="center"/>
              <w:textAlignment w:val="center"/>
              <w:rPr>
                <w:rFonts w:hint="eastAsia" w:ascii="方正仿宋_GBK" w:hAnsi="方正仿宋_GBK" w:cs="方正仿宋_GBK"/>
                <w:color w:val="000000"/>
                <w:kern w:val="0"/>
                <w:sz w:val="22"/>
                <w:szCs w:val="22"/>
              </w:rPr>
            </w:pPr>
          </w:p>
        </w:tc>
      </w:tr>
    </w:tbl>
    <w:p>
      <w:pPr>
        <w:pStyle w:val="13"/>
        <w:ind w:firstLine="0" w:firstLineChars="0"/>
        <w:rPr>
          <w:rFonts w:ascii="Times New Roman" w:hAnsi="Times New Roman" w:eastAsia="方正仿宋_GBK" w:cs="方正仿宋_GBK"/>
          <w:sz w:val="32"/>
          <w:szCs w:val="32"/>
        </w:rPr>
      </w:pPr>
    </w:p>
    <w:p>
      <w:pPr>
        <w:bidi w:val="0"/>
      </w:pPr>
    </w:p>
    <w:p>
      <w:pPr>
        <w:tabs>
          <w:tab w:val="left" w:pos="5292"/>
        </w:tabs>
        <w:bidi w:val="0"/>
        <w:jc w:val="left"/>
        <w:rPr>
          <w:rFonts w:hint="eastAsia" w:eastAsia="方正仿宋_GBK"/>
          <w:lang w:eastAsia="zh-CN"/>
        </w:rPr>
        <w:sectPr>
          <w:type w:val="continuous"/>
          <w:pgSz w:w="23757" w:h="16783" w:orient="landscape"/>
          <w:pgMar w:top="1440" w:right="1800" w:bottom="1440" w:left="1800" w:header="851" w:footer="992" w:gutter="0"/>
          <w:cols w:space="425" w:num="1"/>
          <w:docGrid w:type="lines" w:linePitch="312" w:charSpace="0"/>
        </w:sectPr>
      </w:pPr>
      <w:r>
        <w:rPr>
          <w:rFonts w:hint="eastAsia"/>
          <w:lang w:eastAsia="zh-CN"/>
        </w:rPr>
        <w:tab/>
      </w:r>
    </w:p>
    <w:p>
      <w:pPr>
        <w:pStyle w:val="13"/>
        <w:spacing w:line="240" w:lineRule="auto"/>
        <w:ind w:firstLine="0" w:firstLineChars="0"/>
        <w:rPr>
          <w:rFonts w:hint="default"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附图01沙坪坝区2011-2020年已建高标准农田分布图</w:t>
      </w:r>
    </w:p>
    <w:p>
      <w:pPr>
        <w:pStyle w:val="13"/>
        <w:spacing w:line="240" w:lineRule="auto"/>
        <w:ind w:firstLine="0" w:firstLineChars="0"/>
        <w:rPr>
          <w:rFonts w:hint="eastAsia" w:ascii="Times New Roman" w:hAnsi="Times New Roman" w:eastAsia="方正仿宋_GBK" w:cs="方正仿宋_GBK"/>
          <w:sz w:val="32"/>
          <w:szCs w:val="32"/>
          <w:lang w:eastAsia="zh-CN"/>
        </w:rPr>
        <w:sectPr>
          <w:pgSz w:w="16838" w:h="23811"/>
          <w:pgMar w:top="1800" w:right="1440" w:bottom="1800" w:left="1440" w:header="851" w:footer="992" w:gutter="0"/>
          <w:cols w:space="425" w:num="1"/>
          <w:docGrid w:type="lines" w:linePitch="312" w:charSpace="0"/>
        </w:sectPr>
      </w:pPr>
      <w:r>
        <w:rPr>
          <w:rFonts w:hint="eastAsia" w:ascii="Times New Roman" w:hAnsi="Times New Roman" w:eastAsia="方正仿宋_GBK" w:cs="方正仿宋_GBK"/>
          <w:sz w:val="32"/>
          <w:szCs w:val="32"/>
          <w:lang w:eastAsia="zh-CN"/>
        </w:rPr>
        <w:drawing>
          <wp:inline distT="0" distB="0" distL="114300" distR="114300">
            <wp:extent cx="8857615" cy="12011660"/>
            <wp:effectExtent l="0" t="0" r="635" b="8890"/>
            <wp:docPr id="10" name="图片 10" descr="01、2011-2020年已建高标准农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1、2011-2020年已建高标准农田分布图"/>
                    <pic:cNvPicPr>
                      <a:picLocks noChangeAspect="1"/>
                    </pic:cNvPicPr>
                  </pic:nvPicPr>
                  <pic:blipFill>
                    <a:blip r:embed="rId19"/>
                    <a:srcRect t="4140"/>
                    <a:stretch>
                      <a:fillRect/>
                    </a:stretch>
                  </pic:blipFill>
                  <pic:spPr>
                    <a:xfrm>
                      <a:off x="0" y="0"/>
                      <a:ext cx="8857615" cy="12011660"/>
                    </a:xfrm>
                    <a:prstGeom prst="rect">
                      <a:avLst/>
                    </a:prstGeom>
                  </pic:spPr>
                </pic:pic>
              </a:graphicData>
            </a:graphic>
          </wp:inline>
        </w:drawing>
      </w:r>
    </w:p>
    <w:p>
      <w:pPr>
        <w:pStyle w:val="13"/>
        <w:ind w:firstLine="0" w:firstLineChars="0"/>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附图02沙坪坝区高标准农田禁止建设区分布图</w:t>
      </w:r>
    </w:p>
    <w:p>
      <w:pPr>
        <w:pStyle w:val="13"/>
        <w:ind w:firstLine="0" w:firstLineChars="0"/>
        <w:rPr>
          <w:rFonts w:hint="eastAsia" w:ascii="Times New Roman" w:hAnsi="Times New Roman" w:eastAsia="方正仿宋_GBK" w:cs="方正仿宋_GBK"/>
          <w:sz w:val="32"/>
          <w:szCs w:val="32"/>
          <w:lang w:eastAsia="zh-CN"/>
        </w:rPr>
        <w:sectPr>
          <w:pgSz w:w="16838" w:h="23811"/>
          <w:pgMar w:top="1800" w:right="1440" w:bottom="1800" w:left="1440" w:header="851" w:footer="992" w:gutter="0"/>
          <w:cols w:space="425" w:num="1"/>
          <w:docGrid w:type="lines" w:linePitch="312" w:charSpace="0"/>
        </w:sectPr>
      </w:pPr>
      <w:r>
        <w:rPr>
          <w:rFonts w:hint="eastAsia" w:ascii="Times New Roman" w:hAnsi="Times New Roman" w:eastAsia="方正仿宋_GBK" w:cs="方正仿宋_GBK"/>
          <w:sz w:val="32"/>
          <w:szCs w:val="32"/>
          <w:lang w:eastAsia="zh-CN"/>
        </w:rPr>
        <w:drawing>
          <wp:anchor distT="0" distB="0" distL="114300" distR="114300" simplePos="0" relativeHeight="251663360" behindDoc="0" locked="0" layoutInCell="1" allowOverlap="1">
            <wp:simplePos x="0" y="0"/>
            <wp:positionH relativeFrom="column">
              <wp:posOffset>2540</wp:posOffset>
            </wp:positionH>
            <wp:positionV relativeFrom="paragraph">
              <wp:posOffset>509270</wp:posOffset>
            </wp:positionV>
            <wp:extent cx="8857615" cy="11935460"/>
            <wp:effectExtent l="0" t="0" r="635" b="8890"/>
            <wp:wrapSquare wrapText="bothSides"/>
            <wp:docPr id="4" name="图片 4" descr="02、高标准农田禁止建设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高标准农田禁止建设区分布图"/>
                    <pic:cNvPicPr>
                      <a:picLocks noChangeAspect="1"/>
                    </pic:cNvPicPr>
                  </pic:nvPicPr>
                  <pic:blipFill>
                    <a:blip r:embed="rId20"/>
                    <a:srcRect t="3851" b="907"/>
                    <a:stretch>
                      <a:fillRect/>
                    </a:stretch>
                  </pic:blipFill>
                  <pic:spPr>
                    <a:xfrm>
                      <a:off x="0" y="0"/>
                      <a:ext cx="8857615" cy="11935460"/>
                    </a:xfrm>
                    <a:prstGeom prst="rect">
                      <a:avLst/>
                    </a:prstGeom>
                  </pic:spPr>
                </pic:pic>
              </a:graphicData>
            </a:graphic>
          </wp:anchor>
        </w:drawing>
      </w:r>
    </w:p>
    <w:p>
      <w:pPr>
        <w:pStyle w:val="13"/>
        <w:ind w:firstLine="0" w:firstLineChars="0"/>
        <w:rPr>
          <w:rFonts w:hint="eastAsia" w:ascii="Times New Roman" w:hAnsi="Times New Roman" w:eastAsia="方正仿宋_GBK" w:cs="方正仿宋_GBK"/>
          <w:sz w:val="32"/>
          <w:szCs w:val="32"/>
          <w:lang w:eastAsia="zh-CN"/>
        </w:rPr>
      </w:pPr>
    </w:p>
    <w:p>
      <w:pPr>
        <w:pStyle w:val="13"/>
        <w:ind w:firstLine="0" w:firstLineChars="0"/>
        <w:rPr>
          <w:rFonts w:hint="default" w:ascii="Times New Roman" w:hAnsi="Times New Roman" w:eastAsia="方正仿宋_GBK" w:cs="方正仿宋_GBK"/>
          <w:sz w:val="32"/>
          <w:szCs w:val="32"/>
          <w:lang w:val="en-US" w:eastAsia="zh-CN"/>
        </w:rPr>
        <w:sectPr>
          <w:pgSz w:w="16838" w:h="23811"/>
          <w:pgMar w:top="1800" w:right="1440" w:bottom="1800" w:left="1440" w:header="851" w:footer="992" w:gutter="0"/>
          <w:cols w:space="425" w:num="1"/>
          <w:docGrid w:type="lines" w:linePitch="312" w:charSpace="0"/>
        </w:sectPr>
      </w:pPr>
      <w:r>
        <w:rPr>
          <w:rFonts w:hint="eastAsia" w:ascii="Times New Roman" w:hAnsi="Times New Roman" w:eastAsia="方正仿宋_GBK" w:cs="方正仿宋_GBK"/>
          <w:sz w:val="32"/>
          <w:szCs w:val="32"/>
          <w:lang w:eastAsia="zh-CN"/>
        </w:rPr>
        <w:drawing>
          <wp:anchor distT="0" distB="0" distL="114300" distR="114300" simplePos="0" relativeHeight="251664384" behindDoc="0" locked="0" layoutInCell="1" allowOverlap="1">
            <wp:simplePos x="0" y="0"/>
            <wp:positionH relativeFrom="column">
              <wp:posOffset>-12700</wp:posOffset>
            </wp:positionH>
            <wp:positionV relativeFrom="paragraph">
              <wp:posOffset>459740</wp:posOffset>
            </wp:positionV>
            <wp:extent cx="8857615" cy="12049760"/>
            <wp:effectExtent l="0" t="0" r="635" b="8890"/>
            <wp:wrapSquare wrapText="bothSides"/>
            <wp:docPr id="5" name="图片 5" descr="03、高标准农田建设潜力分布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高标准农田建设潜力分布图01"/>
                    <pic:cNvPicPr>
                      <a:picLocks noChangeAspect="1"/>
                    </pic:cNvPicPr>
                  </pic:nvPicPr>
                  <pic:blipFill>
                    <a:blip r:embed="rId21"/>
                    <a:srcRect t="3846"/>
                    <a:stretch>
                      <a:fillRect/>
                    </a:stretch>
                  </pic:blipFill>
                  <pic:spPr>
                    <a:xfrm>
                      <a:off x="0" y="0"/>
                      <a:ext cx="8857615" cy="12049760"/>
                    </a:xfrm>
                    <a:prstGeom prst="rect">
                      <a:avLst/>
                    </a:prstGeom>
                  </pic:spPr>
                </pic:pic>
              </a:graphicData>
            </a:graphic>
          </wp:anchor>
        </w:drawing>
      </w:r>
      <w:r>
        <w:rPr>
          <w:rFonts w:hint="eastAsia" w:ascii="Times New Roman" w:hAnsi="Times New Roman" w:eastAsia="方正仿宋_GBK" w:cs="方正仿宋_GBK"/>
          <w:sz w:val="32"/>
          <w:szCs w:val="32"/>
          <w:lang w:val="en-US" w:eastAsia="zh-CN"/>
        </w:rPr>
        <w:t>附图03沙坪坝区高标准农田建设潜力分布图</w:t>
      </w:r>
    </w:p>
    <w:p>
      <w:pPr>
        <w:pStyle w:val="13"/>
        <w:spacing w:line="240" w:lineRule="auto"/>
        <w:ind w:firstLine="0" w:firstLineChars="0"/>
        <w:rPr>
          <w:rFonts w:hint="default"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附图04沙坪坝区高标准农田建设总体布局图</w:t>
      </w:r>
    </w:p>
    <w:p>
      <w:pPr>
        <w:pStyle w:val="13"/>
        <w:spacing w:line="240" w:lineRule="auto"/>
        <w:ind w:firstLine="0" w:firstLineChars="0"/>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lang w:eastAsia="zh-CN"/>
        </w:rPr>
        <w:drawing>
          <wp:inline distT="0" distB="0" distL="114300" distR="114300">
            <wp:extent cx="8857615" cy="11916410"/>
            <wp:effectExtent l="0" t="0" r="635" b="8890"/>
            <wp:docPr id="6" name="图片 6" descr="04、高标准农田建设总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高标准农田建设总体布局图"/>
                    <pic:cNvPicPr>
                      <a:picLocks noChangeAspect="1"/>
                    </pic:cNvPicPr>
                  </pic:nvPicPr>
                  <pic:blipFill>
                    <a:blip r:embed="rId22"/>
                    <a:srcRect t="4140" b="760"/>
                    <a:stretch>
                      <a:fillRect/>
                    </a:stretch>
                  </pic:blipFill>
                  <pic:spPr>
                    <a:xfrm>
                      <a:off x="0" y="0"/>
                      <a:ext cx="8857615" cy="11916410"/>
                    </a:xfrm>
                    <a:prstGeom prst="rect">
                      <a:avLst/>
                    </a:prstGeom>
                  </pic:spPr>
                </pic:pic>
              </a:graphicData>
            </a:graphic>
          </wp:inline>
        </w:drawing>
      </w:r>
    </w:p>
    <w:p>
      <w:pPr>
        <w:pStyle w:val="13"/>
        <w:spacing w:line="240" w:lineRule="auto"/>
        <w:ind w:firstLine="0" w:firstLineChars="0"/>
        <w:rPr>
          <w:rFonts w:hint="eastAsia" w:ascii="Times New Roman" w:hAnsi="Times New Roman" w:eastAsia="方正仿宋_GBK" w:cs="方正仿宋_GBK"/>
          <w:sz w:val="32"/>
          <w:szCs w:val="32"/>
          <w:lang w:eastAsia="zh-CN"/>
        </w:rPr>
        <w:sectPr>
          <w:pgSz w:w="16838" w:h="23811"/>
          <w:pgMar w:top="1800" w:right="1440" w:bottom="1800" w:left="1440" w:header="851" w:footer="992" w:gutter="0"/>
          <w:cols w:space="425" w:num="1"/>
          <w:docGrid w:type="lines" w:linePitch="312" w:charSpace="0"/>
        </w:sectPr>
      </w:pPr>
    </w:p>
    <w:p>
      <w:pPr>
        <w:pStyle w:val="13"/>
        <w:spacing w:line="240" w:lineRule="auto"/>
        <w:ind w:firstLine="0" w:firstLineChars="0"/>
        <w:rPr>
          <w:rFonts w:hint="default"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附图05沙坪坝区高标准农田建设重点项目布局图</w:t>
      </w:r>
    </w:p>
    <w:p>
      <w:pPr>
        <w:pStyle w:val="13"/>
        <w:spacing w:line="240" w:lineRule="auto"/>
        <w:ind w:firstLine="0" w:firstLineChars="0"/>
        <w:rPr>
          <w:rFonts w:hint="eastAsia" w:ascii="Times New Roman" w:hAnsi="Times New Roman" w:eastAsia="方正仿宋_GBK" w:cs="方正仿宋_GBK"/>
          <w:sz w:val="32"/>
          <w:szCs w:val="32"/>
          <w:lang w:eastAsia="zh-CN"/>
        </w:rPr>
        <w:sectPr>
          <w:pgSz w:w="16838" w:h="23811"/>
          <w:pgMar w:top="1800" w:right="1440" w:bottom="1800" w:left="1440" w:header="851" w:footer="992" w:gutter="0"/>
          <w:cols w:space="425" w:num="1"/>
          <w:docGrid w:type="lines" w:linePitch="312" w:charSpace="0"/>
        </w:sectPr>
      </w:pPr>
      <w:r>
        <w:rPr>
          <w:rFonts w:hint="eastAsia" w:ascii="Times New Roman" w:hAnsi="Times New Roman" w:eastAsia="方正仿宋_GBK" w:cs="方正仿宋_GBK"/>
          <w:sz w:val="32"/>
          <w:szCs w:val="32"/>
          <w:lang w:eastAsia="zh-CN"/>
        </w:rPr>
        <w:drawing>
          <wp:inline distT="0" distB="0" distL="114300" distR="114300">
            <wp:extent cx="8857615" cy="11882755"/>
            <wp:effectExtent l="0" t="0" r="635" b="4445"/>
            <wp:docPr id="7" name="图片 7" descr="05、高标准农田建设重点项目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高标准农田建设重点项目布局图"/>
                    <pic:cNvPicPr>
                      <a:picLocks noChangeAspect="1"/>
                    </pic:cNvPicPr>
                  </pic:nvPicPr>
                  <pic:blipFill>
                    <a:blip r:embed="rId23"/>
                    <a:srcRect t="4333" b="836"/>
                    <a:stretch>
                      <a:fillRect/>
                    </a:stretch>
                  </pic:blipFill>
                  <pic:spPr>
                    <a:xfrm>
                      <a:off x="0" y="0"/>
                      <a:ext cx="8857615" cy="11882755"/>
                    </a:xfrm>
                    <a:prstGeom prst="rect">
                      <a:avLst/>
                    </a:prstGeom>
                  </pic:spPr>
                </pic:pic>
              </a:graphicData>
            </a:graphic>
          </wp:inline>
        </w:drawing>
      </w:r>
    </w:p>
    <w:p>
      <w:pPr>
        <w:pStyle w:val="13"/>
        <w:spacing w:line="240" w:lineRule="auto"/>
        <w:ind w:firstLine="0" w:firstLineChars="0"/>
        <w:rPr>
          <w:rFonts w:hint="default"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附图06沙坪坝区高标准农田建设总体布局图（2011-2030)</w:t>
      </w:r>
    </w:p>
    <w:p>
      <w:pPr>
        <w:pStyle w:val="13"/>
        <w:spacing w:line="240" w:lineRule="auto"/>
        <w:ind w:firstLine="0" w:firstLineChars="0"/>
        <w:rPr>
          <w:rFonts w:hint="eastAsia" w:ascii="Times New Roman" w:hAnsi="Times New Roman" w:eastAsia="方正仿宋_GBK" w:cs="方正仿宋_GBK"/>
          <w:sz w:val="32"/>
          <w:szCs w:val="32"/>
          <w:lang w:eastAsia="zh-CN"/>
        </w:rPr>
        <w:sectPr>
          <w:pgSz w:w="16838" w:h="23811"/>
          <w:pgMar w:top="1800" w:right="1440" w:bottom="1800" w:left="1440" w:header="851" w:footer="992" w:gutter="0"/>
          <w:cols w:space="425" w:num="1"/>
          <w:docGrid w:type="lines" w:linePitch="312" w:charSpace="0"/>
        </w:sectPr>
      </w:pPr>
      <w:r>
        <w:rPr>
          <w:rFonts w:hint="eastAsia" w:ascii="Times New Roman" w:hAnsi="Times New Roman" w:eastAsia="方正仿宋_GBK" w:cs="方正仿宋_GBK"/>
          <w:sz w:val="32"/>
          <w:szCs w:val="32"/>
          <w:lang w:eastAsia="zh-CN"/>
        </w:rPr>
        <w:drawing>
          <wp:inline distT="0" distB="0" distL="114300" distR="114300">
            <wp:extent cx="8857615" cy="11907520"/>
            <wp:effectExtent l="0" t="0" r="635" b="17780"/>
            <wp:docPr id="11" name="图片 11" descr="06、高标准农田建设总体布局图(201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6、高标准农田建设总体布局图(2011-2030)"/>
                    <pic:cNvPicPr>
                      <a:picLocks noChangeAspect="1"/>
                    </pic:cNvPicPr>
                  </pic:nvPicPr>
                  <pic:blipFill>
                    <a:blip r:embed="rId24"/>
                    <a:srcRect t="4059" b="912"/>
                    <a:stretch>
                      <a:fillRect/>
                    </a:stretch>
                  </pic:blipFill>
                  <pic:spPr>
                    <a:xfrm>
                      <a:off x="0" y="0"/>
                      <a:ext cx="8857615" cy="11907520"/>
                    </a:xfrm>
                    <a:prstGeom prst="rect">
                      <a:avLst/>
                    </a:prstGeom>
                  </pic:spPr>
                </pic:pic>
              </a:graphicData>
            </a:graphic>
          </wp:inline>
        </w:drawing>
      </w:r>
    </w:p>
    <w:p>
      <w:pPr>
        <w:pStyle w:val="13"/>
        <w:ind w:firstLine="0" w:firstLineChars="0"/>
        <w:rPr>
          <w:rFonts w:hint="eastAsia" w:ascii="Times New Roman" w:hAnsi="Times New Roman" w:eastAsia="方正仿宋_GBK" w:cs="方正仿宋_GBK"/>
          <w:sz w:val="32"/>
          <w:szCs w:val="32"/>
          <w:lang w:eastAsia="zh-CN"/>
        </w:rPr>
      </w:pPr>
    </w:p>
    <w:sectPr>
      <w:pgSz w:w="16838" w:h="23811"/>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435447323"/>
                          </w:sdtPr>
                          <w:sdtContent>
                            <w:p>
                              <w:pPr>
                                <w:pStyle w:val="15"/>
                                <w:ind w:firstLine="360"/>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3"/>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utVRfFgIAABYEAAAOAAAAAAAA&#10;AAEAIAAAAB8BAABkcnMvZTJvRG9jLnhtbFBLBQYAAAAABgAGAFkBAACnBQAAAAA=&#10;">
              <v:fill on="f" focussize="0,0"/>
              <v:stroke on="f" weight="0.5pt"/>
              <v:imagedata o:title=""/>
              <o:lock v:ext="edit" aspectratio="f"/>
              <v:textbox inset="0mm,0mm,0mm,0mm" style="mso-fit-shape-to-text:t;">
                <w:txbxContent>
                  <w:sdt>
                    <w:sdtPr>
                      <w:id w:val="-435447323"/>
                    </w:sdtPr>
                    <w:sdtContent>
                      <w:p>
                        <w:pPr>
                          <w:pStyle w:val="15"/>
                          <w:ind w:firstLine="360"/>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3"/>
                      <w:ind w:firstLine="420"/>
                    </w:pPr>
                  </w:p>
                </w:txbxContent>
              </v:textbox>
            </v:shape>
          </w:pict>
        </mc:Fallback>
      </mc:AlternateContent>
    </w:r>
  </w:p>
  <w:p>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jc w:val="center"/>
      <w:rPr>
        <w:rFonts w:cs="Times New Roman"/>
        <w:sz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619753890"/>
                          </w:sdtPr>
                          <w:sdtEndPr>
                            <w:rPr>
                              <w:rFonts w:cs="Times New Roman"/>
                              <w:sz w:val="21"/>
                            </w:rPr>
                          </w:sdtEndPr>
                          <w:sdtContent>
                            <w:p>
                              <w:pPr>
                                <w:pStyle w:val="15"/>
                                <w:ind w:firstLine="360"/>
                                <w:jc w:val="center"/>
                                <w:rPr>
                                  <w:rFonts w:cs="Times New Roman"/>
                                  <w:sz w:val="21"/>
                                </w:rPr>
                              </w:pPr>
                              <w:r>
                                <w:rPr>
                                  <w:rFonts w:cs="Times New Roman"/>
                                  <w:sz w:val="21"/>
                                </w:rPr>
                                <w:fldChar w:fldCharType="begin"/>
                              </w:r>
                              <w:r>
                                <w:rPr>
                                  <w:rFonts w:cs="Times New Roman"/>
                                  <w:sz w:val="21"/>
                                </w:rPr>
                                <w:instrText xml:space="preserve">PAGE   \* MERGEFORMAT</w:instrText>
                              </w:r>
                              <w:r>
                                <w:rPr>
                                  <w:rFonts w:cs="Times New Roman"/>
                                  <w:sz w:val="21"/>
                                </w:rPr>
                                <w:fldChar w:fldCharType="separate"/>
                              </w:r>
                              <w:r>
                                <w:rPr>
                                  <w:rFonts w:cs="Times New Roman"/>
                                  <w:sz w:val="21"/>
                                  <w:lang w:val="zh-CN"/>
                                </w:rPr>
                                <w:t>33</w:t>
                              </w:r>
                              <w:r>
                                <w:rPr>
                                  <w:rFonts w:cs="Times New Roman"/>
                                  <w:sz w:val="21"/>
                                </w:rPr>
                                <w:fldChar w:fldCharType="end"/>
                              </w:r>
                            </w:p>
                          </w:sdtContent>
                        </w:sdt>
                        <w:p>
                          <w:pPr>
                            <w:pStyle w:val="13"/>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0yV8WAgAAFgQAAA4AAABkcnMvZTJvRG9jLnhtbK1TzY7TMBC+I/EO&#10;lu80aRdW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QNMlfFgIAABYEAAAOAAAAAAAA&#10;AAEAIAAAAB8BAABkcnMvZTJvRG9jLnhtbFBLBQYAAAAABgAGAFkBAACnBQAAAAA=&#10;">
              <v:fill on="f" focussize="0,0"/>
              <v:stroke on="f" weight="0.5pt"/>
              <v:imagedata o:title=""/>
              <o:lock v:ext="edit" aspectratio="f"/>
              <v:textbox inset="0mm,0mm,0mm,0mm" style="mso-fit-shape-to-text:t;">
                <w:txbxContent>
                  <w:sdt>
                    <w:sdtPr>
                      <w:id w:val="-1619753890"/>
                    </w:sdtPr>
                    <w:sdtEndPr>
                      <w:rPr>
                        <w:rFonts w:cs="Times New Roman"/>
                        <w:sz w:val="21"/>
                      </w:rPr>
                    </w:sdtEndPr>
                    <w:sdtContent>
                      <w:p>
                        <w:pPr>
                          <w:pStyle w:val="15"/>
                          <w:ind w:firstLine="360"/>
                          <w:jc w:val="center"/>
                          <w:rPr>
                            <w:rFonts w:cs="Times New Roman"/>
                            <w:sz w:val="21"/>
                          </w:rPr>
                        </w:pPr>
                        <w:r>
                          <w:rPr>
                            <w:rFonts w:cs="Times New Roman"/>
                            <w:sz w:val="21"/>
                          </w:rPr>
                          <w:fldChar w:fldCharType="begin"/>
                        </w:r>
                        <w:r>
                          <w:rPr>
                            <w:rFonts w:cs="Times New Roman"/>
                            <w:sz w:val="21"/>
                          </w:rPr>
                          <w:instrText xml:space="preserve">PAGE   \* MERGEFORMAT</w:instrText>
                        </w:r>
                        <w:r>
                          <w:rPr>
                            <w:rFonts w:cs="Times New Roman"/>
                            <w:sz w:val="21"/>
                          </w:rPr>
                          <w:fldChar w:fldCharType="separate"/>
                        </w:r>
                        <w:r>
                          <w:rPr>
                            <w:rFonts w:cs="Times New Roman"/>
                            <w:sz w:val="21"/>
                            <w:lang w:val="zh-CN"/>
                          </w:rPr>
                          <w:t>33</w:t>
                        </w:r>
                        <w:r>
                          <w:rPr>
                            <w:rFonts w:cs="Times New Roman"/>
                            <w:sz w:val="21"/>
                          </w:rPr>
                          <w:fldChar w:fldCharType="end"/>
                        </w:r>
                      </w:p>
                    </w:sdtContent>
                  </w:sdt>
                  <w:p>
                    <w:pPr>
                      <w:pStyle w:val="13"/>
                      <w:ind w:firstLine="420"/>
                    </w:pPr>
                  </w:p>
                </w:txbxContent>
              </v:textbox>
            </v:shape>
          </w:pict>
        </mc:Fallback>
      </mc:AlternateContent>
    </w:r>
  </w:p>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ind w:firstLine="4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061EA"/>
    <w:multiLevelType w:val="singleLevel"/>
    <w:tmpl w:val="810061EA"/>
    <w:lvl w:ilvl="0" w:tentative="0">
      <w:start w:val="1"/>
      <w:numFmt w:val="decimal"/>
      <w:suff w:val="nothing"/>
      <w:lvlText w:val="%1．"/>
      <w:lvlJc w:val="left"/>
      <w:pPr>
        <w:ind w:left="0" w:firstLine="400"/>
      </w:pPr>
      <w:rPr>
        <w:rFonts w:hint="default"/>
      </w:rPr>
    </w:lvl>
  </w:abstractNum>
  <w:abstractNum w:abstractNumId="1">
    <w:nsid w:val="B2808A77"/>
    <w:multiLevelType w:val="singleLevel"/>
    <w:tmpl w:val="B2808A77"/>
    <w:lvl w:ilvl="0" w:tentative="0">
      <w:start w:val="1"/>
      <w:numFmt w:val="chineseCounting"/>
      <w:pStyle w:val="4"/>
      <w:lvlText w:val="%1、"/>
      <w:lvlJc w:val="left"/>
      <w:pPr>
        <w:tabs>
          <w:tab w:val="left" w:pos="0"/>
        </w:tabs>
        <w:ind w:left="0" w:firstLine="0"/>
      </w:pPr>
      <w:rPr>
        <w:rFonts w:hint="eastAsia"/>
      </w:rPr>
    </w:lvl>
  </w:abstractNum>
  <w:abstractNum w:abstractNumId="2">
    <w:nsid w:val="BE85367C"/>
    <w:multiLevelType w:val="singleLevel"/>
    <w:tmpl w:val="BE85367C"/>
    <w:lvl w:ilvl="0" w:tentative="0">
      <w:start w:val="1"/>
      <w:numFmt w:val="decimal"/>
      <w:lvlText w:val="%1."/>
      <w:lvlJc w:val="left"/>
      <w:pPr>
        <w:tabs>
          <w:tab w:val="left" w:pos="312"/>
        </w:tabs>
      </w:pPr>
    </w:lvl>
  </w:abstractNum>
  <w:abstractNum w:abstractNumId="3">
    <w:nsid w:val="D2439938"/>
    <w:multiLevelType w:val="multilevel"/>
    <w:tmpl w:val="D2439938"/>
    <w:lvl w:ilvl="0" w:tentative="0">
      <w:start w:val="1"/>
      <w:numFmt w:val="chineseCounting"/>
      <w:suff w:val="space"/>
      <w:lvlText w:val="第%1章"/>
      <w:lvlJc w:val="left"/>
      <w:pPr>
        <w:tabs>
          <w:tab w:val="left" w:pos="420"/>
        </w:tabs>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EA0ED7FF"/>
    <w:multiLevelType w:val="singleLevel"/>
    <w:tmpl w:val="EA0ED7FF"/>
    <w:lvl w:ilvl="0" w:tentative="0">
      <w:start w:val="1"/>
      <w:numFmt w:val="chineseCounting"/>
      <w:suff w:val="nothing"/>
      <w:lvlText w:val="（%1）"/>
      <w:lvlJc w:val="left"/>
      <w:pPr>
        <w:ind w:left="0" w:firstLine="420"/>
      </w:pPr>
      <w:rPr>
        <w:rFonts w:hint="eastAsia"/>
      </w:rPr>
    </w:lvl>
  </w:abstractNum>
  <w:abstractNum w:abstractNumId="5">
    <w:nsid w:val="FA8EE3C4"/>
    <w:multiLevelType w:val="multilevel"/>
    <w:tmpl w:val="FA8EE3C4"/>
    <w:lvl w:ilvl="0" w:tentative="0">
      <w:start w:val="1"/>
      <w:numFmt w:val="japaneseCounting"/>
      <w:lvlText w:val="（%1）"/>
      <w:lvlJc w:val="left"/>
      <w:pPr>
        <w:ind w:left="1664" w:hanging="108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6">
    <w:nsid w:val="FFACDC16"/>
    <w:multiLevelType w:val="singleLevel"/>
    <w:tmpl w:val="FFACDC16"/>
    <w:lvl w:ilvl="0" w:tentative="0">
      <w:start w:val="1"/>
      <w:numFmt w:val="chineseCounting"/>
      <w:suff w:val="nothing"/>
      <w:lvlText w:val="（%1）"/>
      <w:lvlJc w:val="left"/>
      <w:pPr>
        <w:ind w:left="0" w:firstLine="420"/>
      </w:pPr>
      <w:rPr>
        <w:rFonts w:hint="eastAsia"/>
      </w:rPr>
    </w:lvl>
  </w:abstractNum>
  <w:abstractNum w:abstractNumId="7">
    <w:nsid w:val="046E03AF"/>
    <w:multiLevelType w:val="singleLevel"/>
    <w:tmpl w:val="046E03AF"/>
    <w:lvl w:ilvl="0" w:tentative="0">
      <w:start w:val="1"/>
      <w:numFmt w:val="decimal"/>
      <w:suff w:val="nothing"/>
      <w:lvlText w:val="%1．"/>
      <w:lvlJc w:val="left"/>
      <w:pPr>
        <w:ind w:left="0" w:firstLine="400"/>
      </w:pPr>
      <w:rPr>
        <w:rFonts w:hint="default"/>
      </w:rPr>
    </w:lvl>
  </w:abstractNum>
  <w:abstractNum w:abstractNumId="8">
    <w:nsid w:val="11021A74"/>
    <w:multiLevelType w:val="multilevel"/>
    <w:tmpl w:val="11021A74"/>
    <w:lvl w:ilvl="0" w:tentative="0">
      <w:start w:val="1"/>
      <w:numFmt w:val="chineseCounting"/>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9">
    <w:nsid w:val="17C631EE"/>
    <w:multiLevelType w:val="multilevel"/>
    <w:tmpl w:val="17C631EE"/>
    <w:lvl w:ilvl="0" w:tentative="0">
      <w:start w:val="1"/>
      <w:numFmt w:val="chineseCounting"/>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0">
    <w:nsid w:val="1D04647E"/>
    <w:multiLevelType w:val="multilevel"/>
    <w:tmpl w:val="1D04647E"/>
    <w:lvl w:ilvl="0" w:tentative="0">
      <w:start w:val="1"/>
      <w:numFmt w:val="chineseCounting"/>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27287090"/>
    <w:multiLevelType w:val="multilevel"/>
    <w:tmpl w:val="27287090"/>
    <w:lvl w:ilvl="0" w:tentative="0">
      <w:start w:val="1"/>
      <w:numFmt w:val="chineseCounting"/>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2AFA0A48"/>
    <w:multiLevelType w:val="multilevel"/>
    <w:tmpl w:val="2AFA0A48"/>
    <w:lvl w:ilvl="0" w:tentative="0">
      <w:start w:val="1"/>
      <w:numFmt w:val="japaneseCounting"/>
      <w:lvlText w:val="（%1）"/>
      <w:lvlJc w:val="left"/>
      <w:pPr>
        <w:ind w:left="1664" w:hanging="108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13">
    <w:nsid w:val="2BA213D7"/>
    <w:multiLevelType w:val="multilevel"/>
    <w:tmpl w:val="2BA213D7"/>
    <w:lvl w:ilvl="0" w:tentative="0">
      <w:start w:val="1"/>
      <w:numFmt w:val="chineseCounting"/>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4">
    <w:nsid w:val="2C5D9F2C"/>
    <w:multiLevelType w:val="singleLevel"/>
    <w:tmpl w:val="2C5D9F2C"/>
    <w:lvl w:ilvl="0" w:tentative="0">
      <w:start w:val="1"/>
      <w:numFmt w:val="decimal"/>
      <w:lvlText w:val="%1."/>
      <w:lvlJc w:val="left"/>
      <w:pPr>
        <w:tabs>
          <w:tab w:val="left" w:pos="312"/>
        </w:tabs>
      </w:pPr>
    </w:lvl>
  </w:abstractNum>
  <w:abstractNum w:abstractNumId="15">
    <w:nsid w:val="2F9000D2"/>
    <w:multiLevelType w:val="multilevel"/>
    <w:tmpl w:val="2F9000D2"/>
    <w:lvl w:ilvl="0" w:tentative="0">
      <w:start w:val="1"/>
      <w:numFmt w:val="japaneseCounting"/>
      <w:lvlText w:val="（%1）"/>
      <w:lvlJc w:val="left"/>
      <w:pPr>
        <w:ind w:left="1664" w:hanging="108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16">
    <w:nsid w:val="37358191"/>
    <w:multiLevelType w:val="multilevel"/>
    <w:tmpl w:val="37358191"/>
    <w:lvl w:ilvl="0" w:tentative="0">
      <w:start w:val="1"/>
      <w:numFmt w:val="japaneseCounting"/>
      <w:lvlText w:val="（%1）"/>
      <w:lvlJc w:val="left"/>
      <w:pPr>
        <w:ind w:left="1664" w:hanging="108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17">
    <w:nsid w:val="5635B821"/>
    <w:multiLevelType w:val="singleLevel"/>
    <w:tmpl w:val="5635B821"/>
    <w:lvl w:ilvl="0" w:tentative="0">
      <w:start w:val="1"/>
      <w:numFmt w:val="chineseCounting"/>
      <w:suff w:val="nothing"/>
      <w:lvlText w:val="（%1）"/>
      <w:lvlJc w:val="left"/>
      <w:pPr>
        <w:ind w:left="0" w:firstLine="420"/>
      </w:pPr>
      <w:rPr>
        <w:rFonts w:hint="eastAsia"/>
      </w:rPr>
    </w:lvl>
  </w:abstractNum>
  <w:abstractNum w:abstractNumId="18">
    <w:nsid w:val="574D0052"/>
    <w:multiLevelType w:val="multilevel"/>
    <w:tmpl w:val="574D0052"/>
    <w:lvl w:ilvl="0" w:tentative="0">
      <w:start w:val="1"/>
      <w:numFmt w:val="chineseCounting"/>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9">
    <w:nsid w:val="5E95063E"/>
    <w:multiLevelType w:val="multilevel"/>
    <w:tmpl w:val="5E95063E"/>
    <w:lvl w:ilvl="0" w:tentative="0">
      <w:start w:val="1"/>
      <w:numFmt w:val="japaneseCounting"/>
      <w:lvlText w:val="（%1）"/>
      <w:lvlJc w:val="left"/>
      <w:pPr>
        <w:ind w:left="1664" w:hanging="108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20">
    <w:nsid w:val="5EC194F3"/>
    <w:multiLevelType w:val="singleLevel"/>
    <w:tmpl w:val="5EC194F3"/>
    <w:lvl w:ilvl="0" w:tentative="0">
      <w:start w:val="1"/>
      <w:numFmt w:val="chineseCounting"/>
      <w:suff w:val="nothing"/>
      <w:lvlText w:val="（%1）"/>
      <w:lvlJc w:val="left"/>
      <w:pPr>
        <w:ind w:left="0" w:firstLine="420"/>
      </w:pPr>
      <w:rPr>
        <w:rFonts w:hint="eastAsia"/>
      </w:rPr>
    </w:lvl>
  </w:abstractNum>
  <w:abstractNum w:abstractNumId="21">
    <w:nsid w:val="66FD7A90"/>
    <w:multiLevelType w:val="multilevel"/>
    <w:tmpl w:val="66FD7A90"/>
    <w:lvl w:ilvl="0" w:tentative="0">
      <w:start w:val="1"/>
      <w:numFmt w:val="japaneseCounting"/>
      <w:lvlText w:val="（%1）"/>
      <w:lvlJc w:val="left"/>
      <w:pPr>
        <w:ind w:left="1664" w:hanging="108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22">
    <w:nsid w:val="72C0DDBE"/>
    <w:multiLevelType w:val="singleLevel"/>
    <w:tmpl w:val="72C0DDBE"/>
    <w:lvl w:ilvl="0" w:tentative="0">
      <w:start w:val="1"/>
      <w:numFmt w:val="chineseCounting"/>
      <w:suff w:val="nothing"/>
      <w:lvlText w:val="（%1）"/>
      <w:lvlJc w:val="left"/>
      <w:pPr>
        <w:ind w:left="0" w:firstLine="420"/>
      </w:pPr>
      <w:rPr>
        <w:rFonts w:hint="eastAsia"/>
      </w:rPr>
    </w:lvl>
  </w:abstractNum>
  <w:abstractNum w:abstractNumId="23">
    <w:nsid w:val="7F7577BD"/>
    <w:multiLevelType w:val="multilevel"/>
    <w:tmpl w:val="7F7577BD"/>
    <w:lvl w:ilvl="0" w:tentative="0">
      <w:start w:val="1"/>
      <w:numFmt w:val="chineseCounting"/>
      <w:lvlText w:val="%1、"/>
      <w:lvlJc w:val="left"/>
      <w:pPr>
        <w:ind w:left="1060" w:hanging="420"/>
      </w:pPr>
      <w:rPr>
        <w:rFonts w:hint="eastAsia"/>
        <w:lang w:val="en-U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3"/>
  </w:num>
  <w:num w:numId="3">
    <w:abstractNumId w:val="10"/>
  </w:num>
  <w:num w:numId="4">
    <w:abstractNumId w:val="20"/>
  </w:num>
  <w:num w:numId="5">
    <w:abstractNumId w:val="17"/>
  </w:num>
  <w:num w:numId="6">
    <w:abstractNumId w:val="22"/>
  </w:num>
  <w:num w:numId="7">
    <w:abstractNumId w:val="4"/>
  </w:num>
  <w:num w:numId="8">
    <w:abstractNumId w:val="11"/>
  </w:num>
  <w:num w:numId="9">
    <w:abstractNumId w:val="6"/>
  </w:num>
  <w:num w:numId="10">
    <w:abstractNumId w:val="8"/>
  </w:num>
  <w:num w:numId="11">
    <w:abstractNumId w:val="2"/>
  </w:num>
  <w:num w:numId="12">
    <w:abstractNumId w:val="9"/>
  </w:num>
  <w:num w:numId="13">
    <w:abstractNumId w:val="12"/>
  </w:num>
  <w:num w:numId="14">
    <w:abstractNumId w:val="7"/>
  </w:num>
  <w:num w:numId="15">
    <w:abstractNumId w:val="0"/>
  </w:num>
  <w:num w:numId="16">
    <w:abstractNumId w:val="13"/>
  </w:num>
  <w:num w:numId="17">
    <w:abstractNumId w:val="18"/>
  </w:num>
  <w:num w:numId="18">
    <w:abstractNumId w:val="14"/>
  </w:num>
  <w:num w:numId="19">
    <w:abstractNumId w:val="16"/>
  </w:num>
  <w:num w:numId="20">
    <w:abstractNumId w:val="23"/>
  </w:num>
  <w:num w:numId="21">
    <w:abstractNumId w:val="5"/>
  </w:num>
  <w:num w:numId="22">
    <w:abstractNumId w:val="15"/>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jNWE3YTU5MzZjYTRmZjg3ZWFjMWI4ZTBkZGU3MjkifQ=="/>
  </w:docVars>
  <w:rsids>
    <w:rsidRoot w:val="5BE76C46"/>
    <w:rsid w:val="0000161E"/>
    <w:rsid w:val="0001015B"/>
    <w:rsid w:val="000125D8"/>
    <w:rsid w:val="00033771"/>
    <w:rsid w:val="00034152"/>
    <w:rsid w:val="00043317"/>
    <w:rsid w:val="00046FD7"/>
    <w:rsid w:val="0006196F"/>
    <w:rsid w:val="00061A80"/>
    <w:rsid w:val="00064508"/>
    <w:rsid w:val="00071A1D"/>
    <w:rsid w:val="000741C0"/>
    <w:rsid w:val="000873A7"/>
    <w:rsid w:val="000A1BC1"/>
    <w:rsid w:val="000A7F37"/>
    <w:rsid w:val="000B31E0"/>
    <w:rsid w:val="000B58A5"/>
    <w:rsid w:val="000C797A"/>
    <w:rsid w:val="000D2B89"/>
    <w:rsid w:val="000E3B02"/>
    <w:rsid w:val="000E73B8"/>
    <w:rsid w:val="000E7574"/>
    <w:rsid w:val="000F0A17"/>
    <w:rsid w:val="000F2ACD"/>
    <w:rsid w:val="000F734C"/>
    <w:rsid w:val="0010529B"/>
    <w:rsid w:val="00107032"/>
    <w:rsid w:val="0011484F"/>
    <w:rsid w:val="00114D72"/>
    <w:rsid w:val="001170F6"/>
    <w:rsid w:val="001218F4"/>
    <w:rsid w:val="0013218A"/>
    <w:rsid w:val="00142881"/>
    <w:rsid w:val="001437F9"/>
    <w:rsid w:val="00147A32"/>
    <w:rsid w:val="0016031D"/>
    <w:rsid w:val="001704AE"/>
    <w:rsid w:val="00171B30"/>
    <w:rsid w:val="00190765"/>
    <w:rsid w:val="00191483"/>
    <w:rsid w:val="001A0FB2"/>
    <w:rsid w:val="001B0817"/>
    <w:rsid w:val="001D1E5B"/>
    <w:rsid w:val="001D2CB6"/>
    <w:rsid w:val="001D3E3F"/>
    <w:rsid w:val="001E33CF"/>
    <w:rsid w:val="001E7940"/>
    <w:rsid w:val="001E7E8D"/>
    <w:rsid w:val="001F720F"/>
    <w:rsid w:val="002217CF"/>
    <w:rsid w:val="002219DE"/>
    <w:rsid w:val="002247F9"/>
    <w:rsid w:val="00225919"/>
    <w:rsid w:val="002318AB"/>
    <w:rsid w:val="00241123"/>
    <w:rsid w:val="002465F4"/>
    <w:rsid w:val="00250B28"/>
    <w:rsid w:val="00252ACD"/>
    <w:rsid w:val="00254165"/>
    <w:rsid w:val="002606A4"/>
    <w:rsid w:val="00275FE7"/>
    <w:rsid w:val="00276D11"/>
    <w:rsid w:val="00280496"/>
    <w:rsid w:val="00281489"/>
    <w:rsid w:val="00283C2A"/>
    <w:rsid w:val="00291D00"/>
    <w:rsid w:val="00295829"/>
    <w:rsid w:val="002A0087"/>
    <w:rsid w:val="002A13BF"/>
    <w:rsid w:val="002A5F6A"/>
    <w:rsid w:val="002B2529"/>
    <w:rsid w:val="002B2E91"/>
    <w:rsid w:val="002B34F2"/>
    <w:rsid w:val="002C02B8"/>
    <w:rsid w:val="002C1F3A"/>
    <w:rsid w:val="002D1B39"/>
    <w:rsid w:val="002E3351"/>
    <w:rsid w:val="003052F2"/>
    <w:rsid w:val="00307CD8"/>
    <w:rsid w:val="003158CE"/>
    <w:rsid w:val="00323CD6"/>
    <w:rsid w:val="00325A1C"/>
    <w:rsid w:val="0034013E"/>
    <w:rsid w:val="00340205"/>
    <w:rsid w:val="003451DC"/>
    <w:rsid w:val="00350FEB"/>
    <w:rsid w:val="003516A3"/>
    <w:rsid w:val="0036046C"/>
    <w:rsid w:val="0036475B"/>
    <w:rsid w:val="00366504"/>
    <w:rsid w:val="003665D3"/>
    <w:rsid w:val="00373FC9"/>
    <w:rsid w:val="00381EE0"/>
    <w:rsid w:val="0039305D"/>
    <w:rsid w:val="003A3F9E"/>
    <w:rsid w:val="003B6C89"/>
    <w:rsid w:val="003C4A5A"/>
    <w:rsid w:val="003D07C4"/>
    <w:rsid w:val="003D1E2F"/>
    <w:rsid w:val="003D3460"/>
    <w:rsid w:val="003E235E"/>
    <w:rsid w:val="003E718F"/>
    <w:rsid w:val="003E7D37"/>
    <w:rsid w:val="003F0DCC"/>
    <w:rsid w:val="003F21E3"/>
    <w:rsid w:val="003F47FB"/>
    <w:rsid w:val="003F4F2C"/>
    <w:rsid w:val="003F695B"/>
    <w:rsid w:val="003F790E"/>
    <w:rsid w:val="004005E4"/>
    <w:rsid w:val="004038B4"/>
    <w:rsid w:val="00420AC6"/>
    <w:rsid w:val="004257E4"/>
    <w:rsid w:val="00427BD6"/>
    <w:rsid w:val="00432071"/>
    <w:rsid w:val="00434A0E"/>
    <w:rsid w:val="00440FA1"/>
    <w:rsid w:val="00443D09"/>
    <w:rsid w:val="0045038F"/>
    <w:rsid w:val="00452F75"/>
    <w:rsid w:val="00465197"/>
    <w:rsid w:val="00471184"/>
    <w:rsid w:val="00486BBE"/>
    <w:rsid w:val="004925D8"/>
    <w:rsid w:val="0049494C"/>
    <w:rsid w:val="00494F14"/>
    <w:rsid w:val="0049770E"/>
    <w:rsid w:val="004A58CC"/>
    <w:rsid w:val="004A72DD"/>
    <w:rsid w:val="004B3D9D"/>
    <w:rsid w:val="004B7C69"/>
    <w:rsid w:val="004B7D1B"/>
    <w:rsid w:val="004F65DE"/>
    <w:rsid w:val="005035D8"/>
    <w:rsid w:val="00510139"/>
    <w:rsid w:val="005112D0"/>
    <w:rsid w:val="00524937"/>
    <w:rsid w:val="00533343"/>
    <w:rsid w:val="0053688F"/>
    <w:rsid w:val="0054046A"/>
    <w:rsid w:val="005834D8"/>
    <w:rsid w:val="00590845"/>
    <w:rsid w:val="005A4243"/>
    <w:rsid w:val="005B0854"/>
    <w:rsid w:val="005B1F68"/>
    <w:rsid w:val="005B4D2D"/>
    <w:rsid w:val="005C6218"/>
    <w:rsid w:val="005C6F2E"/>
    <w:rsid w:val="005D0184"/>
    <w:rsid w:val="005E0A2A"/>
    <w:rsid w:val="005E6C7D"/>
    <w:rsid w:val="005F1B48"/>
    <w:rsid w:val="00604FAF"/>
    <w:rsid w:val="0060635C"/>
    <w:rsid w:val="006075BB"/>
    <w:rsid w:val="006106A0"/>
    <w:rsid w:val="006176C8"/>
    <w:rsid w:val="00631D28"/>
    <w:rsid w:val="0063372D"/>
    <w:rsid w:val="006338B2"/>
    <w:rsid w:val="0065012D"/>
    <w:rsid w:val="006566E1"/>
    <w:rsid w:val="00670397"/>
    <w:rsid w:val="00671788"/>
    <w:rsid w:val="00684D56"/>
    <w:rsid w:val="00686C55"/>
    <w:rsid w:val="00690955"/>
    <w:rsid w:val="0069295B"/>
    <w:rsid w:val="00694E9F"/>
    <w:rsid w:val="006A2C90"/>
    <w:rsid w:val="006A3305"/>
    <w:rsid w:val="006B34CA"/>
    <w:rsid w:val="006B773A"/>
    <w:rsid w:val="006C13CC"/>
    <w:rsid w:val="006C4450"/>
    <w:rsid w:val="006C49E9"/>
    <w:rsid w:val="006C7373"/>
    <w:rsid w:val="006D4146"/>
    <w:rsid w:val="006E7F0F"/>
    <w:rsid w:val="006F3429"/>
    <w:rsid w:val="006F7D04"/>
    <w:rsid w:val="0070006E"/>
    <w:rsid w:val="0070331D"/>
    <w:rsid w:val="007117E1"/>
    <w:rsid w:val="00712C6A"/>
    <w:rsid w:val="007228BE"/>
    <w:rsid w:val="00730DAE"/>
    <w:rsid w:val="007339ED"/>
    <w:rsid w:val="0074158C"/>
    <w:rsid w:val="0075586E"/>
    <w:rsid w:val="0076437D"/>
    <w:rsid w:val="00773AF0"/>
    <w:rsid w:val="00781087"/>
    <w:rsid w:val="00781766"/>
    <w:rsid w:val="00781E7C"/>
    <w:rsid w:val="0078287C"/>
    <w:rsid w:val="007874F0"/>
    <w:rsid w:val="00790A1A"/>
    <w:rsid w:val="00796395"/>
    <w:rsid w:val="00796524"/>
    <w:rsid w:val="007A05A0"/>
    <w:rsid w:val="007A5D69"/>
    <w:rsid w:val="007A6D02"/>
    <w:rsid w:val="007A7CEE"/>
    <w:rsid w:val="007C10D5"/>
    <w:rsid w:val="007C2B6A"/>
    <w:rsid w:val="007E13B1"/>
    <w:rsid w:val="007E61B2"/>
    <w:rsid w:val="00802AE0"/>
    <w:rsid w:val="0080753B"/>
    <w:rsid w:val="00810FA0"/>
    <w:rsid w:val="0081658F"/>
    <w:rsid w:val="00827266"/>
    <w:rsid w:val="00827480"/>
    <w:rsid w:val="00837408"/>
    <w:rsid w:val="008471E5"/>
    <w:rsid w:val="00850E5B"/>
    <w:rsid w:val="008551AD"/>
    <w:rsid w:val="00855E47"/>
    <w:rsid w:val="00865DA7"/>
    <w:rsid w:val="00885659"/>
    <w:rsid w:val="00890C50"/>
    <w:rsid w:val="00893798"/>
    <w:rsid w:val="008A6928"/>
    <w:rsid w:val="008B49E1"/>
    <w:rsid w:val="008C4256"/>
    <w:rsid w:val="008C688D"/>
    <w:rsid w:val="008D074F"/>
    <w:rsid w:val="008D0A3F"/>
    <w:rsid w:val="008D48A5"/>
    <w:rsid w:val="008E14D6"/>
    <w:rsid w:val="008E6976"/>
    <w:rsid w:val="008F0538"/>
    <w:rsid w:val="0090288E"/>
    <w:rsid w:val="00912EB1"/>
    <w:rsid w:val="00922861"/>
    <w:rsid w:val="0095140F"/>
    <w:rsid w:val="00960C0B"/>
    <w:rsid w:val="009678B4"/>
    <w:rsid w:val="009713DD"/>
    <w:rsid w:val="00981CFD"/>
    <w:rsid w:val="00995E5C"/>
    <w:rsid w:val="009A0AD9"/>
    <w:rsid w:val="009A3206"/>
    <w:rsid w:val="009B4A83"/>
    <w:rsid w:val="009C5BC3"/>
    <w:rsid w:val="009D4D00"/>
    <w:rsid w:val="009D73B5"/>
    <w:rsid w:val="009E1685"/>
    <w:rsid w:val="009E1849"/>
    <w:rsid w:val="009E1EE5"/>
    <w:rsid w:val="009F43F0"/>
    <w:rsid w:val="009F76DB"/>
    <w:rsid w:val="009F7F10"/>
    <w:rsid w:val="00A04011"/>
    <w:rsid w:val="00A110B2"/>
    <w:rsid w:val="00A26CE9"/>
    <w:rsid w:val="00A37BB1"/>
    <w:rsid w:val="00A412BD"/>
    <w:rsid w:val="00A4754C"/>
    <w:rsid w:val="00A536EB"/>
    <w:rsid w:val="00A53A02"/>
    <w:rsid w:val="00A602B2"/>
    <w:rsid w:val="00A62AC0"/>
    <w:rsid w:val="00A63737"/>
    <w:rsid w:val="00A64CDF"/>
    <w:rsid w:val="00A77056"/>
    <w:rsid w:val="00A8416D"/>
    <w:rsid w:val="00A86AF0"/>
    <w:rsid w:val="00A87A9A"/>
    <w:rsid w:val="00AA0B4D"/>
    <w:rsid w:val="00AA1A82"/>
    <w:rsid w:val="00AA43F0"/>
    <w:rsid w:val="00AB30DD"/>
    <w:rsid w:val="00AC1411"/>
    <w:rsid w:val="00AC3DEB"/>
    <w:rsid w:val="00AC423D"/>
    <w:rsid w:val="00AE175A"/>
    <w:rsid w:val="00AE1D3A"/>
    <w:rsid w:val="00AE51CA"/>
    <w:rsid w:val="00AE7C7B"/>
    <w:rsid w:val="00AF04C8"/>
    <w:rsid w:val="00AF1669"/>
    <w:rsid w:val="00AF5F1D"/>
    <w:rsid w:val="00B00730"/>
    <w:rsid w:val="00B00BB8"/>
    <w:rsid w:val="00B2466C"/>
    <w:rsid w:val="00B3355F"/>
    <w:rsid w:val="00B368D6"/>
    <w:rsid w:val="00B37F12"/>
    <w:rsid w:val="00B40A6D"/>
    <w:rsid w:val="00B413E0"/>
    <w:rsid w:val="00B4737B"/>
    <w:rsid w:val="00B64279"/>
    <w:rsid w:val="00B65664"/>
    <w:rsid w:val="00B66FAE"/>
    <w:rsid w:val="00B67A52"/>
    <w:rsid w:val="00B72213"/>
    <w:rsid w:val="00B731FE"/>
    <w:rsid w:val="00B83D52"/>
    <w:rsid w:val="00B86082"/>
    <w:rsid w:val="00B86626"/>
    <w:rsid w:val="00B9183D"/>
    <w:rsid w:val="00BA6167"/>
    <w:rsid w:val="00BB7372"/>
    <w:rsid w:val="00BE16E7"/>
    <w:rsid w:val="00BF5CC1"/>
    <w:rsid w:val="00BF72B5"/>
    <w:rsid w:val="00C11399"/>
    <w:rsid w:val="00C2007D"/>
    <w:rsid w:val="00C20D7E"/>
    <w:rsid w:val="00C3022E"/>
    <w:rsid w:val="00C31F32"/>
    <w:rsid w:val="00C334D8"/>
    <w:rsid w:val="00C36E65"/>
    <w:rsid w:val="00C462D2"/>
    <w:rsid w:val="00C63427"/>
    <w:rsid w:val="00C667CB"/>
    <w:rsid w:val="00C730E7"/>
    <w:rsid w:val="00C7594C"/>
    <w:rsid w:val="00C75F30"/>
    <w:rsid w:val="00C82F2B"/>
    <w:rsid w:val="00C8789A"/>
    <w:rsid w:val="00C87BB3"/>
    <w:rsid w:val="00C92B5C"/>
    <w:rsid w:val="00CB259C"/>
    <w:rsid w:val="00CB7D37"/>
    <w:rsid w:val="00CC0B09"/>
    <w:rsid w:val="00CC32EF"/>
    <w:rsid w:val="00CC6035"/>
    <w:rsid w:val="00CD007E"/>
    <w:rsid w:val="00CD456A"/>
    <w:rsid w:val="00CF5162"/>
    <w:rsid w:val="00D076A6"/>
    <w:rsid w:val="00D15121"/>
    <w:rsid w:val="00D2185B"/>
    <w:rsid w:val="00D22085"/>
    <w:rsid w:val="00D24EA0"/>
    <w:rsid w:val="00D345B4"/>
    <w:rsid w:val="00D34C06"/>
    <w:rsid w:val="00D42AF3"/>
    <w:rsid w:val="00D46319"/>
    <w:rsid w:val="00D50453"/>
    <w:rsid w:val="00D64C28"/>
    <w:rsid w:val="00D70C0D"/>
    <w:rsid w:val="00D74276"/>
    <w:rsid w:val="00D75DA5"/>
    <w:rsid w:val="00DA045C"/>
    <w:rsid w:val="00DD6305"/>
    <w:rsid w:val="00DF4BE0"/>
    <w:rsid w:val="00DF63B2"/>
    <w:rsid w:val="00E0087F"/>
    <w:rsid w:val="00E13909"/>
    <w:rsid w:val="00E1589C"/>
    <w:rsid w:val="00E27877"/>
    <w:rsid w:val="00E337EE"/>
    <w:rsid w:val="00E33D03"/>
    <w:rsid w:val="00E33E02"/>
    <w:rsid w:val="00E379ED"/>
    <w:rsid w:val="00E500B1"/>
    <w:rsid w:val="00E6184E"/>
    <w:rsid w:val="00E62A95"/>
    <w:rsid w:val="00E652D3"/>
    <w:rsid w:val="00E74721"/>
    <w:rsid w:val="00E74B00"/>
    <w:rsid w:val="00E74B05"/>
    <w:rsid w:val="00E76AFA"/>
    <w:rsid w:val="00E870BD"/>
    <w:rsid w:val="00E874AC"/>
    <w:rsid w:val="00E91089"/>
    <w:rsid w:val="00E97BDE"/>
    <w:rsid w:val="00EA343D"/>
    <w:rsid w:val="00EA3A1D"/>
    <w:rsid w:val="00ED2063"/>
    <w:rsid w:val="00ED3491"/>
    <w:rsid w:val="00EF40B0"/>
    <w:rsid w:val="00EF504F"/>
    <w:rsid w:val="00F240D8"/>
    <w:rsid w:val="00F3056F"/>
    <w:rsid w:val="00F34C67"/>
    <w:rsid w:val="00F36C5D"/>
    <w:rsid w:val="00F36D58"/>
    <w:rsid w:val="00F43A7B"/>
    <w:rsid w:val="00F66F83"/>
    <w:rsid w:val="00F6787B"/>
    <w:rsid w:val="00F82329"/>
    <w:rsid w:val="00F83DFE"/>
    <w:rsid w:val="00F938ED"/>
    <w:rsid w:val="00FB083D"/>
    <w:rsid w:val="00FC1E56"/>
    <w:rsid w:val="00FC7EE9"/>
    <w:rsid w:val="00FD0148"/>
    <w:rsid w:val="00FD0A65"/>
    <w:rsid w:val="00FD1F84"/>
    <w:rsid w:val="00FE1411"/>
    <w:rsid w:val="00FF0639"/>
    <w:rsid w:val="00FF3DB7"/>
    <w:rsid w:val="00FF5DBD"/>
    <w:rsid w:val="013668DD"/>
    <w:rsid w:val="02243E86"/>
    <w:rsid w:val="02DF10D0"/>
    <w:rsid w:val="031F750E"/>
    <w:rsid w:val="0337075B"/>
    <w:rsid w:val="043B2E99"/>
    <w:rsid w:val="059B3BB8"/>
    <w:rsid w:val="074B0457"/>
    <w:rsid w:val="07945D69"/>
    <w:rsid w:val="07B07C31"/>
    <w:rsid w:val="07F707B8"/>
    <w:rsid w:val="080E0DA5"/>
    <w:rsid w:val="082E692A"/>
    <w:rsid w:val="08D14ADF"/>
    <w:rsid w:val="090F3258"/>
    <w:rsid w:val="094B66CA"/>
    <w:rsid w:val="095F168B"/>
    <w:rsid w:val="09FE40C3"/>
    <w:rsid w:val="0A2D5949"/>
    <w:rsid w:val="0AC22CCF"/>
    <w:rsid w:val="0B940851"/>
    <w:rsid w:val="0C21005B"/>
    <w:rsid w:val="0C2D063B"/>
    <w:rsid w:val="0C311C98"/>
    <w:rsid w:val="0D115DFA"/>
    <w:rsid w:val="0D861496"/>
    <w:rsid w:val="0DB70870"/>
    <w:rsid w:val="0E7D3A55"/>
    <w:rsid w:val="0F4A5496"/>
    <w:rsid w:val="0FAE4413"/>
    <w:rsid w:val="0FBE119A"/>
    <w:rsid w:val="1040414A"/>
    <w:rsid w:val="10A63487"/>
    <w:rsid w:val="11764779"/>
    <w:rsid w:val="117957DD"/>
    <w:rsid w:val="11DC1FCF"/>
    <w:rsid w:val="139231D1"/>
    <w:rsid w:val="155E3C6D"/>
    <w:rsid w:val="163C003B"/>
    <w:rsid w:val="16DC2968"/>
    <w:rsid w:val="1890386F"/>
    <w:rsid w:val="19904262"/>
    <w:rsid w:val="19B3665B"/>
    <w:rsid w:val="1AAD1BF2"/>
    <w:rsid w:val="1AB06132"/>
    <w:rsid w:val="1AC9523E"/>
    <w:rsid w:val="1AF24C92"/>
    <w:rsid w:val="1B2349D2"/>
    <w:rsid w:val="1D410CD9"/>
    <w:rsid w:val="1D6E13DE"/>
    <w:rsid w:val="1DD04AF0"/>
    <w:rsid w:val="1E83679C"/>
    <w:rsid w:val="1EEB0E56"/>
    <w:rsid w:val="1F033DEB"/>
    <w:rsid w:val="1F3A5C6A"/>
    <w:rsid w:val="1FC5238A"/>
    <w:rsid w:val="200D4C57"/>
    <w:rsid w:val="203320A2"/>
    <w:rsid w:val="2039534F"/>
    <w:rsid w:val="20B83CF5"/>
    <w:rsid w:val="219159DE"/>
    <w:rsid w:val="21CE7309"/>
    <w:rsid w:val="22326DED"/>
    <w:rsid w:val="224E7FFE"/>
    <w:rsid w:val="22533744"/>
    <w:rsid w:val="22597DFA"/>
    <w:rsid w:val="225E163E"/>
    <w:rsid w:val="22727335"/>
    <w:rsid w:val="227D65F5"/>
    <w:rsid w:val="22D868D8"/>
    <w:rsid w:val="230C0F93"/>
    <w:rsid w:val="237009F7"/>
    <w:rsid w:val="23923E3F"/>
    <w:rsid w:val="24163D05"/>
    <w:rsid w:val="248448BC"/>
    <w:rsid w:val="24C653EA"/>
    <w:rsid w:val="24DE47E9"/>
    <w:rsid w:val="25BA6949"/>
    <w:rsid w:val="25C437D4"/>
    <w:rsid w:val="25FC0F63"/>
    <w:rsid w:val="26720902"/>
    <w:rsid w:val="26B341D8"/>
    <w:rsid w:val="271755E5"/>
    <w:rsid w:val="27D26BA8"/>
    <w:rsid w:val="27F960E9"/>
    <w:rsid w:val="28565838"/>
    <w:rsid w:val="291D1613"/>
    <w:rsid w:val="296C338F"/>
    <w:rsid w:val="29E94171"/>
    <w:rsid w:val="29FC7AA1"/>
    <w:rsid w:val="2A581A9F"/>
    <w:rsid w:val="2ABD2E93"/>
    <w:rsid w:val="2B8042F4"/>
    <w:rsid w:val="2D254351"/>
    <w:rsid w:val="2DED6070"/>
    <w:rsid w:val="2E390E72"/>
    <w:rsid w:val="2E756701"/>
    <w:rsid w:val="2F8C116C"/>
    <w:rsid w:val="31B96B45"/>
    <w:rsid w:val="31FA10F5"/>
    <w:rsid w:val="323A3FE3"/>
    <w:rsid w:val="327971FC"/>
    <w:rsid w:val="32E14A9C"/>
    <w:rsid w:val="33113887"/>
    <w:rsid w:val="3355548A"/>
    <w:rsid w:val="34181626"/>
    <w:rsid w:val="3460459B"/>
    <w:rsid w:val="34624BF6"/>
    <w:rsid w:val="34DB0FDF"/>
    <w:rsid w:val="34E43EC2"/>
    <w:rsid w:val="35305BC0"/>
    <w:rsid w:val="35C92F9B"/>
    <w:rsid w:val="37260FD5"/>
    <w:rsid w:val="37520E3F"/>
    <w:rsid w:val="37A41E75"/>
    <w:rsid w:val="37E63DDE"/>
    <w:rsid w:val="38375228"/>
    <w:rsid w:val="39022931"/>
    <w:rsid w:val="39545F5D"/>
    <w:rsid w:val="39812063"/>
    <w:rsid w:val="398C1712"/>
    <w:rsid w:val="398E3AFD"/>
    <w:rsid w:val="39C331A5"/>
    <w:rsid w:val="39E15EAD"/>
    <w:rsid w:val="3AA65A11"/>
    <w:rsid w:val="3B406264"/>
    <w:rsid w:val="3C3C7091"/>
    <w:rsid w:val="3C4C34FC"/>
    <w:rsid w:val="3D683AA5"/>
    <w:rsid w:val="3E29599B"/>
    <w:rsid w:val="3E565AB5"/>
    <w:rsid w:val="3E625214"/>
    <w:rsid w:val="3EAA628A"/>
    <w:rsid w:val="3EE914B4"/>
    <w:rsid w:val="3F806A1A"/>
    <w:rsid w:val="40303E78"/>
    <w:rsid w:val="4067187C"/>
    <w:rsid w:val="41757A89"/>
    <w:rsid w:val="41B33FA8"/>
    <w:rsid w:val="42257F0B"/>
    <w:rsid w:val="423039D9"/>
    <w:rsid w:val="423C6E38"/>
    <w:rsid w:val="44717845"/>
    <w:rsid w:val="4490274F"/>
    <w:rsid w:val="45483B3D"/>
    <w:rsid w:val="45B65EC1"/>
    <w:rsid w:val="461B2442"/>
    <w:rsid w:val="463F1FEA"/>
    <w:rsid w:val="465604F8"/>
    <w:rsid w:val="470C6CFD"/>
    <w:rsid w:val="47AD4807"/>
    <w:rsid w:val="47DF078D"/>
    <w:rsid w:val="48BC363D"/>
    <w:rsid w:val="49603494"/>
    <w:rsid w:val="49C11C66"/>
    <w:rsid w:val="4A4203BD"/>
    <w:rsid w:val="4A8708FD"/>
    <w:rsid w:val="4AA023A8"/>
    <w:rsid w:val="4B030E6F"/>
    <w:rsid w:val="4C3F0E34"/>
    <w:rsid w:val="4C8B57B6"/>
    <w:rsid w:val="4D8A2871"/>
    <w:rsid w:val="4DD93D7A"/>
    <w:rsid w:val="4E8F2E8C"/>
    <w:rsid w:val="4EFD0BA0"/>
    <w:rsid w:val="4F347E4C"/>
    <w:rsid w:val="4F713A6A"/>
    <w:rsid w:val="4FB377C1"/>
    <w:rsid w:val="50AF18DD"/>
    <w:rsid w:val="51812CFF"/>
    <w:rsid w:val="52060AE5"/>
    <w:rsid w:val="522F493F"/>
    <w:rsid w:val="526D7E82"/>
    <w:rsid w:val="52FC2D24"/>
    <w:rsid w:val="53A6314A"/>
    <w:rsid w:val="53B244F9"/>
    <w:rsid w:val="53F60BA3"/>
    <w:rsid w:val="547005C9"/>
    <w:rsid w:val="54805348"/>
    <w:rsid w:val="54913875"/>
    <w:rsid w:val="54A63492"/>
    <w:rsid w:val="55040D0F"/>
    <w:rsid w:val="55157F80"/>
    <w:rsid w:val="55852102"/>
    <w:rsid w:val="55987E84"/>
    <w:rsid w:val="562E02A8"/>
    <w:rsid w:val="56A1751B"/>
    <w:rsid w:val="572F3DB3"/>
    <w:rsid w:val="575A388A"/>
    <w:rsid w:val="57AD3EC3"/>
    <w:rsid w:val="58445665"/>
    <w:rsid w:val="584E3FF0"/>
    <w:rsid w:val="58835367"/>
    <w:rsid w:val="59ED3F8E"/>
    <w:rsid w:val="59EE5A37"/>
    <w:rsid w:val="5A1E2D2F"/>
    <w:rsid w:val="5A2E29BB"/>
    <w:rsid w:val="5ACF1D6B"/>
    <w:rsid w:val="5AFD529F"/>
    <w:rsid w:val="5B706BD7"/>
    <w:rsid w:val="5BE76C46"/>
    <w:rsid w:val="5C2C250E"/>
    <w:rsid w:val="5CA60509"/>
    <w:rsid w:val="5CD60EB2"/>
    <w:rsid w:val="5E23422B"/>
    <w:rsid w:val="5E926A7E"/>
    <w:rsid w:val="5EAB13FC"/>
    <w:rsid w:val="5EBA3A4D"/>
    <w:rsid w:val="6021358D"/>
    <w:rsid w:val="60A7201B"/>
    <w:rsid w:val="60C03904"/>
    <w:rsid w:val="61166F2B"/>
    <w:rsid w:val="62172621"/>
    <w:rsid w:val="62505A92"/>
    <w:rsid w:val="626D0CDB"/>
    <w:rsid w:val="62A30BF0"/>
    <w:rsid w:val="63326326"/>
    <w:rsid w:val="63B80ED0"/>
    <w:rsid w:val="63D52C8B"/>
    <w:rsid w:val="640B47B9"/>
    <w:rsid w:val="64442F45"/>
    <w:rsid w:val="64535A69"/>
    <w:rsid w:val="6496490E"/>
    <w:rsid w:val="64FB4586"/>
    <w:rsid w:val="65150DD9"/>
    <w:rsid w:val="654301AA"/>
    <w:rsid w:val="6576769F"/>
    <w:rsid w:val="658E24DF"/>
    <w:rsid w:val="66374EF9"/>
    <w:rsid w:val="66590D1C"/>
    <w:rsid w:val="666B0C7D"/>
    <w:rsid w:val="66813D5A"/>
    <w:rsid w:val="67B85961"/>
    <w:rsid w:val="69D7256A"/>
    <w:rsid w:val="6BE71798"/>
    <w:rsid w:val="6CA1681C"/>
    <w:rsid w:val="6D787E2B"/>
    <w:rsid w:val="6E2E1FB9"/>
    <w:rsid w:val="6EE34E03"/>
    <w:rsid w:val="6F532F27"/>
    <w:rsid w:val="6F6B6F3F"/>
    <w:rsid w:val="6F783756"/>
    <w:rsid w:val="6F7E6B08"/>
    <w:rsid w:val="6FFA5510"/>
    <w:rsid w:val="709977D0"/>
    <w:rsid w:val="70C606AD"/>
    <w:rsid w:val="70F27E37"/>
    <w:rsid w:val="71447A9C"/>
    <w:rsid w:val="725F7AB5"/>
    <w:rsid w:val="72B074F9"/>
    <w:rsid w:val="730C767B"/>
    <w:rsid w:val="755D2EE4"/>
    <w:rsid w:val="75B3698D"/>
    <w:rsid w:val="75FF66CD"/>
    <w:rsid w:val="77D90711"/>
    <w:rsid w:val="77E620EC"/>
    <w:rsid w:val="7A3A7DE9"/>
    <w:rsid w:val="7AC42E88"/>
    <w:rsid w:val="7ACF3A01"/>
    <w:rsid w:val="7ADC20BA"/>
    <w:rsid w:val="7CAB1241"/>
    <w:rsid w:val="7CDC26B2"/>
    <w:rsid w:val="7CDD0578"/>
    <w:rsid w:val="7D5A4370"/>
    <w:rsid w:val="7D667C1D"/>
    <w:rsid w:val="7DB606D9"/>
    <w:rsid w:val="7E052B77"/>
    <w:rsid w:val="7E1B65BB"/>
    <w:rsid w:val="7E3930CB"/>
    <w:rsid w:val="7E5476FE"/>
    <w:rsid w:val="7F215092"/>
    <w:rsid w:val="7F26706D"/>
    <w:rsid w:val="7F3E7D2F"/>
    <w:rsid w:val="7F8774EF"/>
    <w:rsid w:val="7F921A57"/>
    <w:rsid w:val="7F930A10"/>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914" w:firstLineChars="200"/>
    </w:pPr>
    <w:rPr>
      <w:rFonts w:ascii="Times New Roman" w:hAnsi="Times New Roman" w:eastAsia="方正仿宋_GBK" w:cstheme="minorBidi"/>
      <w:kern w:val="2"/>
      <w:sz w:val="32"/>
      <w:szCs w:val="32"/>
      <w:lang w:val="en-US" w:eastAsia="zh-CN" w:bidi="ar-SA"/>
    </w:rPr>
  </w:style>
  <w:style w:type="paragraph" w:styleId="3">
    <w:name w:val="heading 1"/>
    <w:basedOn w:val="1"/>
    <w:next w:val="1"/>
    <w:qFormat/>
    <w:uiPriority w:val="0"/>
    <w:pPr>
      <w:keepNext/>
      <w:spacing w:before="240" w:after="60" w:line="360" w:lineRule="auto"/>
      <w:ind w:firstLine="0" w:firstLineChars="0"/>
      <w:jc w:val="center"/>
      <w:outlineLvl w:val="0"/>
    </w:pPr>
    <w:rPr>
      <w:rFonts w:ascii="Arial" w:hAnsi="Arial" w:eastAsia="方正小标宋_GBK" w:cs="Arial"/>
      <w:bCs/>
      <w:kern w:val="32"/>
    </w:rPr>
  </w:style>
  <w:style w:type="paragraph" w:styleId="4">
    <w:name w:val="heading 2"/>
    <w:basedOn w:val="1"/>
    <w:next w:val="1"/>
    <w:link w:val="132"/>
    <w:unhideWhenUsed/>
    <w:qFormat/>
    <w:uiPriority w:val="0"/>
    <w:pPr>
      <w:keepNext/>
      <w:keepLines/>
      <w:numPr>
        <w:ilvl w:val="0"/>
        <w:numId w:val="1"/>
      </w:numPr>
      <w:outlineLvl w:val="1"/>
    </w:pPr>
    <w:rPr>
      <w:rFonts w:eastAsia="方正黑体_GBK" w:asciiTheme="majorHAnsi" w:hAnsiTheme="majorHAnsi" w:cstheme="majorBidi"/>
      <w:bCs/>
    </w:rPr>
  </w:style>
  <w:style w:type="paragraph" w:styleId="5">
    <w:name w:val="heading 3"/>
    <w:basedOn w:val="1"/>
    <w:next w:val="1"/>
    <w:link w:val="131"/>
    <w:unhideWhenUsed/>
    <w:qFormat/>
    <w:uiPriority w:val="0"/>
    <w:pPr>
      <w:keepNext/>
      <w:keepLines/>
      <w:outlineLvl w:val="2"/>
    </w:pPr>
    <w:rPr>
      <w:rFonts w:eastAsia="方正楷体_GBK" w:asciiTheme="minorHAnsi" w:hAnsiTheme="minorHAnsi"/>
      <w:bCs/>
    </w:rPr>
  </w:style>
  <w:style w:type="paragraph" w:styleId="6">
    <w:name w:val="heading 4"/>
    <w:basedOn w:val="1"/>
    <w:next w:val="1"/>
    <w:link w:val="13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unhideWhenUsed/>
    <w:qFormat/>
    <w:uiPriority w:val="0"/>
    <w:pPr>
      <w:keepNext/>
      <w:keepLines/>
      <w:spacing w:before="280" w:after="290" w:line="372" w:lineRule="auto"/>
      <w:outlineLvl w:val="4"/>
    </w:pPr>
    <w:rPr>
      <w:b/>
      <w:sz w:val="28"/>
    </w:rPr>
  </w:style>
  <w:style w:type="paragraph" w:styleId="8">
    <w:name w:val="heading 7"/>
    <w:basedOn w:val="1"/>
    <w:next w:val="1"/>
    <w:qFormat/>
    <w:uiPriority w:val="1"/>
    <w:pPr>
      <w:ind w:left="710" w:hanging="455"/>
      <w:outlineLvl w:val="6"/>
    </w:pPr>
    <w:rPr>
      <w:rFonts w:ascii="微软雅黑" w:hAnsi="微软雅黑" w:eastAsia="微软雅黑" w:cs="微软雅黑"/>
      <w:b/>
      <w:bCs/>
      <w:sz w:val="36"/>
      <w:szCs w:val="36"/>
      <w:lang w:val="zh-CN" w:bidi="zh-CN"/>
    </w:rPr>
  </w:style>
  <w:style w:type="character" w:default="1" w:styleId="22">
    <w:name w:val="Default Paragraph Font"/>
    <w:unhideWhenUsed/>
    <w:qFormat/>
    <w:uiPriority w:val="1"/>
  </w:style>
  <w:style w:type="table" w:default="1" w:styleId="28">
    <w:name w:val="Normal Table"/>
    <w:unhideWhenUsed/>
    <w:qFormat/>
    <w:uiPriority w:val="99"/>
    <w:tblPr>
      <w:tblLayout w:type="fixed"/>
      <w:tblCellMar>
        <w:top w:w="0" w:type="dxa"/>
        <w:left w:w="108" w:type="dxa"/>
        <w:bottom w:w="0" w:type="dxa"/>
        <w:right w:w="108" w:type="dxa"/>
      </w:tblCellMar>
    </w:tblPr>
  </w:style>
  <w:style w:type="paragraph" w:styleId="2">
    <w:name w:val="Title"/>
    <w:basedOn w:val="1"/>
    <w:next w:val="1"/>
    <w:qFormat/>
    <w:uiPriority w:val="10"/>
    <w:pPr>
      <w:spacing w:before="240" w:after="60"/>
      <w:jc w:val="center"/>
    </w:pPr>
    <w:rPr>
      <w:rFonts w:ascii="Cambria" w:hAnsi="Cambria" w:cs="Times New Roman"/>
      <w:b/>
      <w:bCs/>
    </w:rPr>
  </w:style>
  <w:style w:type="paragraph" w:styleId="9">
    <w:name w:val="annotation subject"/>
    <w:basedOn w:val="10"/>
    <w:next w:val="10"/>
    <w:link w:val="127"/>
    <w:unhideWhenUsed/>
    <w:qFormat/>
    <w:uiPriority w:val="99"/>
    <w:pPr>
      <w:spacing w:line="640" w:lineRule="exact"/>
    </w:pPr>
    <w:rPr>
      <w:b/>
      <w:bCs/>
      <w:szCs w:val="22"/>
    </w:rPr>
  </w:style>
  <w:style w:type="paragraph" w:styleId="10">
    <w:name w:val="annotation text"/>
    <w:basedOn w:val="1"/>
    <w:link w:val="126"/>
    <w:qFormat/>
    <w:uiPriority w:val="0"/>
  </w:style>
  <w:style w:type="paragraph" w:styleId="11">
    <w:name w:val="Body Text"/>
    <w:basedOn w:val="1"/>
    <w:next w:val="1"/>
    <w:link w:val="133"/>
    <w:qFormat/>
    <w:uiPriority w:val="1"/>
    <w:pPr>
      <w:spacing w:line="640" w:lineRule="exact"/>
      <w:ind w:left="119"/>
    </w:pPr>
    <w:rPr>
      <w:rFonts w:ascii="宋体" w:hAnsi="宋体" w:eastAsia="宋体" w:cs="宋体"/>
    </w:rPr>
  </w:style>
  <w:style w:type="paragraph" w:styleId="12">
    <w:name w:val="Body Text Indent"/>
    <w:basedOn w:val="1"/>
    <w:qFormat/>
    <w:uiPriority w:val="0"/>
    <w:pPr>
      <w:spacing w:after="120" w:line="240" w:lineRule="auto"/>
      <w:ind w:left="420" w:leftChars="200" w:firstLine="0" w:firstLineChars="0"/>
    </w:pPr>
    <w:rPr>
      <w:rFonts w:eastAsia="宋体"/>
      <w:sz w:val="21"/>
      <w:szCs w:val="24"/>
    </w:rPr>
  </w:style>
  <w:style w:type="paragraph" w:styleId="13">
    <w:name w:val="Plain Text"/>
    <w:basedOn w:val="1"/>
    <w:qFormat/>
    <w:uiPriority w:val="0"/>
    <w:rPr>
      <w:rFonts w:ascii="宋体" w:hAnsi="Courier New" w:eastAsia="宋体" w:cs="Courier New"/>
      <w:sz w:val="21"/>
      <w:szCs w:val="21"/>
    </w:rPr>
  </w:style>
  <w:style w:type="paragraph" w:styleId="14">
    <w:name w:val="Balloon Text"/>
    <w:basedOn w:val="1"/>
    <w:link w:val="137"/>
    <w:qFormat/>
    <w:uiPriority w:val="0"/>
    <w:rPr>
      <w:sz w:val="18"/>
      <w:szCs w:val="18"/>
    </w:rPr>
  </w:style>
  <w:style w:type="paragraph" w:styleId="15">
    <w:name w:val="footer"/>
    <w:basedOn w:val="1"/>
    <w:link w:val="129"/>
    <w:qFormat/>
    <w:uiPriority w:val="99"/>
    <w:pPr>
      <w:tabs>
        <w:tab w:val="center" w:pos="4153"/>
        <w:tab w:val="right" w:pos="8306"/>
      </w:tabs>
      <w:snapToGrid w:val="0"/>
    </w:pPr>
    <w:rPr>
      <w:sz w:val="18"/>
      <w:szCs w:val="18"/>
    </w:rPr>
  </w:style>
  <w:style w:type="paragraph" w:styleId="16">
    <w:name w:val="Body Text First Indent 2"/>
    <w:basedOn w:val="12"/>
    <w:qFormat/>
    <w:uiPriority w:val="0"/>
    <w:pPr>
      <w:ind w:firstLine="420" w:firstLineChars="200"/>
    </w:pPr>
  </w:style>
  <w:style w:type="paragraph" w:styleId="17">
    <w:name w:val="header"/>
    <w:basedOn w:val="1"/>
    <w:link w:val="128"/>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left" w:pos="910"/>
        <w:tab w:val="right" w:leader="dot" w:pos="8398"/>
      </w:tabs>
    </w:pPr>
    <w:rPr>
      <w:rFonts w:eastAsia="方正黑体_GBK"/>
      <w:sz w:val="28"/>
    </w:rPr>
  </w:style>
  <w:style w:type="paragraph" w:styleId="19">
    <w:name w:val="footnote text"/>
    <w:basedOn w:val="1"/>
    <w:link w:val="136"/>
    <w:qFormat/>
    <w:uiPriority w:val="0"/>
    <w:pPr>
      <w:snapToGrid w:val="0"/>
    </w:pPr>
    <w:rPr>
      <w:sz w:val="18"/>
      <w:szCs w:val="18"/>
    </w:rPr>
  </w:style>
  <w:style w:type="paragraph" w:styleId="20">
    <w:name w:val="toc 2"/>
    <w:basedOn w:val="1"/>
    <w:next w:val="1"/>
    <w:qFormat/>
    <w:uiPriority w:val="39"/>
    <w:pPr>
      <w:tabs>
        <w:tab w:val="left" w:pos="985"/>
        <w:tab w:val="right" w:leader="dot" w:pos="8398"/>
      </w:tabs>
      <w:ind w:left="420" w:leftChars="200"/>
    </w:pPr>
    <w:rPr>
      <w:sz w:val="28"/>
    </w:rPr>
  </w:style>
  <w:style w:type="paragraph" w:styleId="21">
    <w:name w:val="Normal (Web)"/>
    <w:basedOn w:val="1"/>
    <w:qFormat/>
    <w:uiPriority w:val="0"/>
    <w:pPr>
      <w:spacing w:beforeAutospacing="1" w:afterAutospacing="1"/>
    </w:pPr>
    <w:rPr>
      <w:rFonts w:cs="Times New Roman"/>
      <w:kern w:val="0"/>
      <w:sz w:val="24"/>
    </w:rPr>
  </w:style>
  <w:style w:type="character" w:styleId="23">
    <w:name w:val="Strong"/>
    <w:basedOn w:val="22"/>
    <w:qFormat/>
    <w:uiPriority w:val="0"/>
    <w:rPr>
      <w:b/>
    </w:rPr>
  </w:style>
  <w:style w:type="character" w:styleId="24">
    <w:name w:val="FollowedHyperlink"/>
    <w:basedOn w:val="22"/>
    <w:qFormat/>
    <w:uiPriority w:val="0"/>
    <w:rPr>
      <w:color w:val="000000"/>
      <w:u w:val="none"/>
    </w:rPr>
  </w:style>
  <w:style w:type="character" w:styleId="25">
    <w:name w:val="Emphasis"/>
    <w:basedOn w:val="22"/>
    <w:qFormat/>
    <w:uiPriority w:val="0"/>
    <w:rPr>
      <w:i/>
    </w:rPr>
  </w:style>
  <w:style w:type="character" w:styleId="26">
    <w:name w:val="Hyperlink"/>
    <w:basedOn w:val="22"/>
    <w:qFormat/>
    <w:uiPriority w:val="99"/>
    <w:rPr>
      <w:color w:val="000000"/>
      <w:u w:val="none"/>
    </w:rPr>
  </w:style>
  <w:style w:type="character" w:styleId="27">
    <w:name w:val="footnote reference"/>
    <w:basedOn w:val="22"/>
    <w:qFormat/>
    <w:uiPriority w:val="0"/>
    <w:rPr>
      <w:vertAlign w:val="superscript"/>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0">
    <w:name w:val="ico9"/>
    <w:basedOn w:val="22"/>
    <w:qFormat/>
    <w:uiPriority w:val="0"/>
  </w:style>
  <w:style w:type="character" w:customStyle="1" w:styleId="31">
    <w:name w:val="ico12"/>
    <w:basedOn w:val="22"/>
    <w:qFormat/>
    <w:uiPriority w:val="0"/>
  </w:style>
  <w:style w:type="character" w:customStyle="1" w:styleId="32">
    <w:name w:val="ico7"/>
    <w:basedOn w:val="22"/>
    <w:qFormat/>
    <w:uiPriority w:val="0"/>
  </w:style>
  <w:style w:type="character" w:customStyle="1" w:styleId="33">
    <w:name w:val="ico71"/>
    <w:basedOn w:val="22"/>
    <w:qFormat/>
    <w:uiPriority w:val="0"/>
  </w:style>
  <w:style w:type="character" w:customStyle="1" w:styleId="34">
    <w:name w:val="ico72"/>
    <w:basedOn w:val="22"/>
    <w:qFormat/>
    <w:uiPriority w:val="0"/>
  </w:style>
  <w:style w:type="character" w:customStyle="1" w:styleId="35">
    <w:name w:val="enter"/>
    <w:basedOn w:val="22"/>
    <w:qFormat/>
    <w:uiPriority w:val="0"/>
    <w:rPr>
      <w:sz w:val="18"/>
      <w:szCs w:val="18"/>
    </w:rPr>
  </w:style>
  <w:style w:type="character" w:customStyle="1" w:styleId="36">
    <w:name w:val="ico6"/>
    <w:basedOn w:val="22"/>
    <w:qFormat/>
    <w:uiPriority w:val="0"/>
  </w:style>
  <w:style w:type="character" w:customStyle="1" w:styleId="37">
    <w:name w:val="ico61"/>
    <w:basedOn w:val="22"/>
    <w:qFormat/>
    <w:uiPriority w:val="0"/>
  </w:style>
  <w:style w:type="character" w:customStyle="1" w:styleId="38">
    <w:name w:val="ico62"/>
    <w:basedOn w:val="22"/>
    <w:qFormat/>
    <w:uiPriority w:val="0"/>
  </w:style>
  <w:style w:type="character" w:customStyle="1" w:styleId="39">
    <w:name w:val="ico63"/>
    <w:basedOn w:val="22"/>
    <w:qFormat/>
    <w:uiPriority w:val="0"/>
  </w:style>
  <w:style w:type="character" w:customStyle="1" w:styleId="40">
    <w:name w:val="ico64"/>
    <w:basedOn w:val="22"/>
    <w:qFormat/>
    <w:uiPriority w:val="0"/>
  </w:style>
  <w:style w:type="character" w:customStyle="1" w:styleId="41">
    <w:name w:val="ico65"/>
    <w:basedOn w:val="22"/>
    <w:qFormat/>
    <w:uiPriority w:val="0"/>
  </w:style>
  <w:style w:type="character" w:customStyle="1" w:styleId="42">
    <w:name w:val="w24"/>
    <w:basedOn w:val="22"/>
    <w:qFormat/>
    <w:uiPriority w:val="0"/>
  </w:style>
  <w:style w:type="character" w:customStyle="1" w:styleId="43">
    <w:name w:val="ico2"/>
    <w:basedOn w:val="22"/>
    <w:qFormat/>
    <w:uiPriority w:val="0"/>
  </w:style>
  <w:style w:type="character" w:customStyle="1" w:styleId="44">
    <w:name w:val="ico21"/>
    <w:basedOn w:val="22"/>
    <w:qFormat/>
    <w:uiPriority w:val="0"/>
  </w:style>
  <w:style w:type="character" w:customStyle="1" w:styleId="45">
    <w:name w:val="ico22"/>
    <w:basedOn w:val="22"/>
    <w:qFormat/>
    <w:uiPriority w:val="0"/>
  </w:style>
  <w:style w:type="character" w:customStyle="1" w:styleId="46">
    <w:name w:val="ico23"/>
    <w:basedOn w:val="22"/>
    <w:qFormat/>
    <w:uiPriority w:val="0"/>
  </w:style>
  <w:style w:type="character" w:customStyle="1" w:styleId="47">
    <w:name w:val="ico24"/>
    <w:basedOn w:val="22"/>
    <w:qFormat/>
    <w:uiPriority w:val="0"/>
  </w:style>
  <w:style w:type="character" w:customStyle="1" w:styleId="48">
    <w:name w:val="ico25"/>
    <w:basedOn w:val="22"/>
    <w:qFormat/>
    <w:uiPriority w:val="0"/>
  </w:style>
  <w:style w:type="character" w:customStyle="1" w:styleId="49">
    <w:name w:val="ico26"/>
    <w:basedOn w:val="22"/>
    <w:qFormat/>
    <w:uiPriority w:val="0"/>
  </w:style>
  <w:style w:type="character" w:customStyle="1" w:styleId="50">
    <w:name w:val="ico27"/>
    <w:basedOn w:val="22"/>
    <w:qFormat/>
    <w:uiPriority w:val="0"/>
  </w:style>
  <w:style w:type="character" w:customStyle="1" w:styleId="51">
    <w:name w:val="ico28"/>
    <w:basedOn w:val="22"/>
    <w:qFormat/>
    <w:uiPriority w:val="0"/>
  </w:style>
  <w:style w:type="character" w:customStyle="1" w:styleId="52">
    <w:name w:val="ico1"/>
    <w:basedOn w:val="22"/>
    <w:qFormat/>
    <w:uiPriority w:val="0"/>
  </w:style>
  <w:style w:type="character" w:customStyle="1" w:styleId="53">
    <w:name w:val="ico11"/>
    <w:basedOn w:val="22"/>
    <w:qFormat/>
    <w:uiPriority w:val="0"/>
  </w:style>
  <w:style w:type="character" w:customStyle="1" w:styleId="54">
    <w:name w:val="ico13"/>
    <w:basedOn w:val="22"/>
    <w:qFormat/>
    <w:uiPriority w:val="0"/>
  </w:style>
  <w:style w:type="character" w:customStyle="1" w:styleId="55">
    <w:name w:val="ico14"/>
    <w:basedOn w:val="22"/>
    <w:qFormat/>
    <w:uiPriority w:val="0"/>
  </w:style>
  <w:style w:type="character" w:customStyle="1" w:styleId="56">
    <w:name w:val="ico15"/>
    <w:basedOn w:val="22"/>
    <w:qFormat/>
    <w:uiPriority w:val="0"/>
  </w:style>
  <w:style w:type="character" w:customStyle="1" w:styleId="57">
    <w:name w:val="ico16"/>
    <w:basedOn w:val="22"/>
    <w:qFormat/>
    <w:uiPriority w:val="0"/>
  </w:style>
  <w:style w:type="character" w:customStyle="1" w:styleId="58">
    <w:name w:val="ico17"/>
    <w:basedOn w:val="22"/>
    <w:qFormat/>
    <w:uiPriority w:val="0"/>
  </w:style>
  <w:style w:type="character" w:customStyle="1" w:styleId="59">
    <w:name w:val="ico18"/>
    <w:basedOn w:val="22"/>
    <w:qFormat/>
    <w:uiPriority w:val="0"/>
  </w:style>
  <w:style w:type="character" w:customStyle="1" w:styleId="60">
    <w:name w:val="ico19"/>
    <w:basedOn w:val="22"/>
    <w:qFormat/>
    <w:uiPriority w:val="0"/>
  </w:style>
  <w:style w:type="character" w:customStyle="1" w:styleId="61">
    <w:name w:val="ico3"/>
    <w:basedOn w:val="22"/>
    <w:qFormat/>
    <w:uiPriority w:val="0"/>
  </w:style>
  <w:style w:type="character" w:customStyle="1" w:styleId="62">
    <w:name w:val="ico31"/>
    <w:basedOn w:val="22"/>
    <w:qFormat/>
    <w:uiPriority w:val="0"/>
  </w:style>
  <w:style w:type="character" w:customStyle="1" w:styleId="63">
    <w:name w:val="ico32"/>
    <w:basedOn w:val="22"/>
    <w:qFormat/>
    <w:uiPriority w:val="0"/>
  </w:style>
  <w:style w:type="character" w:customStyle="1" w:styleId="64">
    <w:name w:val="ico33"/>
    <w:basedOn w:val="22"/>
    <w:qFormat/>
    <w:uiPriority w:val="0"/>
  </w:style>
  <w:style w:type="character" w:customStyle="1" w:styleId="65">
    <w:name w:val="ico34"/>
    <w:basedOn w:val="22"/>
    <w:qFormat/>
    <w:uiPriority w:val="0"/>
  </w:style>
  <w:style w:type="character" w:customStyle="1" w:styleId="66">
    <w:name w:val="ico35"/>
    <w:basedOn w:val="22"/>
    <w:qFormat/>
    <w:uiPriority w:val="0"/>
  </w:style>
  <w:style w:type="character" w:customStyle="1" w:styleId="67">
    <w:name w:val="ico36"/>
    <w:basedOn w:val="22"/>
    <w:qFormat/>
    <w:uiPriority w:val="0"/>
  </w:style>
  <w:style w:type="character" w:customStyle="1" w:styleId="68">
    <w:name w:val="ico37"/>
    <w:basedOn w:val="22"/>
    <w:qFormat/>
    <w:uiPriority w:val="0"/>
  </w:style>
  <w:style w:type="character" w:customStyle="1" w:styleId="69">
    <w:name w:val="ico38"/>
    <w:basedOn w:val="22"/>
    <w:qFormat/>
    <w:uiPriority w:val="0"/>
  </w:style>
  <w:style w:type="character" w:customStyle="1" w:styleId="70">
    <w:name w:val="ico4"/>
    <w:basedOn w:val="22"/>
    <w:qFormat/>
    <w:uiPriority w:val="0"/>
  </w:style>
  <w:style w:type="character" w:customStyle="1" w:styleId="71">
    <w:name w:val="ico41"/>
    <w:basedOn w:val="22"/>
    <w:qFormat/>
    <w:uiPriority w:val="0"/>
  </w:style>
  <w:style w:type="character" w:customStyle="1" w:styleId="72">
    <w:name w:val="ico42"/>
    <w:basedOn w:val="22"/>
    <w:qFormat/>
    <w:uiPriority w:val="0"/>
  </w:style>
  <w:style w:type="character" w:customStyle="1" w:styleId="73">
    <w:name w:val="ico43"/>
    <w:basedOn w:val="22"/>
    <w:qFormat/>
    <w:uiPriority w:val="0"/>
  </w:style>
  <w:style w:type="character" w:customStyle="1" w:styleId="74">
    <w:name w:val="ico44"/>
    <w:basedOn w:val="22"/>
    <w:qFormat/>
    <w:uiPriority w:val="0"/>
  </w:style>
  <w:style w:type="character" w:customStyle="1" w:styleId="75">
    <w:name w:val="ico45"/>
    <w:basedOn w:val="22"/>
    <w:qFormat/>
    <w:uiPriority w:val="0"/>
  </w:style>
  <w:style w:type="character" w:customStyle="1" w:styleId="76">
    <w:name w:val="ico5"/>
    <w:basedOn w:val="22"/>
    <w:qFormat/>
    <w:uiPriority w:val="0"/>
  </w:style>
  <w:style w:type="character" w:customStyle="1" w:styleId="77">
    <w:name w:val="ico51"/>
    <w:basedOn w:val="22"/>
    <w:qFormat/>
    <w:uiPriority w:val="0"/>
  </w:style>
  <w:style w:type="character" w:customStyle="1" w:styleId="78">
    <w:name w:val="ico52"/>
    <w:basedOn w:val="22"/>
    <w:qFormat/>
    <w:uiPriority w:val="0"/>
  </w:style>
  <w:style w:type="character" w:customStyle="1" w:styleId="79">
    <w:name w:val="ico53"/>
    <w:basedOn w:val="22"/>
    <w:qFormat/>
    <w:uiPriority w:val="0"/>
  </w:style>
  <w:style w:type="character" w:customStyle="1" w:styleId="80">
    <w:name w:val="ico54"/>
    <w:basedOn w:val="22"/>
    <w:qFormat/>
    <w:uiPriority w:val="0"/>
  </w:style>
  <w:style w:type="character" w:customStyle="1" w:styleId="81">
    <w:name w:val="ico55"/>
    <w:basedOn w:val="22"/>
    <w:qFormat/>
    <w:uiPriority w:val="0"/>
  </w:style>
  <w:style w:type="character" w:customStyle="1" w:styleId="82">
    <w:name w:val="ico8"/>
    <w:basedOn w:val="22"/>
    <w:qFormat/>
    <w:uiPriority w:val="0"/>
  </w:style>
  <w:style w:type="character" w:customStyle="1" w:styleId="83">
    <w:name w:val="ico81"/>
    <w:basedOn w:val="22"/>
    <w:qFormat/>
    <w:uiPriority w:val="0"/>
  </w:style>
  <w:style w:type="character" w:customStyle="1" w:styleId="84">
    <w:name w:val="ico82"/>
    <w:basedOn w:val="22"/>
    <w:qFormat/>
    <w:uiPriority w:val="0"/>
  </w:style>
  <w:style w:type="character" w:customStyle="1" w:styleId="85">
    <w:name w:val="ico10"/>
    <w:basedOn w:val="22"/>
    <w:qFormat/>
    <w:uiPriority w:val="0"/>
  </w:style>
  <w:style w:type="character" w:customStyle="1" w:styleId="86">
    <w:name w:val="ico101"/>
    <w:basedOn w:val="22"/>
    <w:qFormat/>
    <w:uiPriority w:val="0"/>
  </w:style>
  <w:style w:type="character" w:customStyle="1" w:styleId="87">
    <w:name w:val="ico102"/>
    <w:basedOn w:val="22"/>
    <w:qFormat/>
    <w:uiPriority w:val="0"/>
  </w:style>
  <w:style w:type="character" w:customStyle="1" w:styleId="88">
    <w:name w:val="ico111"/>
    <w:basedOn w:val="22"/>
    <w:qFormat/>
    <w:uiPriority w:val="0"/>
  </w:style>
  <w:style w:type="character" w:customStyle="1" w:styleId="89">
    <w:name w:val="ico112"/>
    <w:basedOn w:val="22"/>
    <w:qFormat/>
    <w:uiPriority w:val="0"/>
  </w:style>
  <w:style w:type="character" w:customStyle="1" w:styleId="90">
    <w:name w:val="ico113"/>
    <w:basedOn w:val="22"/>
    <w:qFormat/>
    <w:uiPriority w:val="0"/>
  </w:style>
  <w:style w:type="character" w:customStyle="1" w:styleId="91">
    <w:name w:val="w16"/>
    <w:basedOn w:val="22"/>
    <w:qFormat/>
    <w:uiPriority w:val="0"/>
  </w:style>
  <w:style w:type="character" w:customStyle="1" w:styleId="92">
    <w:name w:val="icon3"/>
    <w:basedOn w:val="22"/>
    <w:qFormat/>
    <w:uiPriority w:val="0"/>
  </w:style>
  <w:style w:type="character" w:customStyle="1" w:styleId="93">
    <w:name w:val="icon31"/>
    <w:basedOn w:val="22"/>
    <w:qFormat/>
    <w:uiPriority w:val="0"/>
  </w:style>
  <w:style w:type="character" w:customStyle="1" w:styleId="94">
    <w:name w:val="icon32"/>
    <w:basedOn w:val="22"/>
    <w:qFormat/>
    <w:uiPriority w:val="0"/>
  </w:style>
  <w:style w:type="character" w:customStyle="1" w:styleId="95">
    <w:name w:val="icon1"/>
    <w:basedOn w:val="22"/>
    <w:qFormat/>
    <w:uiPriority w:val="0"/>
  </w:style>
  <w:style w:type="character" w:customStyle="1" w:styleId="96">
    <w:name w:val="icon11"/>
    <w:basedOn w:val="22"/>
    <w:qFormat/>
    <w:uiPriority w:val="0"/>
  </w:style>
  <w:style w:type="character" w:customStyle="1" w:styleId="97">
    <w:name w:val="icon12"/>
    <w:basedOn w:val="22"/>
    <w:qFormat/>
    <w:uiPriority w:val="0"/>
  </w:style>
  <w:style w:type="character" w:customStyle="1" w:styleId="98">
    <w:name w:val="icon2"/>
    <w:basedOn w:val="22"/>
    <w:qFormat/>
    <w:uiPriority w:val="0"/>
  </w:style>
  <w:style w:type="character" w:customStyle="1" w:styleId="99">
    <w:name w:val="icon21"/>
    <w:basedOn w:val="22"/>
    <w:qFormat/>
    <w:uiPriority w:val="0"/>
  </w:style>
  <w:style w:type="character" w:customStyle="1" w:styleId="100">
    <w:name w:val="icon22"/>
    <w:basedOn w:val="22"/>
    <w:qFormat/>
    <w:uiPriority w:val="0"/>
  </w:style>
  <w:style w:type="character" w:customStyle="1" w:styleId="101">
    <w:name w:val="icon4"/>
    <w:basedOn w:val="22"/>
    <w:qFormat/>
    <w:uiPriority w:val="0"/>
  </w:style>
  <w:style w:type="character" w:customStyle="1" w:styleId="102">
    <w:name w:val="icon41"/>
    <w:basedOn w:val="22"/>
    <w:qFormat/>
    <w:uiPriority w:val="0"/>
  </w:style>
  <w:style w:type="character" w:customStyle="1" w:styleId="103">
    <w:name w:val="icon42"/>
    <w:basedOn w:val="22"/>
    <w:qFormat/>
    <w:uiPriority w:val="0"/>
  </w:style>
  <w:style w:type="character" w:customStyle="1" w:styleId="104">
    <w:name w:val="icon5"/>
    <w:basedOn w:val="22"/>
    <w:qFormat/>
    <w:uiPriority w:val="0"/>
  </w:style>
  <w:style w:type="character" w:customStyle="1" w:styleId="105">
    <w:name w:val="icon51"/>
    <w:basedOn w:val="22"/>
    <w:qFormat/>
    <w:uiPriority w:val="0"/>
  </w:style>
  <w:style w:type="character" w:customStyle="1" w:styleId="106">
    <w:name w:val="icon52"/>
    <w:basedOn w:val="22"/>
    <w:qFormat/>
    <w:uiPriority w:val="0"/>
  </w:style>
  <w:style w:type="character" w:customStyle="1" w:styleId="107">
    <w:name w:val="disab"/>
    <w:basedOn w:val="22"/>
    <w:qFormat/>
    <w:uiPriority w:val="0"/>
    <w:rPr>
      <w:bdr w:val="single" w:color="E4E4E4" w:sz="6" w:space="0"/>
      <w:shd w:val="clear" w:color="auto" w:fill="EEEEEE"/>
    </w:rPr>
  </w:style>
  <w:style w:type="character" w:customStyle="1" w:styleId="108">
    <w:name w:val="disabled"/>
    <w:basedOn w:val="22"/>
    <w:qFormat/>
    <w:uiPriority w:val="0"/>
    <w:rPr>
      <w:bdr w:val="single" w:color="E4E4E4" w:sz="6" w:space="0"/>
      <w:shd w:val="clear" w:color="auto" w:fill="EEEEEE"/>
    </w:rPr>
  </w:style>
  <w:style w:type="character" w:customStyle="1" w:styleId="109">
    <w:name w:val="go"/>
    <w:basedOn w:val="22"/>
    <w:qFormat/>
    <w:uiPriority w:val="0"/>
    <w:rPr>
      <w:shd w:val="clear" w:color="auto" w:fill="E2E2E2"/>
    </w:rPr>
  </w:style>
  <w:style w:type="character" w:customStyle="1" w:styleId="110">
    <w:name w:val="t_bg1"/>
    <w:basedOn w:val="22"/>
    <w:qFormat/>
    <w:uiPriority w:val="0"/>
    <w:rPr>
      <w:color w:val="FFFFFF"/>
      <w:bdr w:val="single" w:color="35B36A" w:sz="6" w:space="0"/>
      <w:shd w:val="clear" w:color="auto" w:fill="35B36A"/>
    </w:rPr>
  </w:style>
  <w:style w:type="character" w:customStyle="1" w:styleId="111">
    <w:name w:val="renew11"/>
    <w:basedOn w:val="22"/>
    <w:qFormat/>
    <w:uiPriority w:val="0"/>
    <w:rPr>
      <w:sz w:val="18"/>
      <w:szCs w:val="18"/>
    </w:rPr>
  </w:style>
  <w:style w:type="character" w:customStyle="1" w:styleId="112">
    <w:name w:val="qtlm"/>
    <w:basedOn w:val="22"/>
    <w:qFormat/>
    <w:uiPriority w:val="0"/>
    <w:rPr>
      <w:bdr w:val="single" w:color="D8D8D8" w:sz="6" w:space="0"/>
    </w:rPr>
  </w:style>
  <w:style w:type="character" w:customStyle="1" w:styleId="113">
    <w:name w:val="current"/>
    <w:basedOn w:val="22"/>
    <w:qFormat/>
    <w:uiPriority w:val="0"/>
    <w:rPr>
      <w:color w:val="FFFFFF"/>
      <w:u w:val="none"/>
      <w:bdr w:val="single" w:color="ED1E00" w:sz="6" w:space="0"/>
      <w:shd w:val="clear" w:color="auto" w:fill="ED1E00"/>
    </w:rPr>
  </w:style>
  <w:style w:type="character" w:customStyle="1" w:styleId="114">
    <w:name w:val="hover34"/>
    <w:basedOn w:val="22"/>
    <w:qFormat/>
    <w:uiPriority w:val="0"/>
    <w:rPr>
      <w:color w:val="FFFFFF"/>
      <w:u w:val="none"/>
      <w:bdr w:val="single" w:color="ED1E00" w:sz="6" w:space="0"/>
      <w:shd w:val="clear" w:color="auto" w:fill="ED1E00"/>
    </w:rPr>
  </w:style>
  <w:style w:type="character" w:customStyle="1" w:styleId="115">
    <w:name w:val="t_bg2"/>
    <w:basedOn w:val="22"/>
    <w:qFormat/>
    <w:uiPriority w:val="0"/>
    <w:rPr>
      <w:color w:val="FFFFFF"/>
      <w:bdr w:val="single" w:color="FAA72D" w:sz="6" w:space="0"/>
      <w:shd w:val="clear" w:color="auto" w:fill="FAA72D"/>
    </w:rPr>
  </w:style>
  <w:style w:type="character" w:customStyle="1" w:styleId="116">
    <w:name w:val="t_bg3"/>
    <w:basedOn w:val="22"/>
    <w:qFormat/>
    <w:uiPriority w:val="0"/>
    <w:rPr>
      <w:color w:val="FFFFFF"/>
      <w:bdr w:val="single" w:color="01AEFF" w:sz="6" w:space="0"/>
      <w:shd w:val="clear" w:color="auto" w:fill="01AEFF"/>
    </w:rPr>
  </w:style>
  <w:style w:type="character" w:customStyle="1" w:styleId="117">
    <w:name w:val="w36"/>
    <w:basedOn w:val="22"/>
    <w:qFormat/>
    <w:uiPriority w:val="0"/>
  </w:style>
  <w:style w:type="character" w:customStyle="1" w:styleId="118">
    <w:name w:val="gz_btn2"/>
    <w:basedOn w:val="22"/>
    <w:qFormat/>
    <w:uiPriority w:val="0"/>
    <w:rPr>
      <w:color w:val="FFFFFF"/>
      <w:sz w:val="24"/>
      <w:szCs w:val="24"/>
      <w:shd w:val="clear" w:color="auto" w:fill="CCCCCC"/>
    </w:rPr>
  </w:style>
  <w:style w:type="character" w:customStyle="1" w:styleId="119">
    <w:name w:val="ico121"/>
    <w:basedOn w:val="22"/>
    <w:qFormat/>
    <w:uiPriority w:val="0"/>
  </w:style>
  <w:style w:type="character" w:customStyle="1" w:styleId="120">
    <w:name w:val="ico91"/>
    <w:basedOn w:val="22"/>
    <w:qFormat/>
    <w:uiPriority w:val="0"/>
  </w:style>
  <w:style w:type="character" w:customStyle="1" w:styleId="121">
    <w:name w:val="ico92"/>
    <w:basedOn w:val="22"/>
    <w:qFormat/>
    <w:uiPriority w:val="0"/>
  </w:style>
  <w:style w:type="character" w:customStyle="1" w:styleId="122">
    <w:name w:val="hover33"/>
    <w:basedOn w:val="22"/>
    <w:qFormat/>
    <w:uiPriority w:val="0"/>
    <w:rPr>
      <w:color w:val="FFFFFF"/>
      <w:u w:val="none"/>
      <w:bdr w:val="single" w:color="ED1E00" w:sz="6" w:space="0"/>
      <w:shd w:val="clear" w:color="auto" w:fill="ED1E00"/>
    </w:rPr>
  </w:style>
  <w:style w:type="character" w:customStyle="1" w:styleId="123">
    <w:name w:val="ico122"/>
    <w:basedOn w:val="22"/>
    <w:qFormat/>
    <w:uiPriority w:val="0"/>
  </w:style>
  <w:style w:type="character" w:customStyle="1" w:styleId="124">
    <w:name w:val="ico123"/>
    <w:basedOn w:val="22"/>
    <w:qFormat/>
    <w:uiPriority w:val="0"/>
  </w:style>
  <w:style w:type="character" w:customStyle="1" w:styleId="125">
    <w:name w:val="hover"/>
    <w:basedOn w:val="22"/>
    <w:qFormat/>
    <w:uiPriority w:val="0"/>
    <w:rPr>
      <w:color w:val="FFFFFF"/>
      <w:u w:val="none"/>
      <w:bdr w:val="single" w:color="ED1E00" w:sz="6" w:space="0"/>
      <w:shd w:val="clear" w:color="auto" w:fill="ED1E00"/>
    </w:rPr>
  </w:style>
  <w:style w:type="character" w:customStyle="1" w:styleId="126">
    <w:name w:val="批注文字 Char"/>
    <w:basedOn w:val="22"/>
    <w:link w:val="10"/>
    <w:qFormat/>
    <w:uiPriority w:val="0"/>
    <w:rPr>
      <w:rFonts w:asciiTheme="minorHAnsi" w:hAnsiTheme="minorHAnsi" w:eastAsiaTheme="minorEastAsia" w:cstheme="minorBidi"/>
      <w:kern w:val="2"/>
      <w:sz w:val="21"/>
      <w:szCs w:val="24"/>
    </w:rPr>
  </w:style>
  <w:style w:type="character" w:customStyle="1" w:styleId="127">
    <w:name w:val="批注主题 Char"/>
    <w:basedOn w:val="126"/>
    <w:link w:val="9"/>
    <w:qFormat/>
    <w:uiPriority w:val="99"/>
    <w:rPr>
      <w:rFonts w:eastAsia="方正仿宋_GBK" w:asciiTheme="minorHAnsi" w:hAnsiTheme="minorHAnsi" w:cstheme="minorBidi"/>
      <w:b/>
      <w:bCs/>
      <w:kern w:val="2"/>
      <w:sz w:val="32"/>
      <w:szCs w:val="22"/>
    </w:rPr>
  </w:style>
  <w:style w:type="character" w:customStyle="1" w:styleId="128">
    <w:name w:val="页眉 Char"/>
    <w:basedOn w:val="22"/>
    <w:link w:val="17"/>
    <w:qFormat/>
    <w:uiPriority w:val="99"/>
    <w:rPr>
      <w:rFonts w:asciiTheme="minorHAnsi" w:hAnsiTheme="minorHAnsi" w:eastAsiaTheme="minorEastAsia" w:cstheme="minorBidi"/>
      <w:kern w:val="2"/>
      <w:sz w:val="18"/>
      <w:szCs w:val="18"/>
    </w:rPr>
  </w:style>
  <w:style w:type="character" w:customStyle="1" w:styleId="129">
    <w:name w:val="页脚 Char"/>
    <w:basedOn w:val="22"/>
    <w:link w:val="15"/>
    <w:qFormat/>
    <w:uiPriority w:val="99"/>
    <w:rPr>
      <w:rFonts w:asciiTheme="minorHAnsi" w:hAnsiTheme="minorHAnsi" w:eastAsiaTheme="minorEastAsia" w:cstheme="minorBidi"/>
      <w:kern w:val="2"/>
      <w:sz w:val="18"/>
      <w:szCs w:val="18"/>
    </w:rPr>
  </w:style>
  <w:style w:type="paragraph" w:customStyle="1" w:styleId="130">
    <w:name w:val="List Paragraph"/>
    <w:basedOn w:val="1"/>
    <w:qFormat/>
    <w:uiPriority w:val="99"/>
    <w:pPr>
      <w:ind w:firstLine="420"/>
    </w:pPr>
  </w:style>
  <w:style w:type="character" w:customStyle="1" w:styleId="131">
    <w:name w:val="标题 3 Char"/>
    <w:basedOn w:val="22"/>
    <w:link w:val="5"/>
    <w:semiHidden/>
    <w:qFormat/>
    <w:uiPriority w:val="0"/>
    <w:rPr>
      <w:rFonts w:eastAsia="方正楷体_GBK" w:asciiTheme="minorHAnsi" w:hAnsiTheme="minorHAnsi" w:cstheme="minorBidi"/>
      <w:bCs/>
      <w:kern w:val="2"/>
      <w:sz w:val="32"/>
      <w:szCs w:val="32"/>
    </w:rPr>
  </w:style>
  <w:style w:type="character" w:customStyle="1" w:styleId="132">
    <w:name w:val="标题 2 Char"/>
    <w:basedOn w:val="22"/>
    <w:link w:val="4"/>
    <w:semiHidden/>
    <w:qFormat/>
    <w:uiPriority w:val="0"/>
    <w:rPr>
      <w:rFonts w:eastAsia="方正黑体_GBK" w:asciiTheme="majorHAnsi" w:hAnsiTheme="majorHAnsi" w:cstheme="majorBidi"/>
      <w:bCs/>
      <w:kern w:val="2"/>
      <w:sz w:val="32"/>
      <w:szCs w:val="32"/>
    </w:rPr>
  </w:style>
  <w:style w:type="character" w:customStyle="1" w:styleId="133">
    <w:name w:val="正文文本 Char"/>
    <w:basedOn w:val="22"/>
    <w:link w:val="11"/>
    <w:qFormat/>
    <w:uiPriority w:val="1"/>
    <w:rPr>
      <w:rFonts w:ascii="宋体" w:hAnsi="宋体" w:cs="宋体"/>
      <w:kern w:val="2"/>
      <w:sz w:val="32"/>
      <w:szCs w:val="32"/>
    </w:rPr>
  </w:style>
  <w:style w:type="character" w:customStyle="1" w:styleId="134">
    <w:name w:val="ref"/>
    <w:basedOn w:val="22"/>
    <w:qFormat/>
    <w:uiPriority w:val="0"/>
  </w:style>
  <w:style w:type="character" w:customStyle="1" w:styleId="135">
    <w:name w:val="标题 4 Char"/>
    <w:basedOn w:val="22"/>
    <w:link w:val="6"/>
    <w:semiHidden/>
    <w:qFormat/>
    <w:uiPriority w:val="0"/>
    <w:rPr>
      <w:rFonts w:asciiTheme="majorHAnsi" w:hAnsiTheme="majorHAnsi" w:eastAsiaTheme="majorEastAsia" w:cstheme="majorBidi"/>
      <w:b/>
      <w:bCs/>
      <w:kern w:val="2"/>
      <w:sz w:val="28"/>
      <w:szCs w:val="28"/>
    </w:rPr>
  </w:style>
  <w:style w:type="character" w:customStyle="1" w:styleId="136">
    <w:name w:val="脚注文本 Char"/>
    <w:basedOn w:val="22"/>
    <w:link w:val="19"/>
    <w:qFormat/>
    <w:uiPriority w:val="0"/>
    <w:rPr>
      <w:rFonts w:asciiTheme="minorHAnsi" w:hAnsiTheme="minorHAnsi" w:eastAsiaTheme="minorEastAsia" w:cstheme="minorBidi"/>
      <w:kern w:val="2"/>
      <w:sz w:val="18"/>
      <w:szCs w:val="18"/>
    </w:rPr>
  </w:style>
  <w:style w:type="character" w:customStyle="1" w:styleId="137">
    <w:name w:val="批注框文本 Char"/>
    <w:basedOn w:val="22"/>
    <w:link w:val="14"/>
    <w:qFormat/>
    <w:uiPriority w:val="0"/>
    <w:rPr>
      <w:rFonts w:asciiTheme="minorHAnsi" w:hAnsiTheme="minorHAnsi" w:eastAsiaTheme="minorEastAsia" w:cstheme="minorBidi"/>
      <w:kern w:val="2"/>
      <w:sz w:val="18"/>
      <w:szCs w:val="18"/>
    </w:rPr>
  </w:style>
  <w:style w:type="paragraph" w:customStyle="1" w:styleId="138">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39">
    <w:name w:val="font81"/>
    <w:basedOn w:val="22"/>
    <w:qFormat/>
    <w:uiPriority w:val="0"/>
    <w:rPr>
      <w:rFonts w:hint="default" w:ascii="Times New Roman" w:hAnsi="Times New Roman" w:cs="Times New Roman"/>
      <w:b/>
      <w:color w:val="000000"/>
      <w:sz w:val="22"/>
      <w:szCs w:val="22"/>
      <w:u w:val="none"/>
    </w:rPr>
  </w:style>
  <w:style w:type="character" w:customStyle="1" w:styleId="140">
    <w:name w:val="font51"/>
    <w:basedOn w:val="22"/>
    <w:qFormat/>
    <w:uiPriority w:val="0"/>
    <w:rPr>
      <w:rFonts w:hint="eastAsia" w:ascii="宋体" w:hAnsi="宋体" w:eastAsia="宋体" w:cs="宋体"/>
      <w:b/>
      <w:color w:val="000000"/>
      <w:sz w:val="22"/>
      <w:szCs w:val="22"/>
      <w:u w:val="none"/>
    </w:rPr>
  </w:style>
  <w:style w:type="character" w:customStyle="1" w:styleId="141">
    <w:name w:val="font21"/>
    <w:basedOn w:val="22"/>
    <w:qFormat/>
    <w:uiPriority w:val="0"/>
    <w:rPr>
      <w:rFonts w:hint="default" w:ascii="Times New Roman" w:hAnsi="Times New Roman" w:cs="Times New Roman"/>
      <w:color w:val="000000"/>
      <w:sz w:val="22"/>
      <w:szCs w:val="22"/>
      <w:u w:val="none"/>
    </w:rPr>
  </w:style>
  <w:style w:type="paragraph" w:customStyle="1" w:styleId="142">
    <w:name w:val="Table Paragraph"/>
    <w:basedOn w:val="1"/>
    <w:qFormat/>
    <w:uiPriority w:val="1"/>
    <w:pPr>
      <w:spacing w:before="45"/>
      <w:ind w:right="702"/>
      <w:jc w:val="center"/>
    </w:pPr>
    <w:rPr>
      <w:rFonts w:ascii="宋体" w:hAnsi="宋体" w:eastAsia="宋体" w:cs="宋体"/>
      <w:lang w:val="zh-CN" w:bidi="zh-CN"/>
    </w:rPr>
  </w:style>
  <w:style w:type="paragraph" w:customStyle="1" w:styleId="143">
    <w:name w:val="5正文"/>
    <w:basedOn w:val="1"/>
    <w:qFormat/>
    <w:uiPriority w:val="0"/>
    <w:pPr>
      <w:spacing w:line="360" w:lineRule="auto"/>
      <w:ind w:firstLine="420"/>
    </w:pPr>
  </w:style>
  <w:style w:type="character" w:customStyle="1" w:styleId="144">
    <w:name w:val="font41"/>
    <w:basedOn w:val="22"/>
    <w:qFormat/>
    <w:uiPriority w:val="0"/>
    <w:rPr>
      <w:rFonts w:hint="eastAsia" w:ascii="方正仿宋_GBK" w:hAnsi="方正仿宋_GBK" w:eastAsia="方正仿宋_GBK" w:cs="方正仿宋_GBK"/>
      <w:color w:val="000000"/>
      <w:sz w:val="24"/>
      <w:szCs w:val="24"/>
      <w:u w:val="none"/>
    </w:rPr>
  </w:style>
  <w:style w:type="character" w:customStyle="1" w:styleId="145">
    <w:name w:val="font31"/>
    <w:basedOn w:val="22"/>
    <w:qFormat/>
    <w:uiPriority w:val="0"/>
    <w:rPr>
      <w:rFonts w:hint="eastAsia" w:ascii="方正仿宋_GBK" w:hAnsi="方正仿宋_GBK" w:eastAsia="方正仿宋_GBK" w:cs="方正仿宋_GBK"/>
      <w:color w:val="000000"/>
      <w:sz w:val="24"/>
      <w:szCs w:val="24"/>
      <w:u w:val="none"/>
    </w:rPr>
  </w:style>
  <w:style w:type="paragraph" w:customStyle="1" w:styleId="146">
    <w:name w:val="WPSOffice手动目录 1"/>
    <w:qFormat/>
    <w:uiPriority w:val="0"/>
    <w:rPr>
      <w:rFonts w:ascii="Times New Roman" w:hAnsi="Times New Roman" w:eastAsia="宋体" w:cs="Times New Roman"/>
      <w:lang w:val="en-US" w:eastAsia="zh-CN" w:bidi="ar-SA"/>
    </w:rPr>
  </w:style>
  <w:style w:type="paragraph" w:customStyle="1" w:styleId="147">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425FE-BCD3-4906-AAD0-1E14AA6E92C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53</Pages>
  <Words>18396</Words>
  <Characters>19999</Characters>
  <Lines>161</Lines>
  <Paragraphs>45</Paragraphs>
  <ScaleCrop>false</ScaleCrop>
  <LinksUpToDate>false</LinksUpToDate>
  <CharactersWithSpaces>20388</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2022-06-06T01:24:00Z</dcterms:created>
  <dc:creator>BoBo;曾洪柳</dc:creator>
  <cp:lastModifiedBy>Administrator</cp:lastModifiedBy>
  <cp:lastPrinted>2022-10-31T09:57:04Z</cp:lastPrinted>
  <dcterms:modified xsi:type="dcterms:W3CDTF">2022-10-31T09:57:51Z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217281936_btnclosed</vt:lpwstr>
  </property>
  <property fmtid="{D5CDD505-2E9C-101B-9397-08002B2CF9AE}" pid="4" name="ICV">
    <vt:lpwstr>92B458DAEF784C5E98BC15B93E0603A0</vt:lpwstr>
  </property>
</Properties>
</file>