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Times New Roman" w:hAnsi="Times New Roman" w:eastAsia="方正小标宋_GBK" w:cs="Times New Roman"/>
          <w:bCs/>
          <w:color w:val="000000" w:themeColor="text1"/>
          <w:sz w:val="44"/>
          <w:szCs w:val="44"/>
          <w:shd w:val="clear" w:color="auto" w:fill="FFFFFF"/>
          <w14:textFill>
            <w14:solidFill>
              <w14:schemeClr w14:val="tx1"/>
            </w14:solidFill>
          </w14:textFill>
        </w:rPr>
      </w:pPr>
      <w:r>
        <w:rPr>
          <w:rFonts w:ascii="Times New Roman" w:hAnsi="Times New Roman" w:eastAsia="方正小标宋_GBK" w:cs="Times New Roman"/>
          <w:bCs/>
          <w:color w:val="000000" w:themeColor="text1"/>
          <w:sz w:val="44"/>
          <w:szCs w:val="44"/>
          <w:shd w:val="clear" w:color="auto" w:fill="FFFFFF"/>
          <w14:textFill>
            <w14:solidFill>
              <w14:schemeClr w14:val="tx1"/>
            </w14:solidFill>
          </w14:textFill>
        </w:rPr>
        <w:t>重庆市沙坪坝区科学技术局</w:t>
      </w:r>
    </w:p>
    <w:p>
      <w:pPr>
        <w:spacing w:line="594" w:lineRule="exact"/>
        <w:jc w:val="center"/>
        <w:rPr>
          <w:rFonts w:ascii="Times New Roman" w:hAnsi="Times New Roman" w:eastAsia="方正小标宋_GBK" w:cs="Times New Roman"/>
          <w:bCs/>
          <w:color w:val="000000" w:themeColor="text1"/>
          <w:sz w:val="44"/>
          <w:szCs w:val="44"/>
          <w:shd w:val="clear" w:color="auto" w:fill="FFFFFF"/>
          <w14:textFill>
            <w14:solidFill>
              <w14:schemeClr w14:val="tx1"/>
            </w14:solidFill>
          </w14:textFill>
        </w:rPr>
      </w:pPr>
      <w:r>
        <w:rPr>
          <w:rFonts w:ascii="Times New Roman" w:hAnsi="Times New Roman" w:eastAsia="方正小标宋_GBK" w:cs="Times New Roman"/>
          <w:bCs/>
          <w:color w:val="000000" w:themeColor="text1"/>
          <w:sz w:val="44"/>
          <w:szCs w:val="44"/>
          <w:shd w:val="clear" w:color="auto" w:fill="FFFFFF"/>
          <w14:textFill>
            <w14:solidFill>
              <w14:schemeClr w14:val="tx1"/>
            </w14:solidFill>
          </w14:textFill>
        </w:rPr>
        <w:t>关于2021年度法治政府建设情况的报告</w:t>
      </w:r>
    </w:p>
    <w:p>
      <w:pPr>
        <w:spacing w:line="594" w:lineRule="exact"/>
        <w:jc w:val="center"/>
        <w:rPr>
          <w:rFonts w:ascii="Times New Roman" w:hAnsi="Times New Roman" w:eastAsia="方正小标宋_GBK" w:cs="Times New Roman"/>
          <w:bCs/>
          <w:color w:val="000000" w:themeColor="text1"/>
          <w:sz w:val="44"/>
          <w:szCs w:val="44"/>
          <w:shd w:val="clear" w:color="auto" w:fill="FFFFFF"/>
          <w14:textFill>
            <w14:solidFill>
              <w14:schemeClr w14:val="tx1"/>
            </w14:solidFill>
          </w14:textFill>
        </w:rPr>
      </w:pPr>
    </w:p>
    <w:p>
      <w:pPr>
        <w:spacing w:line="594" w:lineRule="exact"/>
        <w:ind w:firstLine="640" w:firstLineChars="200"/>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bCs/>
          <w:color w:val="000000" w:themeColor="text1"/>
          <w:sz w:val="32"/>
          <w:szCs w:val="32"/>
          <w:shd w:val="clear" w:color="auto" w:fill="FFFFFF"/>
          <w14:textFill>
            <w14:solidFill>
              <w14:schemeClr w14:val="tx1"/>
            </w14:solidFill>
          </w14:textFill>
        </w:rPr>
        <w:t>2021年，区科技局深入贯彻习近平总书记关于法治政府建设的重要讲话和指示、批示精神，全面落实党中央、国务院、重庆市、沙坪坝区关于推进依法行政、建设法治政府的要求，从科技工作实际出发，强化全面依法履职，切实开展普法活动，全面加强法治政府建设。</w:t>
      </w:r>
      <w:r>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t>按照有关规定，现将区科技局2021年度法治政府建设推进情况报告如下。</w:t>
      </w:r>
      <w:bookmarkStart w:id="0" w:name="_GoBack"/>
      <w:bookmarkEnd w:id="0"/>
    </w:p>
    <w:p>
      <w:pPr>
        <w:spacing w:line="594" w:lineRule="exact"/>
        <w:ind w:firstLine="640" w:firstLineChars="200"/>
        <w:rPr>
          <w:rFonts w:ascii="Times New Roman" w:hAnsi="Times New Roman" w:eastAsia="方正黑体_GBK" w:cs="Times New Roman"/>
          <w:bCs/>
          <w:color w:val="000000" w:themeColor="text1"/>
          <w:sz w:val="32"/>
          <w:szCs w:val="32"/>
          <w:shd w:val="clear" w:color="auto" w:fill="FFFFFF"/>
          <w14:textFill>
            <w14:solidFill>
              <w14:schemeClr w14:val="tx1"/>
            </w14:solidFill>
          </w14:textFill>
        </w:rPr>
      </w:pPr>
      <w:r>
        <w:rPr>
          <w:rFonts w:ascii="Times New Roman" w:hAnsi="Times New Roman" w:eastAsia="方正黑体_GBK" w:cs="Times New Roman"/>
          <w:bCs/>
          <w:color w:val="000000" w:themeColor="text1"/>
          <w:sz w:val="32"/>
          <w:szCs w:val="32"/>
          <w:shd w:val="clear" w:color="auto" w:fill="FFFFFF"/>
          <w14:textFill>
            <w14:solidFill>
              <w14:schemeClr w14:val="tx1"/>
            </w14:solidFill>
          </w14:textFill>
        </w:rPr>
        <w:t>一、2021年推进法治政府建设主要举措和成效</w:t>
      </w:r>
    </w:p>
    <w:p>
      <w:pPr>
        <w:spacing w:line="594" w:lineRule="exact"/>
        <w:ind w:firstLine="640" w:firstLineChars="200"/>
        <w:rPr>
          <w:rFonts w:ascii="Times New Roman" w:hAnsi="Times New Roman" w:eastAsia="方正楷体_GBK" w:cs="Times New Roman"/>
          <w:bCs/>
          <w:color w:val="000000" w:themeColor="text1"/>
          <w:sz w:val="32"/>
          <w:szCs w:val="32"/>
          <w:shd w:val="clear" w:color="auto" w:fill="FFFFFF"/>
          <w14:textFill>
            <w14:solidFill>
              <w14:schemeClr w14:val="tx1"/>
            </w14:solidFill>
          </w14:textFill>
        </w:rPr>
      </w:pPr>
      <w:r>
        <w:rPr>
          <w:rFonts w:ascii="Times New Roman" w:hAnsi="Times New Roman" w:eastAsia="方正楷体_GBK" w:cs="Times New Roman"/>
          <w:bCs/>
          <w:color w:val="000000" w:themeColor="text1"/>
          <w:sz w:val="32"/>
          <w:szCs w:val="32"/>
          <w:shd w:val="clear" w:color="auto" w:fill="FFFFFF"/>
          <w14:textFill>
            <w14:solidFill>
              <w14:schemeClr w14:val="tx1"/>
            </w14:solidFill>
          </w14:textFill>
        </w:rPr>
        <w:t>（一）深入学习宣传贯彻习近平法治思想</w:t>
      </w:r>
    </w:p>
    <w:p>
      <w:pPr>
        <w:spacing w:line="594" w:lineRule="exact"/>
        <w:ind w:firstLine="640" w:firstLineChars="200"/>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pPr>
      <w:r>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t>1.</w:t>
      </w:r>
      <w:r>
        <w:rPr>
          <w:rFonts w:hint="eastAsia" w:ascii="Times New Roman" w:hAnsi="Times New Roman" w:eastAsia="方正仿宋_GBK" w:cs="Times New Roman"/>
          <w:bCs/>
          <w:color w:val="000000" w:themeColor="text1"/>
          <w:sz w:val="32"/>
          <w:szCs w:val="32"/>
          <w:shd w:val="clear" w:color="auto" w:fill="FFFFFF"/>
          <w14:textFill>
            <w14:solidFill>
              <w14:schemeClr w14:val="tx1"/>
            </w14:solidFill>
          </w14:textFill>
        </w:rPr>
        <w:t xml:space="preserve"> </w:t>
      </w:r>
      <w:r>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t>扎实开展学习宣传</w:t>
      </w:r>
      <w:r>
        <w:rPr>
          <w:rFonts w:hint="eastAsia" w:ascii="Times New Roman" w:hAnsi="Times New Roman" w:eastAsia="方正仿宋_GBK" w:cs="Times New Roman"/>
          <w:bCs/>
          <w:color w:val="000000" w:themeColor="text1"/>
          <w:sz w:val="32"/>
          <w:szCs w:val="32"/>
          <w:shd w:val="clear" w:color="auto" w:fill="FFFFFF"/>
          <w14:textFill>
            <w14:solidFill>
              <w14:schemeClr w14:val="tx1"/>
            </w14:solidFill>
          </w14:textFill>
        </w:rPr>
        <w:t>。</w:t>
      </w:r>
      <w:r>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t>把学习宣传贯彻习近平法治思想与党史学习教育紧密结合，加强对习近平法治思想的宣传、宣讲。通过理论学习中心组、党员大会、机关干部大会等专题学习，组织全体机关干部认真学习习近平新时代中国特色社会主义思想、习近平总书记依法治国新理念新思想新战略，重点学习《习近平谈治国理政》中为新时代坚持和发展中国特色社会主义提供宪法保障等章节，专题学习民法典、统计法、审计法等，增强依法行政意识。面向服务对象积极开展普法工作。结合科技活动周、科普讲解大赛、“三下乡”等活动，通过悬挂横幅、展示宣传展板、现场（咨询）讲解、发放宣传资料等形式，向群众宣传科技成果、科学普及相关法律知识。</w:t>
      </w:r>
    </w:p>
    <w:p>
      <w:pPr>
        <w:spacing w:line="594" w:lineRule="exact"/>
        <w:ind w:firstLine="640" w:firstLineChars="200"/>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pPr>
      <w:r>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t>2.</w:t>
      </w:r>
      <w:r>
        <w:rPr>
          <w:rFonts w:hint="eastAsia" w:ascii="Times New Roman" w:hAnsi="Times New Roman" w:eastAsia="方正仿宋_GBK" w:cs="Times New Roman"/>
          <w:bCs/>
          <w:color w:val="000000" w:themeColor="text1"/>
          <w:sz w:val="32"/>
          <w:szCs w:val="32"/>
          <w:shd w:val="clear" w:color="auto" w:fill="FFFFFF"/>
          <w14:textFill>
            <w14:solidFill>
              <w14:schemeClr w14:val="tx1"/>
            </w14:solidFill>
          </w14:textFill>
        </w:rPr>
        <w:t xml:space="preserve"> </w:t>
      </w:r>
      <w:r>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t>积极推动贯彻落实</w:t>
      </w:r>
      <w:r>
        <w:rPr>
          <w:rFonts w:hint="eastAsia" w:ascii="Times New Roman" w:hAnsi="Times New Roman" w:eastAsia="方正仿宋_GBK" w:cs="Times New Roman"/>
          <w:bCs/>
          <w:color w:val="000000" w:themeColor="text1"/>
          <w:sz w:val="32"/>
          <w:szCs w:val="32"/>
          <w:shd w:val="clear" w:color="auto" w:fill="FFFFFF"/>
          <w14:textFill>
            <w14:solidFill>
              <w14:schemeClr w14:val="tx1"/>
            </w14:solidFill>
          </w14:textFill>
        </w:rPr>
        <w:t>。</w:t>
      </w:r>
      <w:r>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t>严格贯彻落实中央依法治国委2021年工作要点和中央依法治国委关于疫情防控有关文件精神，党政主要负责人履行推进法治建设第一责任人职责，落实“述法”要求，在年度述职述廉中专门“述法”。在推进法治建设，运用法治思维和法治方式深化改革、推动发展、化解矛盾、维护稳定、应对风险。</w:t>
      </w:r>
    </w:p>
    <w:p>
      <w:pPr>
        <w:spacing w:line="594" w:lineRule="exact"/>
        <w:ind w:firstLine="640" w:firstLineChars="200"/>
        <w:rPr>
          <w:rFonts w:ascii="Times New Roman" w:hAnsi="Times New Roman" w:eastAsia="方正楷体_GBK" w:cs="Times New Roman"/>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Times New Roman"/>
          <w:bCs/>
          <w:color w:val="000000" w:themeColor="text1"/>
          <w:sz w:val="32"/>
          <w:szCs w:val="32"/>
          <w:shd w:val="clear" w:color="auto" w:fill="FFFFFF"/>
          <w14:textFill>
            <w14:solidFill>
              <w14:schemeClr w14:val="tx1"/>
            </w14:solidFill>
          </w14:textFill>
        </w:rPr>
        <w:t>（二）依法全面履行政府职能</w:t>
      </w:r>
    </w:p>
    <w:p>
      <w:pPr>
        <w:spacing w:line="594" w:lineRule="exact"/>
        <w:ind w:firstLine="640" w:firstLineChars="200"/>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pPr>
      <w:r>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t>1.</w:t>
      </w:r>
      <w:r>
        <w:rPr>
          <w:rFonts w:hint="eastAsia" w:ascii="Times New Roman" w:hAnsi="Times New Roman" w:eastAsia="方正仿宋_GBK" w:cs="Times New Roman"/>
          <w:bCs/>
          <w:color w:val="000000" w:themeColor="text1"/>
          <w:sz w:val="32"/>
          <w:szCs w:val="32"/>
          <w:shd w:val="clear" w:color="auto" w:fill="FFFFFF"/>
          <w14:textFill>
            <w14:solidFill>
              <w14:schemeClr w14:val="tx1"/>
            </w14:solidFill>
          </w14:textFill>
        </w:rPr>
        <w:t xml:space="preserve"> </w:t>
      </w:r>
      <w:r>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t>持续推进科技体制改革。按照党中央、国务院和市委、市政府机构改革部署以及区委、区政府的工作安排，依法关闭区生产力促进中心及其子公司新伯乐公司，全力推进注销工作；推进重庆大学国家大学科技园体制机制改革，撤销区方重庆大学科技园办，妥善解决机构撤销中的各类遗留问题，减少对市场经济的干预，切实转变政府职能。</w:t>
      </w:r>
    </w:p>
    <w:p>
      <w:pPr>
        <w:spacing w:line="594" w:lineRule="exact"/>
        <w:ind w:firstLine="640" w:firstLineChars="200"/>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bCs/>
          <w:color w:val="000000" w:themeColor="text1"/>
          <w:sz w:val="32"/>
          <w:szCs w:val="32"/>
          <w:shd w:val="clear" w:color="auto" w:fill="FFFFFF"/>
          <w14:textFill>
            <w14:solidFill>
              <w14:schemeClr w14:val="tx1"/>
            </w14:solidFill>
          </w14:textFill>
        </w:rPr>
        <w:t>2. 全面依法履行部门职能。一是坚持高标准，着力推进科学城建设，全面加强与高新区协同协调，全面系统梳理涉及沙坪坝片区的重点任务，出台沙坪坝片区建设的指导性纲要文件；二是坚持高质量，着力培育创新主体，增强研发实力，归集、核定企业、高校、院所三大主体，新培育高新技术企业47家，建成10家研发机构，依托重庆吉芯科技有限公司等5家企业组建企业创新联合体；三是坚持促融合，着力加强校地联动，按照“图新图变图强”新要求，调查分析全区科创资源，编制4个环大学创新生态圈建设方案及环大学创新生态圈高质量发展十条措施。启动陆军医大器官智能生物工程中心、拾光格数字创新港、四平科创孵化园建设；四是坚持强协同，着力深化科技合作，招商落地西部区块链产业技术研究院等5家研发机构，西太深海量子、奥普提科技等63个高新技术项目。推动“一区两群”协调发展深化奉沙科技合作，举办中国高校（成渝）校友经济高峰论坛，承办“沙磁杯”西部科学城创新创业大赛；五是坚持高品质，着力优化创新生态，修订扶持科技企业发展“十条举措”，完善科技创新政策体系，转化科技成果300余项，完成技术交易27亿元。向90家企业发放知识价值信用贷款1.3亿元。遴选10名科技特派员服务乡村振兴，新增3家市级科普基地，6家区级科普基地。</w:t>
      </w:r>
    </w:p>
    <w:p>
      <w:pPr>
        <w:spacing w:line="594" w:lineRule="exact"/>
        <w:ind w:firstLine="640" w:firstLineChars="200"/>
        <w:rPr>
          <w:rFonts w:ascii="方正楷体_GBK" w:hAnsi="方正楷体_GBK" w:eastAsia="方正楷体_GBK" w:cs="方正楷体_GBK"/>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Cs/>
          <w:color w:val="000000" w:themeColor="text1"/>
          <w:sz w:val="32"/>
          <w:szCs w:val="32"/>
          <w:shd w:val="clear" w:color="auto" w:fill="FFFFFF"/>
          <w14:textFill>
            <w14:solidFill>
              <w14:schemeClr w14:val="tx1"/>
            </w14:solidFill>
          </w14:textFill>
        </w:rPr>
        <w:t>（三）完善依法行政制度体系</w:t>
      </w:r>
    </w:p>
    <w:p>
      <w:pPr>
        <w:spacing w:line="594" w:lineRule="exact"/>
        <w:ind w:firstLine="640" w:firstLineChars="200"/>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bCs/>
          <w:color w:val="000000" w:themeColor="text1"/>
          <w:sz w:val="32"/>
          <w:szCs w:val="32"/>
          <w:shd w:val="clear" w:color="auto" w:fill="FFFFFF"/>
          <w14:textFill>
            <w14:solidFill>
              <w14:schemeClr w14:val="tx1"/>
            </w14:solidFill>
          </w14:textFill>
        </w:rPr>
        <w:t>坚持党对行政规范性文件制定工作的领导，制度建设突出针对性、适用性、可操作性；加强合法性审查，行政规范性文件不增加法律法规外的行政权力或者减少职责，没有违规设定行政许可、行政处罚、行政强制，未发生违法减损公民、法人和其他组织合法权益或增加义务的情况。及时对区科技局出台的行政规范性文件进行清理，按程序废止了《重庆市沙坪坝区新型研发机构培育引进实施办法》等3个规范性文件；健全完善行政权力制约监督的制度机制，实行政务公开清单管理，自觉接受各方面监督。制定政务公开实施方案，加强局内政务信息的统筹力度，已形成政务公开工作机制，所有信息资源集中到区政府门户网，便于服务对象查阅。</w:t>
      </w:r>
    </w:p>
    <w:p>
      <w:pPr>
        <w:spacing w:line="594" w:lineRule="exact"/>
        <w:ind w:firstLine="640" w:firstLineChars="200"/>
        <w:rPr>
          <w:rFonts w:ascii="方正楷体_GBK" w:hAnsi="方正楷体_GBK" w:eastAsia="方正楷体_GBK" w:cs="方正楷体_GBK"/>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Cs/>
          <w:color w:val="000000" w:themeColor="text1"/>
          <w:sz w:val="32"/>
          <w:szCs w:val="32"/>
          <w:shd w:val="clear" w:color="auto" w:fill="FFFFFF"/>
          <w14:textFill>
            <w14:solidFill>
              <w14:schemeClr w14:val="tx1"/>
            </w14:solidFill>
          </w14:textFill>
        </w:rPr>
        <w:t>（四）推进行政决策科学化、民主化、法治化</w:t>
      </w:r>
    </w:p>
    <w:p>
      <w:pPr>
        <w:spacing w:line="594" w:lineRule="exact"/>
        <w:ind w:firstLine="640" w:firstLineChars="200"/>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bCs/>
          <w:color w:val="000000" w:themeColor="text1"/>
          <w:sz w:val="32"/>
          <w:szCs w:val="32"/>
          <w:shd w:val="clear" w:color="auto" w:fill="FFFFFF"/>
          <w14:textFill>
            <w14:solidFill>
              <w14:schemeClr w14:val="tx1"/>
            </w14:solidFill>
          </w14:textFill>
        </w:rPr>
        <w:t>重大行政决策集体讨论，行政机关主要负责人在集体讨论基础上作出决定。主动接受大人、政协等各类监督，全面落实法律顾问制度，对涉法问题一律听取律师意见后再行处置。凡重大行政事项和规范性文件，按规定落实征求律师法律意见、司法局合法性审查作为规范性文件制定的必经程序。</w:t>
      </w:r>
    </w:p>
    <w:p>
      <w:pPr>
        <w:spacing w:line="594" w:lineRule="exact"/>
        <w:ind w:firstLine="640" w:firstLineChars="200"/>
        <w:rPr>
          <w:rFonts w:ascii="Times New Roman" w:hAnsi="Times New Roman" w:eastAsia="方正黑体_GBK" w:cs="Times New Roman"/>
          <w:bCs/>
          <w:color w:val="000000" w:themeColor="text1"/>
          <w:sz w:val="32"/>
          <w:szCs w:val="32"/>
          <w:shd w:val="clear" w:color="auto" w:fill="FFFFFF"/>
          <w14:textFill>
            <w14:solidFill>
              <w14:schemeClr w14:val="tx1"/>
            </w14:solidFill>
          </w14:textFill>
        </w:rPr>
      </w:pPr>
      <w:r>
        <w:rPr>
          <w:rFonts w:hint="eastAsia" w:ascii="Times New Roman" w:hAnsi="Times New Roman" w:eastAsia="方正黑体_GBK" w:cs="Times New Roman"/>
          <w:bCs/>
          <w:color w:val="000000" w:themeColor="text1"/>
          <w:sz w:val="32"/>
          <w:szCs w:val="32"/>
          <w:shd w:val="clear" w:color="auto" w:fill="FFFFFF"/>
          <w14:textFill>
            <w14:solidFill>
              <w14:schemeClr w14:val="tx1"/>
            </w14:solidFill>
          </w14:textFill>
        </w:rPr>
        <w:t>二、履行推进法治建设第一责任人职责情况</w:t>
      </w:r>
    </w:p>
    <w:p>
      <w:pPr>
        <w:spacing w:line="594" w:lineRule="exact"/>
        <w:ind w:firstLine="640" w:firstLineChars="200"/>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pPr>
      <w:r>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t>局党政主要负责人坚决履行推进法治政府建设第一责任人职责，坚持把法治政府建设作为一项重要专项工作推进落实。召开会议学习贯彻、研究部署法治相关工作，对依法行政类工作事项在研究深、研究透的基础上实施决策。坚决贯彻法治素养和法治能力的用人导向，积极主动支持相关部门依法依章程履行职能、开展工作，督促领导班子其他成员依法办事，没有违规干预司法活动、插手具体案件处理的问题发生。</w:t>
      </w:r>
    </w:p>
    <w:p>
      <w:pPr>
        <w:spacing w:line="594" w:lineRule="exact"/>
        <w:ind w:firstLine="640" w:firstLineChars="200"/>
        <w:rPr>
          <w:rFonts w:ascii="Times New Roman" w:hAnsi="Times New Roman" w:eastAsia="方正黑体_GBK" w:cs="Times New Roman"/>
          <w:bCs/>
          <w:color w:val="000000" w:themeColor="text1"/>
          <w:sz w:val="32"/>
          <w:szCs w:val="32"/>
          <w:shd w:val="clear" w:color="auto" w:fill="FFFFFF"/>
          <w14:textFill>
            <w14:solidFill>
              <w14:schemeClr w14:val="tx1"/>
            </w14:solidFill>
          </w14:textFill>
        </w:rPr>
      </w:pPr>
      <w:r>
        <w:rPr>
          <w:rFonts w:ascii="Times New Roman" w:hAnsi="Times New Roman" w:eastAsia="方正黑体_GBK" w:cs="Times New Roman"/>
          <w:bCs/>
          <w:color w:val="000000" w:themeColor="text1"/>
          <w:sz w:val="32"/>
          <w:szCs w:val="32"/>
          <w:shd w:val="clear" w:color="auto" w:fill="FFFFFF"/>
          <w14:textFill>
            <w14:solidFill>
              <w14:schemeClr w14:val="tx1"/>
            </w14:solidFill>
          </w14:textFill>
        </w:rPr>
        <w:t>三、存在问题</w:t>
      </w:r>
    </w:p>
    <w:p>
      <w:pPr>
        <w:spacing w:line="594" w:lineRule="exact"/>
        <w:ind w:firstLine="640" w:firstLineChars="200"/>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bCs/>
          <w:color w:val="000000" w:themeColor="text1"/>
          <w:sz w:val="32"/>
          <w:szCs w:val="32"/>
          <w:shd w:val="clear" w:color="auto" w:fill="FFFFFF"/>
          <w14:textFill>
            <w14:solidFill>
              <w14:schemeClr w14:val="tx1"/>
            </w14:solidFill>
          </w14:textFill>
        </w:rPr>
        <w:t>一是</w:t>
      </w:r>
      <w:r>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t>对积极推进法治政府建设的认识还有待进一步提高；</w:t>
      </w:r>
      <w:r>
        <w:rPr>
          <w:rFonts w:hint="eastAsia" w:ascii="Times New Roman" w:hAnsi="Times New Roman" w:eastAsia="方正仿宋_GBK" w:cs="Times New Roman"/>
          <w:bCs/>
          <w:color w:val="000000" w:themeColor="text1"/>
          <w:sz w:val="32"/>
          <w:szCs w:val="32"/>
          <w:shd w:val="clear" w:color="auto" w:fill="FFFFFF"/>
          <w14:textFill>
            <w14:solidFill>
              <w14:schemeClr w14:val="tx1"/>
            </w14:solidFill>
          </w14:textFill>
        </w:rPr>
        <w:t>二是</w:t>
      </w:r>
      <w:r>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t>对法治专业知识的学习还有待进一加强；</w:t>
      </w:r>
      <w:r>
        <w:rPr>
          <w:rFonts w:hint="eastAsia" w:ascii="Times New Roman" w:hAnsi="Times New Roman" w:eastAsia="方正仿宋_GBK" w:cs="Times New Roman"/>
          <w:bCs/>
          <w:color w:val="000000" w:themeColor="text1"/>
          <w:sz w:val="32"/>
          <w:szCs w:val="32"/>
          <w:shd w:val="clear" w:color="auto" w:fill="FFFFFF"/>
          <w14:textFill>
            <w14:solidFill>
              <w14:schemeClr w14:val="tx1"/>
            </w14:solidFill>
          </w14:textFill>
        </w:rPr>
        <w:t>三是</w:t>
      </w:r>
      <w:r>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t>法治政府建设的成效还不够明显。</w:t>
      </w:r>
    </w:p>
    <w:p>
      <w:pPr>
        <w:spacing w:line="594" w:lineRule="exact"/>
        <w:ind w:firstLine="640" w:firstLineChars="200"/>
        <w:rPr>
          <w:rFonts w:ascii="Times New Roman" w:hAnsi="Times New Roman" w:eastAsia="方正黑体_GBK" w:cs="Times New Roman"/>
          <w:bCs/>
          <w:color w:val="000000" w:themeColor="text1"/>
          <w:sz w:val="32"/>
          <w:szCs w:val="32"/>
          <w:shd w:val="clear" w:color="auto" w:fill="FFFFFF"/>
          <w14:textFill>
            <w14:solidFill>
              <w14:schemeClr w14:val="tx1"/>
            </w14:solidFill>
          </w14:textFill>
        </w:rPr>
      </w:pPr>
      <w:r>
        <w:rPr>
          <w:rFonts w:ascii="Times New Roman" w:hAnsi="Times New Roman" w:eastAsia="方正黑体_GBK" w:cs="Times New Roman"/>
          <w:bCs/>
          <w:color w:val="000000" w:themeColor="text1"/>
          <w:sz w:val="32"/>
          <w:szCs w:val="32"/>
          <w:shd w:val="clear" w:color="auto" w:fill="FFFFFF"/>
          <w14:textFill>
            <w14:solidFill>
              <w14:schemeClr w14:val="tx1"/>
            </w14:solidFill>
          </w14:textFill>
        </w:rPr>
        <w:t>四、2022年工作计划</w:t>
      </w:r>
    </w:p>
    <w:p>
      <w:pPr>
        <w:spacing w:line="594" w:lineRule="exact"/>
        <w:ind w:firstLine="640" w:firstLineChars="200"/>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pPr>
      <w:r>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t>1.加强学习交流。进一步将法治政府建设相关内容统筹纳入区科技局党组中心组和机关干部集体学习中，对习近平总书记关于法治政府建设的重要指示批示精神重点学习。</w:t>
      </w:r>
    </w:p>
    <w:p>
      <w:pPr>
        <w:spacing w:line="594" w:lineRule="exact"/>
        <w:ind w:firstLine="640" w:firstLineChars="200"/>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pPr>
      <w:r>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t>2.加强制度建设。进一步建立完善法律顾问咨询制度，全局凡有可能涉法的事项、规范性文件出台以及重大决策事项在提交党组、办公会审议前，必须拿出法律意见书。</w:t>
      </w:r>
    </w:p>
    <w:p>
      <w:pPr>
        <w:spacing w:line="594" w:lineRule="exact"/>
        <w:ind w:firstLine="640" w:firstLineChars="200"/>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pPr>
      <w:r>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t>3.强化政务公开。按要求制定年度政务公开方案，对科技局政务工作内容进行全面梳理：涉及服务对象、关系全区科技创新事业的必须公开；对因涉及国家秘密暂时不能公开的，做好解释说明。</w:t>
      </w:r>
    </w:p>
    <w:p>
      <w:pPr>
        <w:pStyle w:val="2"/>
        <w:ind w:firstLine="320"/>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bCs/>
          <w:color w:val="000000" w:themeColor="text1"/>
          <w:sz w:val="32"/>
          <w:szCs w:val="32"/>
          <w:shd w:val="clear" w:color="auto" w:fill="FFFFFF"/>
          <w14:textFill>
            <w14:solidFill>
              <w14:schemeClr w14:val="tx1"/>
            </w14:solidFill>
          </w14:textFill>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B07"/>
    <w:rsid w:val="00593620"/>
    <w:rsid w:val="00F97B07"/>
    <w:rsid w:val="27B11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w:basedOn w:val="3"/>
    <w:link w:val="7"/>
    <w:unhideWhenUsed/>
    <w:qFormat/>
    <w:uiPriority w:val="99"/>
    <w:pPr>
      <w:ind w:firstLine="420" w:firstLineChars="100"/>
    </w:pPr>
  </w:style>
  <w:style w:type="paragraph" w:styleId="3">
    <w:name w:val="Body Text"/>
    <w:basedOn w:val="1"/>
    <w:link w:val="6"/>
    <w:semiHidden/>
    <w:unhideWhenUsed/>
    <w:uiPriority w:val="99"/>
    <w:pPr>
      <w:spacing w:after="120"/>
    </w:pPr>
  </w:style>
  <w:style w:type="character" w:customStyle="1" w:styleId="6">
    <w:name w:val="正文文本 Char"/>
    <w:basedOn w:val="4"/>
    <w:link w:val="3"/>
    <w:semiHidden/>
    <w:uiPriority w:val="99"/>
    <w:rPr>
      <w:szCs w:val="24"/>
    </w:rPr>
  </w:style>
  <w:style w:type="character" w:customStyle="1" w:styleId="7">
    <w:name w:val="正文首行缩进 Char"/>
    <w:basedOn w:val="6"/>
    <w:link w:val="2"/>
    <w:uiPriority w:val="99"/>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333</Words>
  <Characters>1904</Characters>
  <Lines>15</Lines>
  <Paragraphs>4</Paragraphs>
  <TotalTime>5</TotalTime>
  <ScaleCrop>false</ScaleCrop>
  <LinksUpToDate>false</LinksUpToDate>
  <CharactersWithSpaces>2233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2022-03-02T03:09:00Z</dcterms:created>
  <dc:creator>xb21cn</dc:creator>
  <cp:lastModifiedBy>李子</cp:lastModifiedBy>
  <dcterms:modified xsi:type="dcterms:W3CDTF">2022-04-14T07:00:13Z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