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黑体" w:hAnsi="黑体" w:eastAsia="黑体"/>
          <w:color w:val="auto"/>
          <w:sz w:val="72"/>
          <w:szCs w:val="72"/>
        </w:rPr>
      </w:pPr>
      <w:r>
        <w:rPr>
          <w:rFonts w:hint="eastAsia" w:ascii="黑体" w:hAnsi="黑体" w:eastAsia="黑体"/>
          <w:color w:val="auto"/>
          <w:sz w:val="72"/>
          <w:szCs w:val="72"/>
        </w:rPr>
        <w:t>沙坪坝区公路养护中心</w:t>
      </w:r>
    </w:p>
    <w:p>
      <w:pPr>
        <w:topLinePunct/>
        <w:autoSpaceDN w:val="0"/>
        <w:adjustRightInd w:val="0"/>
        <w:snapToGrid w:val="0"/>
        <w:spacing w:line="500" w:lineRule="exact"/>
        <w:ind w:firstLine="640" w:firstLineChars="200"/>
        <w:jc w:val="center"/>
        <w:rPr>
          <w:color w:val="auto"/>
          <w:sz w:val="32"/>
        </w:rPr>
      </w:pPr>
    </w:p>
    <w:p>
      <w:pPr>
        <w:topLinePunct/>
        <w:autoSpaceDN w:val="0"/>
        <w:adjustRightInd w:val="0"/>
        <w:snapToGrid w:val="0"/>
        <w:spacing w:line="1600" w:lineRule="exact"/>
        <w:jc w:val="center"/>
        <w:rPr>
          <w:rFonts w:ascii="方正黑体_GBK" w:hAnsi="宋体" w:eastAsia="方正黑体_GBK"/>
          <w:bCs/>
          <w:color w:val="auto"/>
          <w:sz w:val="144"/>
          <w:szCs w:val="144"/>
        </w:rPr>
      </w:pPr>
      <w:r>
        <w:rPr>
          <w:rFonts w:hint="eastAsia" w:ascii="黑体" w:hAnsi="黑体" w:eastAsia="黑体"/>
          <w:color w:val="auto"/>
          <w:sz w:val="144"/>
          <w:szCs w:val="144"/>
        </w:rPr>
        <w:t>竞争性磋商文件</w:t>
      </w:r>
    </w:p>
    <w:p>
      <w:pPr>
        <w:tabs>
          <w:tab w:val="left" w:pos="2520"/>
        </w:tabs>
        <w:topLinePunct/>
        <w:autoSpaceDN w:val="0"/>
        <w:adjustRightInd w:val="0"/>
        <w:snapToGrid w:val="0"/>
        <w:spacing w:line="360" w:lineRule="auto"/>
        <w:rPr>
          <w:rFonts w:hint="eastAsia" w:ascii="方正小标宋_GBK" w:eastAsia="方正小标宋_GBK"/>
          <w:color w:val="auto"/>
          <w:sz w:val="36"/>
          <w:lang w:val="en-US" w:eastAsia="zh-CN"/>
        </w:rPr>
      </w:pPr>
      <w:r>
        <w:rPr>
          <w:rFonts w:hint="eastAsia" w:ascii="方正小标宋_GBK" w:eastAsia="方正小标宋_GBK"/>
          <w:color w:val="auto"/>
          <w:sz w:val="36"/>
        </w:rPr>
        <w:t>采 购  编 号：</w:t>
      </w:r>
      <w:r>
        <w:rPr>
          <w:rFonts w:hint="eastAsia" w:ascii="方正小标宋_GBK" w:eastAsia="方正小标宋_GBK"/>
          <w:color w:val="auto"/>
          <w:sz w:val="36"/>
          <w:lang w:val="en-US" w:eastAsia="zh-CN"/>
        </w:rPr>
        <w:t>25C002</w:t>
      </w:r>
    </w:p>
    <w:p>
      <w:pPr>
        <w:topLinePunct/>
        <w:autoSpaceDN w:val="0"/>
        <w:adjustRightInd w:val="0"/>
        <w:snapToGrid w:val="0"/>
        <w:spacing w:line="360" w:lineRule="auto"/>
        <w:ind w:left="2520" w:hanging="2520" w:hangingChars="700"/>
        <w:rPr>
          <w:rFonts w:ascii="方正小标宋_GBK" w:eastAsia="方正小标宋_GBK"/>
          <w:color w:val="auto"/>
          <w:sz w:val="36"/>
          <w:szCs w:val="22"/>
        </w:rPr>
      </w:pPr>
      <w:r>
        <w:rPr>
          <w:rFonts w:hint="eastAsia" w:ascii="方正小标宋_GBK" w:eastAsia="方正小标宋_GBK"/>
          <w:color w:val="auto"/>
          <w:sz w:val="36"/>
        </w:rPr>
        <w:t>采购项目名称：</w:t>
      </w:r>
      <w:r>
        <w:rPr>
          <w:rFonts w:hint="eastAsia" w:ascii="方正小标宋_GBK" w:eastAsia="方正小标宋_GBK"/>
          <w:color w:val="auto"/>
          <w:sz w:val="36"/>
          <w:szCs w:val="22"/>
        </w:rPr>
        <w:t>重庆市沙坪坝区公路养护中心采购2025-2026年沙坪坝主要公路桥梁检测服务</w:t>
      </w:r>
    </w:p>
    <w:p>
      <w:pPr>
        <w:topLinePunct/>
        <w:autoSpaceDN w:val="0"/>
        <w:adjustRightInd w:val="0"/>
        <w:snapToGrid w:val="0"/>
        <w:spacing w:line="360" w:lineRule="auto"/>
        <w:rPr>
          <w:rFonts w:ascii="方正小标宋_GBK" w:eastAsia="方正小标宋_GBK"/>
          <w:bCs/>
          <w:color w:val="auto"/>
          <w:sz w:val="36"/>
        </w:rPr>
      </w:pPr>
      <w:r>
        <w:rPr>
          <w:rFonts w:hint="eastAsia" w:ascii="方正小标宋_GBK" w:eastAsia="方正小标宋_GBK"/>
          <w:bCs/>
          <w:color w:val="auto"/>
          <w:sz w:val="36"/>
        </w:rPr>
        <w:t>采   购   人：</w:t>
      </w:r>
      <w:r>
        <w:rPr>
          <w:rFonts w:hint="eastAsia" w:ascii="方正小标宋_GBK" w:eastAsia="方正小标宋_GBK"/>
          <w:color w:val="auto"/>
          <w:sz w:val="36"/>
        </w:rPr>
        <w:t>重庆市沙坪坝区公路养护中心</w:t>
      </w:r>
    </w:p>
    <w:p>
      <w:pPr>
        <w:topLinePunct/>
        <w:autoSpaceDN w:val="0"/>
        <w:adjustRightInd w:val="0"/>
        <w:snapToGrid w:val="0"/>
        <w:spacing w:line="500" w:lineRule="exact"/>
        <w:ind w:firstLine="3240" w:firstLineChars="900"/>
        <w:rPr>
          <w:rFonts w:ascii="方正小标宋_GBK" w:eastAsia="方正小标宋_GBK"/>
          <w:color w:val="auto"/>
          <w:sz w:val="36"/>
        </w:rPr>
      </w:pPr>
      <w:r>
        <w:rPr>
          <w:rFonts w:hint="eastAsia" w:ascii="方正小标宋_GBK" w:eastAsia="方正小标宋_GBK"/>
          <w:color w:val="auto"/>
          <w:sz w:val="36"/>
        </w:rPr>
        <w:t>2025年</w:t>
      </w:r>
      <w:r>
        <w:rPr>
          <w:rFonts w:hint="eastAsia" w:ascii="方正小标宋_GBK" w:eastAsia="方正小标宋_GBK"/>
          <w:color w:val="auto"/>
          <w:sz w:val="36"/>
          <w:lang w:val="en-US" w:eastAsia="zh-CN"/>
        </w:rPr>
        <w:t>5</w:t>
      </w:r>
      <w:r>
        <w:rPr>
          <w:rFonts w:hint="eastAsia" w:ascii="方正小标宋_GBK" w:eastAsia="方正小标宋_GBK"/>
          <w:color w:val="auto"/>
          <w:sz w:val="36"/>
        </w:rPr>
        <w:t>月</w:t>
      </w:r>
    </w:p>
    <w:p>
      <w:pPr>
        <w:topLinePunct/>
        <w:autoSpaceDN w:val="0"/>
        <w:adjustRightInd w:val="0"/>
        <w:snapToGrid w:val="0"/>
        <w:spacing w:line="500" w:lineRule="exact"/>
        <w:ind w:firstLine="880" w:firstLineChars="200"/>
        <w:rPr>
          <w:rFonts w:eastAsia="黑体"/>
          <w:color w:val="auto"/>
          <w:sz w:val="44"/>
        </w:rPr>
        <w:sectPr>
          <w:headerReference r:id="rId6" w:type="first"/>
          <w:headerReference r:id="rId5" w:type="default"/>
          <w:footerReference r:id="rId7" w:type="default"/>
          <w:footerReference r:id="rId8" w:type="even"/>
          <w:pgSz w:w="11907" w:h="16840"/>
          <w:pgMar w:top="1440" w:right="1800" w:bottom="1440" w:left="1800" w:header="964" w:footer="992" w:gutter="0"/>
          <w:pgNumType w:start="1"/>
          <w:cols w:space="720" w:num="1"/>
          <w:titlePg/>
          <w:docGrid w:linePitch="381" w:charSpace="0"/>
        </w:sectPr>
      </w:pPr>
    </w:p>
    <w:p>
      <w:pPr>
        <w:pStyle w:val="9"/>
        <w:topLinePunct/>
        <w:autoSpaceDN w:val="0"/>
        <w:adjustRightInd w:val="0"/>
        <w:snapToGrid w:val="0"/>
        <w:spacing w:line="520" w:lineRule="exact"/>
        <w:ind w:left="0" w:leftChars="0" w:right="-255"/>
        <w:jc w:val="center"/>
        <w:rPr>
          <w:rFonts w:ascii="黑体" w:hAnsi="黑体" w:eastAsia="黑体" w:cs="Calibri"/>
          <w:color w:val="auto"/>
          <w:sz w:val="21"/>
          <w:szCs w:val="21"/>
        </w:rPr>
      </w:pPr>
      <w:bookmarkStart w:id="0" w:name="_Toc340223131"/>
      <w:r>
        <w:rPr>
          <w:rFonts w:ascii="黑体" w:hAnsi="黑体" w:eastAsia="黑体" w:cs="Calibri"/>
          <w:bCs/>
          <w:color w:val="auto"/>
          <w:sz w:val="44"/>
        </w:rPr>
        <w:t>第一篇  投标邀请书</w:t>
      </w:r>
      <w:bookmarkEnd w:id="0"/>
    </w:p>
    <w:p>
      <w:pPr>
        <w:spacing w:line="400" w:lineRule="exact"/>
        <w:ind w:firstLine="482" w:firstLineChars="200"/>
        <w:rPr>
          <w:rFonts w:ascii="方正仿宋_GBK" w:hAnsi="宋体" w:eastAsia="方正仿宋_GBK"/>
          <w:b/>
          <w:color w:val="auto"/>
          <w:sz w:val="24"/>
          <w:szCs w:val="24"/>
        </w:rPr>
      </w:pPr>
      <w:bookmarkStart w:id="1" w:name="_Toc493506278"/>
      <w:r>
        <w:rPr>
          <w:rFonts w:hint="eastAsia" w:ascii="方正仿宋_GBK" w:hAnsi="宋体" w:eastAsia="方正仿宋_GBK"/>
          <w:b/>
          <w:color w:val="auto"/>
          <w:sz w:val="24"/>
          <w:szCs w:val="24"/>
        </w:rPr>
        <w:t>一、招标项目内容</w:t>
      </w:r>
      <w:bookmarkEnd w:id="1"/>
    </w:p>
    <w:tbl>
      <w:tblPr>
        <w:tblStyle w:val="10"/>
        <w:tblpPr w:leftFromText="180" w:rightFromText="180" w:vertAnchor="text" w:horzAnchor="margin" w:tblpX="182" w:tblpY="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3"/>
        <w:gridCol w:w="182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22"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序号</w:t>
            </w:r>
          </w:p>
        </w:tc>
        <w:tc>
          <w:tcPr>
            <w:tcW w:w="442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项目名称</w:t>
            </w:r>
          </w:p>
        </w:tc>
        <w:tc>
          <w:tcPr>
            <w:tcW w:w="1828"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w:t>
            </w:r>
            <w:r>
              <w:rPr>
                <w:rFonts w:ascii="方正仿宋_GBK" w:hAnsi="宋体" w:eastAsia="方正仿宋_GBK" w:cs="宋体"/>
                <w:b/>
                <w:bCs/>
                <w:color w:val="auto"/>
                <w:kern w:val="0"/>
                <w:sz w:val="21"/>
                <w:szCs w:val="24"/>
              </w:rPr>
              <w:t>限价</w:t>
            </w:r>
            <w:r>
              <w:rPr>
                <w:rFonts w:hint="eastAsia" w:ascii="方正仿宋_GBK" w:hAnsi="宋体" w:eastAsia="方正仿宋_GBK" w:cs="宋体"/>
                <w:b/>
                <w:bCs/>
                <w:color w:val="auto"/>
                <w:kern w:val="0"/>
                <w:sz w:val="21"/>
                <w:szCs w:val="24"/>
              </w:rPr>
              <w:t>（万元）</w:t>
            </w:r>
          </w:p>
        </w:tc>
        <w:tc>
          <w:tcPr>
            <w:tcW w:w="145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color w:val="auto"/>
                <w:kern w:val="0"/>
                <w:sz w:val="21"/>
                <w:szCs w:val="24"/>
              </w:rPr>
            </w:pPr>
            <w:r>
              <w:rPr>
                <w:rFonts w:hint="eastAsia" w:ascii="方正仿宋_GBK" w:hAnsi="宋体" w:eastAsia="方正仿宋_GBK" w:cs="宋体"/>
                <w:color w:val="auto"/>
                <w:kern w:val="0"/>
                <w:sz w:val="21"/>
                <w:szCs w:val="24"/>
              </w:rPr>
              <w:t>1</w:t>
            </w:r>
          </w:p>
        </w:tc>
        <w:tc>
          <w:tcPr>
            <w:tcW w:w="4423"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color w:val="auto"/>
                <w:kern w:val="0"/>
                <w:sz w:val="21"/>
                <w:szCs w:val="24"/>
              </w:rPr>
            </w:pPr>
            <w:r>
              <w:rPr>
                <w:rFonts w:hint="eastAsia" w:ascii="方正仿宋_GBK" w:hAnsi="宋体" w:eastAsia="方正仿宋_GBK"/>
                <w:color w:val="auto"/>
                <w:sz w:val="21"/>
                <w:szCs w:val="21"/>
              </w:rPr>
              <w:t>重庆市沙坪坝区公路养护中心采购2025-2026年沙坪坝主要公路桥梁检测服务</w:t>
            </w:r>
          </w:p>
        </w:tc>
        <w:tc>
          <w:tcPr>
            <w:tcW w:w="1828" w:type="dxa"/>
            <w:tcBorders>
              <w:top w:val="single" w:color="auto" w:sz="4" w:space="0"/>
              <w:left w:val="single" w:color="auto" w:sz="4" w:space="0"/>
              <w:bottom w:val="single" w:color="auto" w:sz="4" w:space="0"/>
              <w:right w:val="single" w:color="auto" w:sz="4" w:space="0"/>
            </w:tcBorders>
            <w:vAlign w:val="center"/>
          </w:tcPr>
          <w:p>
            <w:pPr>
              <w:pStyle w:val="13"/>
              <w:ind w:firstLine="630" w:firstLineChars="300"/>
              <w:rPr>
                <w:color w:val="auto"/>
                <w:lang w:eastAsia="zh-CN"/>
              </w:rPr>
            </w:pPr>
            <w:r>
              <w:rPr>
                <w:rFonts w:hint="eastAsia" w:ascii="方正仿宋_GBK" w:hAnsi="宋体" w:eastAsia="方正仿宋_GBK"/>
                <w:b w:val="0"/>
                <w:bCs w:val="0"/>
                <w:color w:val="auto"/>
                <w:sz w:val="21"/>
                <w:szCs w:val="21"/>
                <w:lang w:eastAsia="zh-CN" w:bidi="ar-SA"/>
              </w:rPr>
              <w:t>42</w:t>
            </w:r>
          </w:p>
        </w:tc>
        <w:tc>
          <w:tcPr>
            <w:tcW w:w="145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color w:val="auto"/>
                <w:kern w:val="0"/>
                <w:sz w:val="21"/>
                <w:szCs w:val="24"/>
              </w:rPr>
            </w:pPr>
            <w:r>
              <w:rPr>
                <w:rFonts w:hint="eastAsia" w:ascii="方正仿宋_GBK" w:hAnsi="宋体" w:eastAsia="方正仿宋_GBK" w:cs="宋体"/>
                <w:color w:val="auto"/>
                <w:kern w:val="0"/>
                <w:sz w:val="21"/>
                <w:szCs w:val="24"/>
              </w:rPr>
              <w:t>12个月</w:t>
            </w:r>
          </w:p>
        </w:tc>
      </w:tr>
    </w:tbl>
    <w:p>
      <w:pPr>
        <w:spacing w:line="400" w:lineRule="exact"/>
        <w:ind w:firstLine="482" w:firstLineChars="200"/>
        <w:rPr>
          <w:rFonts w:ascii="方正仿宋_GBK" w:hAnsi="宋体" w:eastAsia="方正仿宋_GBK"/>
          <w:b/>
          <w:color w:val="auto"/>
          <w:sz w:val="24"/>
          <w:szCs w:val="24"/>
        </w:rPr>
      </w:pPr>
      <w:bookmarkStart w:id="2" w:name="_Toc493506279"/>
    </w:p>
    <w:p>
      <w:pPr>
        <w:spacing w:line="400" w:lineRule="exact"/>
        <w:ind w:firstLine="482" w:firstLineChars="200"/>
        <w:rPr>
          <w:rFonts w:ascii="方正仿宋_GBK" w:hAnsi="宋体" w:eastAsia="方正仿宋_GBK"/>
          <w:b/>
          <w:color w:val="auto"/>
          <w:sz w:val="24"/>
          <w:szCs w:val="24"/>
        </w:rPr>
      </w:pPr>
    </w:p>
    <w:p>
      <w:pPr>
        <w:spacing w:line="400" w:lineRule="exact"/>
        <w:ind w:firstLine="482" w:firstLineChars="200"/>
        <w:rPr>
          <w:rFonts w:ascii="方正仿宋_GBK" w:hAnsi="宋体" w:eastAsia="方正仿宋_GBK"/>
          <w:b/>
          <w:color w:val="auto"/>
          <w:sz w:val="24"/>
          <w:szCs w:val="24"/>
        </w:rPr>
      </w:pPr>
    </w:p>
    <w:p>
      <w:pPr>
        <w:spacing w:line="400" w:lineRule="exact"/>
        <w:ind w:firstLine="482" w:firstLineChars="200"/>
        <w:rPr>
          <w:rFonts w:ascii="方正仿宋_GBK" w:hAnsi="宋体" w:eastAsia="方正仿宋_GBK"/>
          <w:b/>
          <w:color w:val="auto"/>
          <w:sz w:val="24"/>
          <w:szCs w:val="24"/>
        </w:rPr>
      </w:pPr>
    </w:p>
    <w:p>
      <w:pPr>
        <w:spacing w:line="400" w:lineRule="exact"/>
        <w:ind w:firstLine="482" w:firstLineChars="200"/>
        <w:rPr>
          <w:rFonts w:ascii="方正仿宋_GBK" w:hAnsi="宋体" w:eastAsia="方正仿宋_GBK"/>
          <w:b/>
          <w:color w:val="auto"/>
          <w:sz w:val="24"/>
          <w:szCs w:val="24"/>
        </w:rPr>
      </w:pPr>
    </w:p>
    <w:p>
      <w:pPr>
        <w:spacing w:line="400" w:lineRule="exact"/>
        <w:ind w:firstLine="482" w:firstLineChars="200"/>
        <w:rPr>
          <w:rFonts w:ascii="方正仿宋_GBK" w:hAnsi="宋体" w:eastAsia="方正仿宋_GBK"/>
          <w:color w:val="auto"/>
          <w:sz w:val="24"/>
          <w:szCs w:val="24"/>
        </w:rPr>
      </w:pPr>
      <w:r>
        <w:rPr>
          <w:rFonts w:hint="eastAsia" w:ascii="方正仿宋_GBK" w:hAnsi="宋体" w:eastAsia="方正仿宋_GBK"/>
          <w:b/>
          <w:color w:val="auto"/>
          <w:sz w:val="24"/>
          <w:szCs w:val="24"/>
        </w:rPr>
        <w:t>二、资金来源</w:t>
      </w:r>
      <w:bookmarkEnd w:id="2"/>
      <w:r>
        <w:rPr>
          <w:rFonts w:hint="eastAsia" w:ascii="方正仿宋_GBK" w:hAnsi="宋体" w:eastAsia="方正仿宋_GBK"/>
          <w:b/>
          <w:color w:val="auto"/>
          <w:sz w:val="24"/>
          <w:szCs w:val="24"/>
        </w:rPr>
        <w:t xml:space="preserve"> </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资金已到位。</w:t>
      </w:r>
      <w:bookmarkStart w:id="3" w:name="_Toc340223134"/>
    </w:p>
    <w:p>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三、投标人资格要求</w:t>
      </w:r>
      <w:bookmarkEnd w:id="3"/>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合格投标人应首先符合政府采购法第二十二条规定的基本条件。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基本资格条件：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1.具有独立承担民事责任的能力。</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2.具有良好的商业信誉和健全的财务会计制度。</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3.具有履行合同所必需的设备和专业技术能力。</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4.有依法缴纳税收和社会保障资金的良好记录。</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5.参加政府采购活动近三年内，在经营活动中没有重大违法记录。</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6.法律、行政法规规定的其他条件。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四、投标时间、地点</w:t>
      </w:r>
    </w:p>
    <w:p>
      <w:pPr>
        <w:snapToGrid w:val="0"/>
        <w:spacing w:line="400" w:lineRule="exact"/>
        <w:ind w:firstLine="720" w:firstLineChars="300"/>
        <w:rPr>
          <w:rFonts w:ascii="方正仿宋_GBK" w:hAnsi="宋体" w:eastAsia="方正仿宋_GBK"/>
          <w:color w:val="auto"/>
          <w:sz w:val="24"/>
          <w:szCs w:val="24"/>
        </w:rPr>
      </w:pPr>
      <w:r>
        <w:rPr>
          <w:rFonts w:hint="eastAsia" w:ascii="方正仿宋_GBK" w:hAnsi="宋体" w:eastAsia="方正仿宋_GBK"/>
          <w:color w:val="auto"/>
          <w:sz w:val="24"/>
          <w:szCs w:val="24"/>
        </w:rPr>
        <w:t>1、发布招标公告</w:t>
      </w:r>
      <w:bookmarkStart w:id="27" w:name="_GoBack"/>
      <w:bookmarkEnd w:id="27"/>
      <w:r>
        <w:rPr>
          <w:rFonts w:hint="eastAsia" w:ascii="方正仿宋_GBK" w:hAnsi="宋体" w:eastAsia="方正仿宋_GBK"/>
          <w:color w:val="auto"/>
          <w:sz w:val="24"/>
          <w:szCs w:val="24"/>
        </w:rPr>
        <w:t>的媒介</w:t>
      </w:r>
    </w:p>
    <w:p>
      <w:pPr>
        <w:snapToGrid w:val="0"/>
        <w:spacing w:line="40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招标文件获取地址及方式：响应供应商在</w:t>
      </w:r>
      <w:r>
        <w:rPr>
          <w:rFonts w:hint="eastAsia" w:ascii="方正仿宋_GBK" w:hAnsi="宋体" w:eastAsia="方正仿宋_GBK"/>
          <w:color w:val="auto"/>
          <w:sz w:val="24"/>
          <w:szCs w:val="24"/>
        </w:rPr>
        <w:t>“</w:t>
      </w:r>
      <w:r>
        <w:rPr>
          <w:rFonts w:ascii="方正仿宋_GBK" w:hAnsi="宋体" w:eastAsia="方正仿宋_GBK"/>
          <w:color w:val="auto"/>
          <w:sz w:val="24"/>
          <w:szCs w:val="24"/>
        </w:rPr>
        <w:t>重庆市</w:t>
      </w:r>
      <w:r>
        <w:rPr>
          <w:rFonts w:hint="eastAsia" w:ascii="方正仿宋_GBK" w:hAnsi="宋体" w:eastAsia="方正仿宋_GBK"/>
          <w:color w:val="auto"/>
          <w:sz w:val="24"/>
          <w:szCs w:val="24"/>
        </w:rPr>
        <w:t>沙坪坝区政府门户网-区交通运输委-政府采购”中自行下载获取</w:t>
      </w:r>
      <w:r>
        <w:rPr>
          <w:rFonts w:ascii="方正仿宋_GBK" w:hAnsi="宋体" w:eastAsia="方正仿宋_GBK"/>
          <w:color w:val="auto"/>
          <w:sz w:val="24"/>
          <w:szCs w:val="24"/>
        </w:rPr>
        <w:t>。</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2、竞标地点：重庆市沙坪坝区公路养护中心（重庆市沙坪坝区西永街道西科二路30号）1611会议室。</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3、文件递交开始时间：  2025年</w:t>
      </w:r>
      <w:r>
        <w:rPr>
          <w:rFonts w:hint="eastAsia" w:ascii="方正仿宋_GBK" w:hAnsi="宋体" w:eastAsia="方正仿宋_GBK"/>
          <w:color w:val="auto"/>
          <w:sz w:val="24"/>
          <w:szCs w:val="24"/>
          <w:lang w:val="en-US" w:eastAsia="zh-CN"/>
        </w:rPr>
        <w:t>5月20</w:t>
      </w:r>
      <w:r>
        <w:rPr>
          <w:rFonts w:hint="eastAsia" w:ascii="方正仿宋_GBK" w:hAnsi="宋体" w:eastAsia="方正仿宋_GBK"/>
          <w:color w:val="auto"/>
          <w:sz w:val="24"/>
          <w:szCs w:val="24"/>
        </w:rPr>
        <w:t xml:space="preserve">日北京时间 </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 xml:space="preserve"> </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4、文件截止时间：  2025年 </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日北京时间 10:</w:t>
      </w:r>
      <w:r>
        <w:rPr>
          <w:rFonts w:hint="eastAsia" w:ascii="方正仿宋_GBK" w:hAnsi="宋体" w:eastAsia="方正仿宋_GBK"/>
          <w:color w:val="auto"/>
          <w:sz w:val="24"/>
          <w:szCs w:val="24"/>
          <w:lang w:val="en-US" w:eastAsia="zh-CN"/>
        </w:rPr>
        <w:t>00</w:t>
      </w:r>
      <w:r>
        <w:rPr>
          <w:rFonts w:hint="eastAsia" w:ascii="方正仿宋_GBK" w:hAnsi="宋体" w:eastAsia="方正仿宋_GBK"/>
          <w:color w:val="auto"/>
          <w:sz w:val="24"/>
          <w:szCs w:val="24"/>
        </w:rPr>
        <w:t xml:space="preserve"> </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5、竞争性磋商开始时间：  2025年 </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日北京时间 10:</w:t>
      </w:r>
      <w:r>
        <w:rPr>
          <w:rFonts w:hint="eastAsia" w:ascii="方正仿宋_GBK" w:hAnsi="宋体" w:eastAsia="方正仿宋_GBK"/>
          <w:color w:val="auto"/>
          <w:sz w:val="24"/>
          <w:szCs w:val="24"/>
          <w:lang w:val="en-US" w:eastAsia="zh-CN"/>
        </w:rPr>
        <w:t>00</w:t>
      </w:r>
      <w:r>
        <w:rPr>
          <w:rFonts w:hint="eastAsia" w:ascii="方正仿宋_GBK" w:hAnsi="宋体" w:eastAsia="方正仿宋_GBK"/>
          <w:color w:val="auto"/>
          <w:sz w:val="24"/>
          <w:szCs w:val="24"/>
        </w:rPr>
        <w:t xml:space="preserve"> </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6、竞争性磋商地点：同竞标地点</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五、联系方式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采购人及招标人：重庆市沙坪坝区公路养护中心</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联系人：罗老师</w:t>
      </w:r>
    </w:p>
    <w:p>
      <w:pPr>
        <w:snapToGrid w:val="0"/>
        <w:spacing w:line="400" w:lineRule="exact"/>
        <w:ind w:firstLine="480" w:firstLineChars="200"/>
        <w:rPr>
          <w:rFonts w:ascii="宋体" w:hAnsi="宋体"/>
          <w:color w:val="auto"/>
          <w:sz w:val="30"/>
          <w:szCs w:val="30"/>
        </w:rPr>
      </w:pPr>
      <w:r>
        <w:rPr>
          <w:rFonts w:hint="eastAsia" w:ascii="方正仿宋_GBK" w:hAnsi="宋体" w:eastAsia="方正仿宋_GBK"/>
          <w:color w:val="auto"/>
          <w:sz w:val="24"/>
          <w:szCs w:val="24"/>
        </w:rPr>
        <w:t>联系电话：65671673</w:t>
      </w:r>
      <w:r>
        <w:rPr>
          <w:rFonts w:hint="eastAsia" w:ascii="宋体" w:hAnsi="宋体"/>
          <w:color w:val="auto"/>
          <w:sz w:val="30"/>
          <w:szCs w:val="30"/>
        </w:rPr>
        <w:t xml:space="preserve">  </w:t>
      </w:r>
    </w:p>
    <w:p>
      <w:pPr>
        <w:snapToGrid w:val="0"/>
        <w:spacing w:line="400" w:lineRule="exact"/>
        <w:ind w:firstLine="480" w:firstLineChars="200"/>
        <w:rPr>
          <w:color w:val="auto"/>
        </w:rPr>
      </w:pPr>
      <w:r>
        <w:rPr>
          <w:rFonts w:hint="eastAsia" w:ascii="方正仿宋_GBK" w:hAnsi="宋体" w:eastAsia="方正仿宋_GBK"/>
          <w:color w:val="auto"/>
          <w:sz w:val="24"/>
          <w:szCs w:val="24"/>
        </w:rPr>
        <w:t>联系地址：重庆市沙坪坝区公路养护中心（重庆市高新区西永街道西科二路30号）</w:t>
      </w:r>
    </w:p>
    <w:p>
      <w:pPr>
        <w:jc w:val="center"/>
        <w:rPr>
          <w:rFonts w:ascii="黑体" w:hAnsi="黑体" w:eastAsia="黑体" w:cs="黑体"/>
          <w:b/>
          <w:color w:val="auto"/>
          <w:sz w:val="44"/>
          <w:szCs w:val="44"/>
        </w:rPr>
      </w:pPr>
      <w:r>
        <w:rPr>
          <w:rFonts w:hint="eastAsia" w:ascii="黑体" w:hAnsi="黑体" w:eastAsia="黑体" w:cs="黑体"/>
          <w:color w:val="auto"/>
          <w:sz w:val="44"/>
          <w:szCs w:val="44"/>
        </w:rPr>
        <w:t>第二篇  磋商项目服务需求</w:t>
      </w:r>
    </w:p>
    <w:p>
      <w:pPr>
        <w:rPr>
          <w:color w:val="auto"/>
        </w:rPr>
      </w:pPr>
    </w:p>
    <w:p>
      <w:pPr>
        <w:spacing w:line="390" w:lineRule="exact"/>
        <w:ind w:firstLine="482" w:firstLineChars="20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一、磋商项目名称</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重庆市沙坪坝区公路养护中心采购2025-2026年沙坪坝主要公路桥梁检测服务</w:t>
      </w:r>
    </w:p>
    <w:p>
      <w:pPr>
        <w:spacing w:line="390" w:lineRule="exact"/>
        <w:ind w:firstLine="482" w:firstLineChars="20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二、磋商项目服务内容</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（一）实施</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座桥梁的定期检测工作，同时填报相关网上桥梁管理系统（桥梁定期检测名单附后）；</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（二）服务期内每月定期对辖区范围内</w:t>
      </w:r>
      <w:r>
        <w:rPr>
          <w:rFonts w:hint="eastAsia" w:ascii="方正仿宋_GBK" w:hAnsi="宋体" w:eastAsia="方正仿宋_GBK"/>
          <w:color w:val="auto"/>
          <w:sz w:val="24"/>
          <w:szCs w:val="24"/>
          <w:lang w:val="en-US" w:eastAsia="zh-CN"/>
        </w:rPr>
        <w:t>35</w:t>
      </w:r>
      <w:r>
        <w:rPr>
          <w:rFonts w:hint="eastAsia" w:ascii="方正仿宋_GBK" w:hAnsi="宋体" w:eastAsia="方正仿宋_GBK"/>
          <w:color w:val="auto"/>
          <w:sz w:val="24"/>
          <w:szCs w:val="24"/>
        </w:rPr>
        <w:t>座公路桥梁（县道以上及村道中桥以上桥梁）进行日常检查，并按国家标准完善相关记录，同时填报相关网上桥梁管理系统（桥梁日常检查名单附后）；</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（三）按照交通部标准建立并完善辖区范围内</w:t>
      </w:r>
      <w:r>
        <w:rPr>
          <w:rFonts w:hint="eastAsia" w:ascii="方正仿宋_GBK" w:hAnsi="宋体" w:eastAsia="方正仿宋_GBK"/>
          <w:color w:val="auto"/>
          <w:sz w:val="24"/>
          <w:szCs w:val="24"/>
          <w:lang w:val="en-US" w:eastAsia="zh-CN"/>
        </w:rPr>
        <w:t>35</w:t>
      </w:r>
      <w:r>
        <w:rPr>
          <w:rFonts w:hint="eastAsia" w:ascii="方正仿宋_GBK" w:hAnsi="宋体" w:eastAsia="方正仿宋_GBK"/>
          <w:color w:val="auto"/>
          <w:sz w:val="24"/>
          <w:szCs w:val="24"/>
        </w:rPr>
        <w:t>座公路桥梁的“一桥一档”及相关桥梁档案工作，同时不断对桥梁基本信息进行补充完善（桥梁名单参见桥梁日常检查名单）；</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（四）服务期内每月定期向采购人报送当月的桥梁运行状况报告及当月巡查记录表（含桥梁运行安全情况、相关工作照片等内容），采购人根据报告内容进行抽查、考核；</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（五）根据桥梁定期检测和日常检查情况，及时对桥梁的安全及养护提出管养的建议方案。</w:t>
      </w:r>
    </w:p>
    <w:p>
      <w:pPr>
        <w:spacing w:line="390" w:lineRule="exact"/>
        <w:ind w:firstLine="482" w:firstLineChars="20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三、磋商项目服务标准</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达到重庆市公路事务中心公路桥梁定期检测报告范本及国家相关桥梁养护管理规范的要求。</w:t>
      </w:r>
    </w:p>
    <w:p>
      <w:pPr>
        <w:spacing w:line="390" w:lineRule="exact"/>
        <w:ind w:firstLine="482" w:firstLineChars="200"/>
        <w:rPr>
          <w:rFonts w:ascii="方正仿宋_GBK" w:hAnsi="宋体" w:eastAsia="方正仿宋_GBK"/>
          <w:b/>
          <w:bCs/>
          <w:color w:val="auto"/>
          <w:sz w:val="24"/>
          <w:szCs w:val="24"/>
        </w:rPr>
      </w:pPr>
      <w:r>
        <w:rPr>
          <w:rFonts w:hint="eastAsia" w:ascii="方正仿宋_GBK" w:hAnsi="宋体" w:eastAsia="方正仿宋_GBK"/>
          <w:b/>
          <w:bCs/>
          <w:color w:val="auto"/>
          <w:sz w:val="24"/>
          <w:szCs w:val="24"/>
          <w:lang w:val="zh-CN"/>
        </w:rPr>
        <w:t>四、磋商项目服务清单</w:t>
      </w:r>
    </w:p>
    <w:p>
      <w:pPr>
        <w:spacing w:line="390" w:lineRule="exact"/>
        <w:ind w:firstLine="480" w:firstLineChars="200"/>
        <w:rPr>
          <w:rFonts w:ascii="方正仿宋_GBK" w:hAnsi="宋体" w:eastAsia="方正仿宋_GBK"/>
          <w:color w:val="auto"/>
          <w:sz w:val="24"/>
          <w:szCs w:val="24"/>
        </w:rPr>
      </w:pPr>
      <w:bookmarkStart w:id="4" w:name="_Toc466546912"/>
      <w:r>
        <w:rPr>
          <w:rFonts w:hint="eastAsia" w:ascii="方正仿宋_GBK" w:hAnsi="宋体" w:eastAsia="方正仿宋_GBK"/>
          <w:color w:val="auto"/>
          <w:sz w:val="24"/>
          <w:szCs w:val="24"/>
        </w:rPr>
        <w:t>（一）桥梁定期检测</w:t>
      </w:r>
    </w:p>
    <w:tbl>
      <w:tblPr>
        <w:tblStyle w:val="10"/>
        <w:tblW w:w="7910" w:type="dxa"/>
        <w:tblInd w:w="94" w:type="dxa"/>
        <w:tblLayout w:type="fixed"/>
        <w:tblCellMar>
          <w:top w:w="0" w:type="dxa"/>
          <w:left w:w="108" w:type="dxa"/>
          <w:bottom w:w="0" w:type="dxa"/>
          <w:right w:w="108" w:type="dxa"/>
        </w:tblCellMar>
      </w:tblPr>
      <w:tblGrid>
        <w:gridCol w:w="2332"/>
        <w:gridCol w:w="3000"/>
        <w:gridCol w:w="2578"/>
      </w:tblGrid>
      <w:tr>
        <w:tblPrEx>
          <w:tblCellMar>
            <w:top w:w="0" w:type="dxa"/>
            <w:left w:w="108" w:type="dxa"/>
            <w:bottom w:w="0" w:type="dxa"/>
            <w:right w:w="108" w:type="dxa"/>
          </w:tblCellMar>
        </w:tblPrEx>
        <w:trPr>
          <w:trHeight w:val="510" w:hRule="atLeas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桥梁名称</w:t>
            </w:r>
          </w:p>
        </w:tc>
        <w:tc>
          <w:tcPr>
            <w:tcW w:w="25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桥梁长度（m）</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梁滩大桥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168</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2</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回龙坝开发区小桥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19.2</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3</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五云山村桥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80</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4</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土主大桥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47</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5</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向家坪桥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90</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6</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梨新路0号桥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63</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7</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梨新路1号桥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lang w:bidi="ar"/>
              </w:rPr>
              <w:t>70</w:t>
            </w:r>
          </w:p>
        </w:tc>
      </w:tr>
      <w:tr>
        <w:tblPrEx>
          <w:tblCellMar>
            <w:top w:w="0" w:type="dxa"/>
            <w:left w:w="108" w:type="dxa"/>
            <w:bottom w:w="0" w:type="dxa"/>
            <w:right w:w="108" w:type="dxa"/>
          </w:tblCellMar>
        </w:tblPrEx>
        <w:trPr>
          <w:trHeight w:val="402" w:hRule="atLeast"/>
        </w:trPr>
        <w:tc>
          <w:tcPr>
            <w:tcW w:w="23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8</w:t>
            </w:r>
          </w:p>
        </w:tc>
        <w:tc>
          <w:tcPr>
            <w:tcW w:w="30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梨新路2号桥</w:t>
            </w:r>
          </w:p>
        </w:tc>
        <w:tc>
          <w:tcPr>
            <w:tcW w:w="25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162</w:t>
            </w:r>
          </w:p>
        </w:tc>
      </w:tr>
      <w:tr>
        <w:tblPrEx>
          <w:tblCellMar>
            <w:top w:w="0" w:type="dxa"/>
            <w:left w:w="108" w:type="dxa"/>
            <w:bottom w:w="0" w:type="dxa"/>
            <w:right w:w="108" w:type="dxa"/>
          </w:tblCellMar>
        </w:tblPrEx>
        <w:trPr>
          <w:trHeight w:val="402" w:hRule="atLeast"/>
        </w:trPr>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szCs w:val="22"/>
              </w:rPr>
            </w:pPr>
            <w:r>
              <w:rPr>
                <w:rFonts w:hint="eastAsia" w:ascii="宋体" w:hAnsi="宋体" w:cs="宋体"/>
                <w:color w:val="auto"/>
                <w:kern w:val="0"/>
                <w:sz w:val="24"/>
                <w:szCs w:val="22"/>
              </w:rPr>
              <w:t>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szCs w:val="22"/>
              </w:rPr>
            </w:pPr>
            <w:r>
              <w:rPr>
                <w:rFonts w:hint="eastAsia" w:ascii="宋体" w:hAnsi="宋体" w:cs="宋体"/>
                <w:color w:val="auto"/>
                <w:kern w:val="0"/>
                <w:sz w:val="22"/>
                <w:szCs w:val="22"/>
                <w:lang w:bidi="ar"/>
              </w:rPr>
              <w:t>梨新路3号桥</w:t>
            </w:r>
          </w:p>
        </w:tc>
        <w:tc>
          <w:tcPr>
            <w:tcW w:w="2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szCs w:val="22"/>
              </w:rPr>
            </w:pPr>
            <w:r>
              <w:rPr>
                <w:rFonts w:hint="eastAsia" w:ascii="宋体" w:hAnsi="宋体" w:cs="宋体"/>
                <w:color w:val="auto"/>
                <w:kern w:val="0"/>
                <w:sz w:val="22"/>
                <w:szCs w:val="22"/>
                <w:lang w:bidi="ar"/>
              </w:rPr>
              <w:t>250</w:t>
            </w:r>
          </w:p>
        </w:tc>
      </w:tr>
    </w:tbl>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（二）桥梁经常性检查</w:t>
      </w:r>
    </w:p>
    <w:tbl>
      <w:tblPr>
        <w:tblStyle w:val="10"/>
        <w:tblW w:w="8018" w:type="dxa"/>
        <w:tblInd w:w="0" w:type="dxa"/>
        <w:tblLayout w:type="fixed"/>
        <w:tblCellMar>
          <w:top w:w="0" w:type="dxa"/>
          <w:left w:w="108" w:type="dxa"/>
          <w:bottom w:w="0" w:type="dxa"/>
          <w:right w:w="108" w:type="dxa"/>
        </w:tblCellMar>
      </w:tblPr>
      <w:tblGrid>
        <w:gridCol w:w="2411"/>
        <w:gridCol w:w="3000"/>
        <w:gridCol w:w="2607"/>
      </w:tblGrid>
      <w:tr>
        <w:tblPrEx>
          <w:tblCellMar>
            <w:top w:w="0" w:type="dxa"/>
            <w:left w:w="108" w:type="dxa"/>
            <w:bottom w:w="0" w:type="dxa"/>
            <w:right w:w="108" w:type="dxa"/>
          </w:tblCellMar>
        </w:tblPrEx>
        <w:trPr>
          <w:trHeight w:val="521" w:hRule="atLeast"/>
        </w:trPr>
        <w:tc>
          <w:tcPr>
            <w:tcW w:w="2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序号</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桥梁名称</w:t>
            </w:r>
          </w:p>
        </w:tc>
        <w:tc>
          <w:tcPr>
            <w:tcW w:w="26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桥梁全长（米）</w:t>
            </w:r>
          </w:p>
        </w:tc>
      </w:tr>
      <w:tr>
        <w:tblPrEx>
          <w:tblCellMar>
            <w:top w:w="0" w:type="dxa"/>
            <w:left w:w="108" w:type="dxa"/>
            <w:bottom w:w="0" w:type="dxa"/>
            <w:right w:w="108" w:type="dxa"/>
          </w:tblCellMar>
        </w:tblPrEx>
        <w:trPr>
          <w:trHeight w:val="521" w:hRule="atLeast"/>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4"/>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4"/>
              </w:rPr>
            </w:pPr>
          </w:p>
        </w:tc>
        <w:tc>
          <w:tcPr>
            <w:tcW w:w="26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4"/>
              </w:rPr>
            </w:pPr>
          </w:p>
        </w:tc>
      </w:tr>
      <w:tr>
        <w:tblPrEx>
          <w:tblCellMar>
            <w:top w:w="0" w:type="dxa"/>
            <w:left w:w="108" w:type="dxa"/>
            <w:bottom w:w="0" w:type="dxa"/>
            <w:right w:w="108" w:type="dxa"/>
          </w:tblCellMar>
        </w:tblPrEx>
        <w:trPr>
          <w:trHeight w:val="521" w:hRule="atLeast"/>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4"/>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4"/>
              </w:rPr>
            </w:pPr>
          </w:p>
        </w:tc>
        <w:tc>
          <w:tcPr>
            <w:tcW w:w="26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4"/>
              </w:rPr>
            </w:pP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梁滩大桥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168</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小湾桥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13.6</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3</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茅山峡铁路跨线桥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80</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4</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四合铁路桥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32</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5</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土主大桥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47</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6</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回龙坝开发区小桥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19.2</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7</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火车站小桥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12.5</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8</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梨新路0号桥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63</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9</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梨新路1号桥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70</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10</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梨新路2号桥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162</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11</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梨新路3号桥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250</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12</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五云山村桥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80</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13</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向家坪桥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90</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14</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九龙桥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56.4</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15</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青木湖村上跨高速桥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68.2</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16</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威灵寺村上跨高速桥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78.8</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17</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皂角村上跨高速桥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64</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18</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凤凰桥村1号上跨高速桥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60</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19</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凤凰桥村2号上跨高速桥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60</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20</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金城山庄中井路1号桥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196</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21</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金城山庄中井路2号桥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78</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22</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二环路新桥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16</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23</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新桥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10.1</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24</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黑塘坎小桥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29</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25</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双土地桥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17.6</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26</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乌龟石小桥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24</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27</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凤凰桥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15</w:t>
            </w:r>
          </w:p>
        </w:tc>
      </w:tr>
      <w:tr>
        <w:tblPrEx>
          <w:tblCellMar>
            <w:top w:w="0" w:type="dxa"/>
            <w:left w:w="108" w:type="dxa"/>
            <w:bottom w:w="0" w:type="dxa"/>
            <w:right w:w="108" w:type="dxa"/>
          </w:tblCellMar>
        </w:tblPrEx>
        <w:trPr>
          <w:trHeight w:val="40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28</w:t>
            </w:r>
          </w:p>
        </w:tc>
        <w:tc>
          <w:tcPr>
            <w:tcW w:w="300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黄桷桥</w:t>
            </w:r>
          </w:p>
        </w:tc>
        <w:tc>
          <w:tcPr>
            <w:tcW w:w="260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9.4</w:t>
            </w:r>
          </w:p>
        </w:tc>
      </w:tr>
      <w:tr>
        <w:tblPrEx>
          <w:tblCellMar>
            <w:top w:w="0" w:type="dxa"/>
            <w:left w:w="108" w:type="dxa"/>
            <w:bottom w:w="0" w:type="dxa"/>
            <w:right w:w="108" w:type="dxa"/>
          </w:tblCellMar>
        </w:tblPrEx>
        <w:trPr>
          <w:trHeight w:val="403"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29</w:t>
            </w:r>
          </w:p>
        </w:tc>
        <w:tc>
          <w:tcPr>
            <w:tcW w:w="3000"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跨线桥</w:t>
            </w:r>
          </w:p>
        </w:tc>
        <w:tc>
          <w:tcPr>
            <w:tcW w:w="260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lang w:bidi="ar"/>
              </w:rPr>
              <w:t>30</w:t>
            </w:r>
          </w:p>
        </w:tc>
      </w:tr>
      <w:tr>
        <w:tblPrEx>
          <w:tblCellMar>
            <w:top w:w="0" w:type="dxa"/>
            <w:left w:w="108" w:type="dxa"/>
            <w:bottom w:w="0" w:type="dxa"/>
            <w:right w:w="108" w:type="dxa"/>
          </w:tblCellMar>
        </w:tblPrEx>
        <w:trPr>
          <w:trHeight w:val="403"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30</w:t>
            </w:r>
          </w:p>
        </w:tc>
        <w:tc>
          <w:tcPr>
            <w:tcW w:w="3000"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沙石桥</w:t>
            </w:r>
          </w:p>
        </w:tc>
        <w:tc>
          <w:tcPr>
            <w:tcW w:w="260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18</w:t>
            </w:r>
          </w:p>
        </w:tc>
      </w:tr>
      <w:tr>
        <w:tblPrEx>
          <w:tblCellMar>
            <w:top w:w="0" w:type="dxa"/>
            <w:left w:w="108" w:type="dxa"/>
            <w:bottom w:w="0" w:type="dxa"/>
            <w:right w:w="108" w:type="dxa"/>
          </w:tblCellMar>
        </w:tblPrEx>
        <w:trPr>
          <w:trHeight w:val="403"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31</w:t>
            </w:r>
          </w:p>
        </w:tc>
        <w:tc>
          <w:tcPr>
            <w:tcW w:w="3000"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摩配厂小桥</w:t>
            </w:r>
          </w:p>
        </w:tc>
        <w:tc>
          <w:tcPr>
            <w:tcW w:w="260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10.6</w:t>
            </w:r>
          </w:p>
        </w:tc>
      </w:tr>
      <w:tr>
        <w:tblPrEx>
          <w:tblCellMar>
            <w:top w:w="0" w:type="dxa"/>
            <w:left w:w="108" w:type="dxa"/>
            <w:bottom w:w="0" w:type="dxa"/>
            <w:right w:w="108" w:type="dxa"/>
          </w:tblCellMar>
        </w:tblPrEx>
        <w:trPr>
          <w:trHeight w:val="403"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32</w:t>
            </w:r>
          </w:p>
        </w:tc>
        <w:tc>
          <w:tcPr>
            <w:tcW w:w="3000"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石堰沟桥</w:t>
            </w:r>
          </w:p>
        </w:tc>
        <w:tc>
          <w:tcPr>
            <w:tcW w:w="260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lang w:bidi="ar"/>
              </w:rPr>
              <w:t>16.7</w:t>
            </w:r>
          </w:p>
        </w:tc>
      </w:tr>
      <w:tr>
        <w:tblPrEx>
          <w:tblCellMar>
            <w:top w:w="0" w:type="dxa"/>
            <w:left w:w="108" w:type="dxa"/>
            <w:bottom w:w="0" w:type="dxa"/>
            <w:right w:w="108" w:type="dxa"/>
          </w:tblCellMar>
        </w:tblPrEx>
        <w:trPr>
          <w:trHeight w:val="403"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33</w:t>
            </w:r>
          </w:p>
        </w:tc>
        <w:tc>
          <w:tcPr>
            <w:tcW w:w="3000"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2"/>
                <w:szCs w:val="22"/>
                <w:lang w:bidi="ar"/>
              </w:rPr>
              <w:t>三桥</w:t>
            </w:r>
          </w:p>
        </w:tc>
        <w:tc>
          <w:tcPr>
            <w:tcW w:w="260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lang w:bidi="ar"/>
              </w:rPr>
              <w:t>14</w:t>
            </w:r>
          </w:p>
        </w:tc>
      </w:tr>
      <w:tr>
        <w:tblPrEx>
          <w:tblCellMar>
            <w:top w:w="0" w:type="dxa"/>
            <w:left w:w="108" w:type="dxa"/>
            <w:bottom w:w="0" w:type="dxa"/>
            <w:right w:w="108" w:type="dxa"/>
          </w:tblCellMar>
        </w:tblPrEx>
        <w:trPr>
          <w:trHeight w:val="403"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34</w:t>
            </w:r>
          </w:p>
        </w:tc>
        <w:tc>
          <w:tcPr>
            <w:tcW w:w="3000"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颜家桥</w:t>
            </w:r>
          </w:p>
        </w:tc>
        <w:tc>
          <w:tcPr>
            <w:tcW w:w="260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4"/>
              </w:rPr>
            </w:pPr>
            <w:r>
              <w:rPr>
                <w:rFonts w:hint="eastAsia" w:ascii="宋体" w:hAnsi="宋体" w:cs="宋体"/>
                <w:color w:val="auto"/>
                <w:sz w:val="24"/>
              </w:rPr>
              <w:t>38</w:t>
            </w:r>
          </w:p>
        </w:tc>
      </w:tr>
      <w:tr>
        <w:tblPrEx>
          <w:tblCellMar>
            <w:top w:w="0" w:type="dxa"/>
            <w:left w:w="108" w:type="dxa"/>
            <w:bottom w:w="0" w:type="dxa"/>
            <w:right w:w="108" w:type="dxa"/>
          </w:tblCellMar>
        </w:tblPrEx>
        <w:trPr>
          <w:trHeight w:val="403"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4"/>
              </w:rPr>
            </w:pPr>
            <w:r>
              <w:rPr>
                <w:rFonts w:hint="eastAsia" w:ascii="宋体" w:hAnsi="宋体" w:cs="宋体"/>
                <w:color w:val="auto"/>
                <w:kern w:val="0"/>
                <w:sz w:val="24"/>
              </w:rPr>
              <w:t>35</w:t>
            </w:r>
          </w:p>
        </w:tc>
        <w:tc>
          <w:tcPr>
            <w:tcW w:w="3000"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梁滩2桥</w:t>
            </w:r>
          </w:p>
        </w:tc>
        <w:tc>
          <w:tcPr>
            <w:tcW w:w="2607"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160</w:t>
            </w:r>
          </w:p>
        </w:tc>
      </w:tr>
      <w:bookmarkEnd w:id="4"/>
    </w:tbl>
    <w:p>
      <w:pPr>
        <w:spacing w:line="600" w:lineRule="exact"/>
        <w:jc w:val="center"/>
        <w:rPr>
          <w:rFonts w:hint="eastAsia" w:ascii="黑体" w:hAnsi="黑体" w:eastAsia="黑体" w:cs="黑体"/>
          <w:color w:val="auto"/>
          <w:sz w:val="44"/>
          <w:szCs w:val="44"/>
        </w:rPr>
      </w:pPr>
    </w:p>
    <w:p>
      <w:pPr>
        <w:spacing w:line="600" w:lineRule="exact"/>
        <w:jc w:val="center"/>
        <w:rPr>
          <w:rFonts w:ascii="黑体" w:hAnsi="黑体" w:cs="黑体"/>
          <w:b/>
          <w:color w:val="auto"/>
          <w:sz w:val="44"/>
          <w:szCs w:val="44"/>
        </w:rPr>
      </w:pPr>
      <w:r>
        <w:rPr>
          <w:rFonts w:hint="eastAsia" w:ascii="黑体" w:hAnsi="黑体" w:eastAsia="黑体" w:cs="黑体"/>
          <w:color w:val="auto"/>
          <w:sz w:val="44"/>
          <w:szCs w:val="44"/>
        </w:rPr>
        <w:t>第三篇  磋商项目商务需求</w:t>
      </w:r>
    </w:p>
    <w:p>
      <w:pPr>
        <w:rPr>
          <w:color w:val="auto"/>
        </w:rPr>
      </w:pPr>
    </w:p>
    <w:p>
      <w:pPr>
        <w:spacing w:line="390" w:lineRule="exact"/>
        <w:ind w:firstLine="482" w:firstLineChars="20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一、服务工期、地点、质保期及验收方式</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（一）工期</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合同签订之日起一年2025年8月1日-2026年7月31日（其中桥梁定期检测完工时限为2025年的10月30日前）</w:t>
      </w:r>
      <w:r>
        <w:rPr>
          <w:rFonts w:hint="eastAsia" w:ascii="方正仿宋_GBK" w:hAnsi="宋体" w:eastAsia="方正仿宋_GBK"/>
          <w:color w:val="auto"/>
          <w:sz w:val="24"/>
          <w:szCs w:val="24"/>
          <w:lang w:val="zh-CN"/>
        </w:rPr>
        <w:t>。</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（二）服务地点</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采购人指定。</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（三）验收标准和方法</w:t>
      </w:r>
    </w:p>
    <w:p>
      <w:pPr>
        <w:spacing w:line="390" w:lineRule="exact"/>
        <w:ind w:firstLine="480" w:firstLineChars="200"/>
        <w:rPr>
          <w:rFonts w:ascii="方正仿宋_GBK" w:hAnsi="宋体" w:eastAsia="方正仿宋_GBK"/>
          <w:color w:val="auto"/>
          <w:sz w:val="24"/>
          <w:szCs w:val="24"/>
        </w:rPr>
      </w:pPr>
      <w:bookmarkStart w:id="5" w:name="_Toc344475121"/>
      <w:bookmarkStart w:id="6" w:name="_Toc466546914"/>
      <w:r>
        <w:rPr>
          <w:rFonts w:hint="eastAsia" w:ascii="方正仿宋_GBK" w:hAnsi="宋体" w:eastAsia="方正仿宋_GBK"/>
          <w:color w:val="auto"/>
          <w:sz w:val="24"/>
          <w:szCs w:val="24"/>
        </w:rPr>
        <w:t>1.桥梁定期检测需通过区级交通主管部门组织的专家评审（专家评审产生的费用由成交供应商承担）；</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2.日常检查需提供当月桥梁运行状况报告；</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3.网上桥梁管理系统填报准确及时；</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4.服务标准需满足重庆市公路事务中心公路桥梁定期检测报告范本及国家相关桥梁养护管理规范的要求。</w:t>
      </w:r>
    </w:p>
    <w:p>
      <w:pPr>
        <w:spacing w:line="390" w:lineRule="exact"/>
        <w:ind w:firstLine="482" w:firstLineChars="200"/>
        <w:rPr>
          <w:rFonts w:ascii="方正仿宋_GBK" w:hAnsi="宋体" w:eastAsia="方正仿宋_GBK"/>
          <w:b/>
          <w:bCs/>
          <w:color w:val="auto"/>
          <w:sz w:val="24"/>
          <w:szCs w:val="24"/>
          <w:lang w:val="zh-CN"/>
        </w:rPr>
      </w:pPr>
      <w:r>
        <w:rPr>
          <w:rFonts w:hint="eastAsia" w:ascii="方正仿宋_GBK" w:hAnsi="宋体" w:eastAsia="方正仿宋_GBK"/>
          <w:b/>
          <w:bCs/>
          <w:color w:val="auto"/>
          <w:sz w:val="24"/>
          <w:szCs w:val="24"/>
          <w:lang w:val="zh-CN"/>
        </w:rPr>
        <w:t>二、</w:t>
      </w:r>
      <w:bookmarkEnd w:id="5"/>
      <w:r>
        <w:rPr>
          <w:rFonts w:hint="eastAsia" w:ascii="方正仿宋_GBK" w:hAnsi="宋体" w:eastAsia="方正仿宋_GBK"/>
          <w:b/>
          <w:bCs/>
          <w:color w:val="auto"/>
          <w:sz w:val="24"/>
          <w:szCs w:val="24"/>
          <w:lang w:val="zh-CN"/>
        </w:rPr>
        <w:t>报价要求</w:t>
      </w:r>
      <w:bookmarkEnd w:id="6"/>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包括完成本项目全部服务工作的费用，包括但不限于完成本合同约定全部工作对应的工作人员工资、劳保、医疗、福利、津贴、保险、差旅费，监理机构的管理费、利润、税金，且包含检测设备、检测试验费、办公用品、交通工具、通讯设备等。</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（二）成交价就是包干价，响应供应商应通过自己踏勘现场、充分考虑所有因素，在履约服务期限内，采购人不另追加任何费用。</w:t>
      </w:r>
    </w:p>
    <w:p>
      <w:pPr>
        <w:spacing w:line="390" w:lineRule="exact"/>
        <w:ind w:firstLine="482" w:firstLineChars="200"/>
        <w:rPr>
          <w:rFonts w:ascii="方正仿宋_GBK" w:hAnsi="宋体" w:eastAsia="方正仿宋_GBK"/>
          <w:b/>
          <w:bCs/>
          <w:color w:val="auto"/>
          <w:sz w:val="24"/>
          <w:szCs w:val="24"/>
          <w:lang w:val="zh-CN"/>
        </w:rPr>
      </w:pPr>
      <w:r>
        <w:rPr>
          <w:rFonts w:hint="eastAsia" w:ascii="方正仿宋_GBK" w:hAnsi="宋体" w:eastAsia="方正仿宋_GBK"/>
          <w:b/>
          <w:bCs/>
          <w:color w:val="auto"/>
          <w:sz w:val="24"/>
          <w:szCs w:val="24"/>
          <w:lang w:val="zh-CN"/>
        </w:rPr>
        <w:t>三、桥梁日常检查</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（一）桥梁定期检测经采购人组织专家评审通过后十日后，成交供应商向采购人提供纸质成果3份，电子档一份。</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（二）每月</w:t>
      </w:r>
      <w:r>
        <w:rPr>
          <w:rFonts w:hint="eastAsia" w:ascii="方正仿宋_GBK" w:hAnsi="宋体" w:eastAsia="方正仿宋_GBK"/>
          <w:color w:val="auto"/>
          <w:sz w:val="24"/>
          <w:szCs w:val="24"/>
        </w:rPr>
        <w:t>25</w:t>
      </w:r>
      <w:r>
        <w:rPr>
          <w:rFonts w:hint="eastAsia" w:ascii="方正仿宋_GBK" w:hAnsi="宋体" w:eastAsia="方正仿宋_GBK"/>
          <w:color w:val="auto"/>
          <w:sz w:val="24"/>
          <w:szCs w:val="24"/>
          <w:lang w:val="zh-CN"/>
        </w:rPr>
        <w:t>日之前，成交供应商需向采购人提供纸质桥梁运行状况报告3份（内容需包含相关桥梁巡查过程及照片、系统填报、档案资料完善等工作内容），电子档一份。每月</w:t>
      </w: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zh-CN"/>
        </w:rPr>
        <w:t>5日之前，成交供应商需完善相关系统填报工作。</w:t>
      </w:r>
    </w:p>
    <w:p>
      <w:pPr>
        <w:spacing w:line="390" w:lineRule="exact"/>
        <w:ind w:firstLine="482" w:firstLineChars="200"/>
        <w:rPr>
          <w:rFonts w:ascii="方正仿宋_GBK" w:hAnsi="宋体" w:eastAsia="方正仿宋_GBK"/>
          <w:b/>
          <w:bCs/>
          <w:color w:val="auto"/>
          <w:sz w:val="24"/>
          <w:szCs w:val="24"/>
          <w:lang w:val="zh-CN"/>
        </w:rPr>
      </w:pPr>
      <w:r>
        <w:rPr>
          <w:rFonts w:hint="eastAsia" w:ascii="方正仿宋_GBK" w:hAnsi="宋体" w:eastAsia="方正仿宋_GBK"/>
          <w:b/>
          <w:bCs/>
          <w:color w:val="auto"/>
          <w:sz w:val="24"/>
          <w:szCs w:val="24"/>
          <w:lang w:val="zh-CN"/>
        </w:rPr>
        <w:t>四、付款方式</w:t>
      </w:r>
    </w:p>
    <w:p>
      <w:pPr>
        <w:spacing w:line="39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中标单位每月</w:t>
      </w:r>
      <w:r>
        <w:rPr>
          <w:rFonts w:hint="eastAsia" w:ascii="方正仿宋_GBK" w:hAnsi="宋体" w:eastAsia="方正仿宋_GBK"/>
          <w:color w:val="auto"/>
          <w:sz w:val="24"/>
          <w:szCs w:val="24"/>
          <w:lang w:val="zh-CN"/>
        </w:rPr>
        <w:t>提交的桥梁运行状况报告及相关桥梁巡查、系统填报、档案资料完善工作的完成</w:t>
      </w:r>
      <w:r>
        <w:rPr>
          <w:rFonts w:hint="eastAsia" w:ascii="方正仿宋_GBK" w:hAnsi="宋体" w:eastAsia="方正仿宋_GBK"/>
          <w:color w:val="auto"/>
          <w:sz w:val="24"/>
          <w:szCs w:val="24"/>
        </w:rPr>
        <w:t>后</w:t>
      </w:r>
      <w:r>
        <w:rPr>
          <w:rFonts w:hint="eastAsia" w:ascii="方正仿宋_GBK" w:hAnsi="宋体" w:eastAsia="方正仿宋_GBK"/>
          <w:color w:val="auto"/>
          <w:sz w:val="24"/>
          <w:szCs w:val="24"/>
          <w:lang w:val="zh-CN"/>
        </w:rPr>
        <w:t>，</w:t>
      </w:r>
      <w:r>
        <w:rPr>
          <w:rFonts w:hint="eastAsia" w:ascii="方正仿宋_GBK" w:hAnsi="宋体" w:eastAsia="方正仿宋_GBK"/>
          <w:color w:val="auto"/>
          <w:sz w:val="24"/>
          <w:szCs w:val="24"/>
        </w:rPr>
        <w:t>所有款项待财政审批完成后才进行支付。</w:t>
      </w:r>
    </w:p>
    <w:p>
      <w:pPr>
        <w:numPr>
          <w:ilvl w:val="0"/>
          <w:numId w:val="1"/>
        </w:numPr>
        <w:spacing w:line="390" w:lineRule="exact"/>
        <w:ind w:firstLine="482" w:firstLineChars="200"/>
        <w:rPr>
          <w:rFonts w:ascii="方正仿宋_GBK" w:hAnsi="宋体" w:eastAsia="方正仿宋_GBK"/>
          <w:b/>
          <w:bCs/>
          <w:color w:val="auto"/>
          <w:sz w:val="24"/>
          <w:szCs w:val="24"/>
          <w:lang w:val="zh-CN"/>
        </w:rPr>
      </w:pPr>
      <w:r>
        <w:rPr>
          <w:rFonts w:hint="eastAsia" w:ascii="方正仿宋_GBK" w:hAnsi="宋体" w:eastAsia="方正仿宋_GBK"/>
          <w:b/>
          <w:bCs/>
          <w:color w:val="auto"/>
          <w:sz w:val="24"/>
          <w:szCs w:val="24"/>
          <w:lang w:val="zh-CN"/>
        </w:rPr>
        <w:t>磋商项目考核标准</w:t>
      </w:r>
    </w:p>
    <w:p>
      <w:pPr>
        <w:spacing w:line="390" w:lineRule="exact"/>
        <w:ind w:firstLine="482" w:firstLineChars="200"/>
        <w:jc w:val="center"/>
        <w:rPr>
          <w:rFonts w:ascii="方正仿宋_GBK" w:hAnsi="宋体" w:eastAsia="方正仿宋_GBK"/>
          <w:b/>
          <w:bCs/>
          <w:color w:val="auto"/>
          <w:sz w:val="24"/>
          <w:szCs w:val="24"/>
          <w:lang w:val="zh-CN"/>
        </w:rPr>
      </w:pPr>
    </w:p>
    <w:p>
      <w:pPr>
        <w:spacing w:line="390" w:lineRule="exact"/>
        <w:ind w:firstLine="482" w:firstLineChars="200"/>
        <w:jc w:val="center"/>
        <w:rPr>
          <w:rFonts w:ascii="方正仿宋_GBK" w:hAnsi="宋体" w:eastAsia="方正仿宋_GBK"/>
          <w:b/>
          <w:bCs/>
          <w:color w:val="auto"/>
          <w:sz w:val="24"/>
          <w:szCs w:val="24"/>
          <w:lang w:val="zh-CN"/>
        </w:rPr>
      </w:pPr>
      <w:r>
        <w:rPr>
          <w:rFonts w:hint="eastAsia" w:ascii="方正仿宋_GBK" w:hAnsi="宋体" w:eastAsia="方正仿宋_GBK"/>
          <w:b/>
          <w:bCs/>
          <w:color w:val="auto"/>
          <w:sz w:val="24"/>
          <w:szCs w:val="24"/>
          <w:lang w:val="zh-CN"/>
        </w:rPr>
        <w:t>重庆市沙坪坝区公路桥梁外包服务考核办法</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第一条  为加强和规范沙区主要公路桥梁</w:t>
      </w:r>
      <w:r>
        <w:rPr>
          <w:rFonts w:hint="eastAsia" w:ascii="方正仿宋_GBK" w:hAnsi="宋体" w:eastAsia="方正仿宋_GBK"/>
          <w:color w:val="auto"/>
          <w:sz w:val="24"/>
          <w:szCs w:val="24"/>
        </w:rPr>
        <w:t>检测</w:t>
      </w:r>
      <w:r>
        <w:rPr>
          <w:rFonts w:hint="eastAsia" w:ascii="方正仿宋_GBK" w:hAnsi="宋体" w:eastAsia="方正仿宋_GBK"/>
          <w:color w:val="auto"/>
          <w:sz w:val="24"/>
          <w:szCs w:val="24"/>
          <w:lang w:val="zh-CN"/>
        </w:rPr>
        <w:t>外包服务管理工作，通过规范的考核监督，促使承包单位认真履行职责，确保外包服务工作保质保量完成，特制订本考核办法；</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第二条  适用范围：本办法适用于我区主要公路桥梁</w:t>
      </w:r>
      <w:r>
        <w:rPr>
          <w:rFonts w:hint="eastAsia" w:ascii="方正仿宋_GBK" w:hAnsi="宋体" w:eastAsia="方正仿宋_GBK"/>
          <w:color w:val="auto"/>
          <w:sz w:val="24"/>
          <w:szCs w:val="24"/>
        </w:rPr>
        <w:t>检测</w:t>
      </w:r>
      <w:r>
        <w:rPr>
          <w:rFonts w:hint="eastAsia" w:ascii="方正仿宋_GBK" w:hAnsi="宋体" w:eastAsia="方正仿宋_GBK"/>
          <w:color w:val="auto"/>
          <w:sz w:val="24"/>
          <w:szCs w:val="24"/>
          <w:lang w:val="zh-CN"/>
        </w:rPr>
        <w:t>外包服务工作；</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第三条  承包单位应依照相关法律法规及标准，履行合同义务，承担相应责任，承包单位应按照合同约定提供协议范围内的全部服务内容，并认真做好沙区主要公路桥梁</w:t>
      </w:r>
      <w:r>
        <w:rPr>
          <w:rFonts w:hint="eastAsia" w:ascii="方正仿宋_GBK" w:hAnsi="宋体" w:eastAsia="方正仿宋_GBK"/>
          <w:color w:val="auto"/>
          <w:sz w:val="24"/>
          <w:szCs w:val="24"/>
        </w:rPr>
        <w:t>检测</w:t>
      </w:r>
      <w:r>
        <w:rPr>
          <w:rFonts w:hint="eastAsia" w:ascii="方正仿宋_GBK" w:hAnsi="宋体" w:eastAsia="方正仿宋_GBK"/>
          <w:color w:val="auto"/>
          <w:sz w:val="24"/>
          <w:szCs w:val="24"/>
          <w:lang w:val="zh-CN"/>
        </w:rPr>
        <w:t>外包服务工作；</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第四条  承包单位应按照重庆市</w:t>
      </w:r>
      <w:r>
        <w:rPr>
          <w:rFonts w:hint="eastAsia" w:ascii="方正仿宋_GBK" w:hAnsi="宋体" w:eastAsia="方正仿宋_GBK"/>
          <w:color w:val="auto"/>
          <w:sz w:val="24"/>
          <w:szCs w:val="24"/>
        </w:rPr>
        <w:t>公路事务中心最新</w:t>
      </w:r>
      <w:r>
        <w:rPr>
          <w:rFonts w:hint="eastAsia" w:ascii="方正仿宋_GBK" w:hAnsi="宋体" w:eastAsia="方正仿宋_GBK"/>
          <w:color w:val="auto"/>
          <w:sz w:val="24"/>
          <w:szCs w:val="24"/>
          <w:lang w:val="zh-CN"/>
        </w:rPr>
        <w:t>公路桥梁定期检查工作指南和公路桥梁定期检测报告范本及相关规范的要求实施开展桥梁定期检测工作，定期检测报告经专家评审后提交委托人；</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第五条  承包人每月需定期按时完成相关桥梁的日常检查工作，并完善相关检查记录及台账；</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同时承包人每月需定期按时报送当月的桥梁运行状况报告及当月检查记录表；如未按时向采购单位报送当月日常检查报告，采购单位将对中标单位予以3000元/次的处罚。</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采购人将根据报告内容对检查工作及记录情况进行抽查考核，如发现承包存在检查不到位或检查记录弄虚作假的情况，采购人将视情节对承包人予以一定处罚；</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如初次发现检查不到位或检查记录弄虚作假的情况，采购人将对承包人予以警告，并限期整改；经警告如再次发现上述情况，委托人可对承包人处以罚款5000元/次；经多次处罚仍存在上述情况，委托人有权解除合同，同时没收履约保证金；</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第六条  承包人需根据日常检查情况及时完成相关桥梁系统的填报工作；</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如发现存在未能及时完成或填报材料弄虚作假的情况，采购单位将对承包单位予以5000元/次的处罚；经多次处罚仍未能及时整改，采购人有权解除合同，同时没收履约保证金；</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第七条  承包人需建立并完善辖区范围内主要公路桥梁的“一桥一档”工作，同时不断对桥梁基本信息进行补充完善；</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第八条  承包人应根据桥梁定期检测和日常检查情况，及时对桥梁的安全及养护提出管养的建议方案。</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第九条  如发现承包单位未能依据合同约定的服务内容及验收标准提供服务，委托人将对承包人作出警告、限期整改的处罚。经多次警告无效或情节特别严重的，采购人可解除合同，同时没收履约保证金。</w:t>
      </w:r>
    </w:p>
    <w:p>
      <w:pPr>
        <w:spacing w:line="390" w:lineRule="exact"/>
        <w:ind w:firstLine="480" w:firstLineChars="200"/>
        <w:rPr>
          <w:rFonts w:ascii="方正仿宋_GBK" w:hAnsi="宋体" w:eastAsia="方正仿宋_GBK"/>
          <w:color w:val="auto"/>
          <w:sz w:val="24"/>
          <w:szCs w:val="24"/>
          <w:lang w:val="zh-CN"/>
        </w:rPr>
      </w:pPr>
      <w:r>
        <w:rPr>
          <w:rFonts w:hint="eastAsia" w:ascii="方正仿宋_GBK" w:hAnsi="宋体" w:eastAsia="方正仿宋_GBK"/>
          <w:color w:val="auto"/>
          <w:sz w:val="24"/>
          <w:szCs w:val="24"/>
        </w:rPr>
        <w:t>第十条  要求中标单位，该项目需要配备的工作人员必须常驻重庆市，接到甲方通知一小时内必须到现场处置，未在规定时间内到达，</w:t>
      </w:r>
      <w:r>
        <w:rPr>
          <w:rFonts w:hint="eastAsia" w:ascii="方正仿宋_GBK" w:hAnsi="宋体" w:eastAsia="方正仿宋_GBK"/>
          <w:color w:val="auto"/>
          <w:sz w:val="24"/>
          <w:szCs w:val="24"/>
          <w:lang w:val="zh-CN"/>
        </w:rPr>
        <w:t>予以5000元/次的处罚；经</w:t>
      </w:r>
      <w:r>
        <w:rPr>
          <w:rFonts w:hint="eastAsia" w:ascii="方正仿宋_GBK" w:hAnsi="宋体" w:eastAsia="方正仿宋_GBK"/>
          <w:color w:val="auto"/>
          <w:sz w:val="24"/>
          <w:szCs w:val="24"/>
        </w:rPr>
        <w:t>三次</w:t>
      </w:r>
      <w:r>
        <w:rPr>
          <w:rFonts w:hint="eastAsia" w:ascii="方正仿宋_GBK" w:hAnsi="宋体" w:eastAsia="方正仿宋_GBK"/>
          <w:color w:val="auto"/>
          <w:sz w:val="24"/>
          <w:szCs w:val="24"/>
          <w:lang w:val="zh-CN"/>
        </w:rPr>
        <w:t>处罚仍未能及时整改，采购人有权解除合同，同时没收履约保证金。</w:t>
      </w:r>
    </w:p>
    <w:p>
      <w:pPr>
        <w:spacing w:line="390" w:lineRule="exact"/>
        <w:ind w:firstLine="480" w:firstLineChars="200"/>
        <w:rPr>
          <w:rFonts w:ascii="方正仿宋_GBK" w:hAnsi="宋体" w:eastAsia="方正仿宋_GBK"/>
          <w:color w:val="auto"/>
          <w:sz w:val="24"/>
          <w:szCs w:val="24"/>
        </w:rPr>
      </w:pPr>
    </w:p>
    <w:p>
      <w:pPr>
        <w:spacing w:line="390" w:lineRule="exact"/>
        <w:ind w:firstLine="482" w:firstLineChars="200"/>
        <w:rPr>
          <w:rFonts w:ascii="方正仿宋_GBK" w:hAnsi="宋体" w:eastAsia="方正仿宋_GBK"/>
          <w:b/>
          <w:bCs/>
          <w:color w:val="auto"/>
          <w:sz w:val="24"/>
          <w:szCs w:val="24"/>
          <w:lang w:val="zh-CN"/>
        </w:rPr>
      </w:pPr>
      <w:r>
        <w:rPr>
          <w:rFonts w:hint="eastAsia" w:ascii="方正仿宋_GBK" w:hAnsi="宋体" w:eastAsia="方正仿宋_GBK"/>
          <w:b/>
          <w:bCs/>
          <w:color w:val="auto"/>
          <w:sz w:val="24"/>
          <w:szCs w:val="24"/>
        </w:rPr>
        <w:t>六</w:t>
      </w:r>
      <w:r>
        <w:rPr>
          <w:rFonts w:hint="eastAsia" w:ascii="方正仿宋_GBK" w:hAnsi="宋体" w:eastAsia="方正仿宋_GBK"/>
          <w:b/>
          <w:bCs/>
          <w:color w:val="auto"/>
          <w:sz w:val="24"/>
          <w:szCs w:val="24"/>
          <w:lang w:val="zh-CN"/>
        </w:rPr>
        <w:t>、知识产权</w:t>
      </w:r>
    </w:p>
    <w:p>
      <w:pPr>
        <w:spacing w:line="390" w:lineRule="exact"/>
        <w:ind w:firstLine="480" w:firstLineChars="200"/>
        <w:rPr>
          <w:rFonts w:ascii="方正仿宋_GBK" w:hAnsi="宋体" w:eastAsia="方正仿宋_GBK"/>
          <w:bCs/>
          <w:color w:val="auto"/>
          <w:sz w:val="24"/>
          <w:szCs w:val="24"/>
          <w:lang w:val="zh-CN"/>
        </w:rPr>
      </w:pPr>
      <w:r>
        <w:rPr>
          <w:rFonts w:hint="eastAsia" w:ascii="方正仿宋_GBK" w:hAnsi="宋体" w:eastAsia="方正仿宋_GBK"/>
          <w:bCs/>
          <w:color w:val="auto"/>
          <w:sz w:val="24"/>
          <w:szCs w:val="24"/>
          <w:lang w:val="zh-CN"/>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pPr>
        <w:spacing w:line="390" w:lineRule="exact"/>
        <w:rPr>
          <w:rFonts w:ascii="方正仿宋_GBK" w:hAnsi="宋体" w:eastAsia="方正仿宋_GBK"/>
          <w:bCs/>
          <w:color w:val="auto"/>
          <w:sz w:val="24"/>
          <w:szCs w:val="24"/>
          <w:lang w:val="zh-CN"/>
        </w:rPr>
      </w:pPr>
    </w:p>
    <w:p>
      <w:pPr>
        <w:spacing w:line="390" w:lineRule="exact"/>
        <w:ind w:firstLine="482" w:firstLineChars="200"/>
        <w:rPr>
          <w:rFonts w:ascii="方正仿宋_GBK" w:hAnsi="宋体" w:eastAsia="方正仿宋_GBK"/>
          <w:b/>
          <w:bCs/>
          <w:color w:val="auto"/>
          <w:sz w:val="24"/>
          <w:szCs w:val="24"/>
          <w:lang w:val="zh-CN"/>
        </w:rPr>
      </w:pPr>
      <w:r>
        <w:rPr>
          <w:rFonts w:hint="eastAsia" w:ascii="方正仿宋_GBK" w:hAnsi="宋体" w:eastAsia="方正仿宋_GBK"/>
          <w:b/>
          <w:bCs/>
          <w:color w:val="auto"/>
          <w:sz w:val="24"/>
          <w:szCs w:val="24"/>
        </w:rPr>
        <w:t>七</w:t>
      </w:r>
      <w:r>
        <w:rPr>
          <w:rFonts w:hint="eastAsia" w:ascii="方正仿宋_GBK" w:hAnsi="宋体" w:eastAsia="方正仿宋_GBK"/>
          <w:b/>
          <w:bCs/>
          <w:color w:val="auto"/>
          <w:sz w:val="24"/>
          <w:szCs w:val="24"/>
          <w:lang w:val="zh-CN"/>
        </w:rPr>
        <w:t>、其他</w:t>
      </w:r>
    </w:p>
    <w:p>
      <w:pPr>
        <w:spacing w:line="390" w:lineRule="exact"/>
        <w:ind w:firstLine="480" w:firstLineChars="200"/>
        <w:jc w:val="left"/>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一）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pPr>
        <w:spacing w:line="390" w:lineRule="exact"/>
        <w:ind w:firstLine="480" w:firstLineChars="200"/>
        <w:jc w:val="left"/>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（二）成交供应商应定期对员工进行岗位培训，不断提高员工服务技能；从业人员有较强的服务、责任、保密意识以及稳定性。</w:t>
      </w:r>
    </w:p>
    <w:p>
      <w:pPr>
        <w:spacing w:line="390" w:lineRule="exact"/>
        <w:ind w:firstLine="480" w:firstLineChars="200"/>
        <w:jc w:val="left"/>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（三）成交供应商应当严格按照国家、相关规定和政府采购合同，对本项目实施专业化管理，综合性服务。</w:t>
      </w:r>
    </w:p>
    <w:p>
      <w:pPr>
        <w:spacing w:line="390" w:lineRule="exact"/>
        <w:ind w:firstLine="480" w:firstLineChars="200"/>
        <w:jc w:val="left"/>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（四）履约服务期限内所发生的一切安全事故均由成交供应商自行负责。</w:t>
      </w:r>
    </w:p>
    <w:p>
      <w:pPr>
        <w:spacing w:line="390" w:lineRule="exact"/>
        <w:ind w:firstLine="480" w:firstLineChars="200"/>
        <w:jc w:val="left"/>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（五）供应商必须在响应文件中对以上条款和服务承诺明确列出，承诺内容必须达到竞争性磋商文件的要求。</w:t>
      </w:r>
    </w:p>
    <w:p>
      <w:pPr>
        <w:spacing w:line="390" w:lineRule="exact"/>
        <w:ind w:firstLine="480" w:firstLineChars="200"/>
        <w:jc w:val="left"/>
        <w:rPr>
          <w:color w:val="auto"/>
          <w:lang w:val="zh-CN"/>
        </w:rPr>
      </w:pPr>
      <w:r>
        <w:rPr>
          <w:rFonts w:hint="eastAsia" w:ascii="方正仿宋_GBK" w:hAnsi="宋体" w:eastAsia="方正仿宋_GBK"/>
          <w:color w:val="auto"/>
          <w:sz w:val="24"/>
          <w:szCs w:val="24"/>
          <w:lang w:val="zh-CN"/>
        </w:rPr>
        <w:t>（六）其他未尽事宜由采购人和成交供应商双方在采购合同中详细约定。</w:t>
      </w:r>
    </w:p>
    <w:p>
      <w:pPr>
        <w:spacing w:line="600" w:lineRule="exact"/>
        <w:jc w:val="center"/>
        <w:rPr>
          <w:rFonts w:eastAsia="方正小标宋_GBK"/>
          <w:color w:val="auto"/>
          <w:sz w:val="44"/>
          <w:szCs w:val="44"/>
          <w:lang w:val="zh-CN"/>
        </w:rPr>
      </w:pPr>
      <w:bookmarkStart w:id="7" w:name="_Toc466546921"/>
    </w:p>
    <w:p>
      <w:pPr>
        <w:spacing w:line="600" w:lineRule="exact"/>
        <w:jc w:val="center"/>
        <w:rPr>
          <w:rFonts w:eastAsia="方正小标宋_GBK"/>
          <w:color w:val="auto"/>
          <w:sz w:val="44"/>
          <w:szCs w:val="44"/>
          <w:lang w:val="zh-CN"/>
        </w:rPr>
      </w:pPr>
      <w:r>
        <w:rPr>
          <w:rFonts w:eastAsia="方正小标宋_GBK"/>
          <w:color w:val="auto"/>
          <w:sz w:val="44"/>
          <w:szCs w:val="44"/>
          <w:lang w:val="zh-CN"/>
        </w:rPr>
        <w:t>第四篇  磋商程序及方法、评审标准、无效响应和采购终止</w:t>
      </w:r>
    </w:p>
    <w:p>
      <w:pPr>
        <w:spacing w:line="390" w:lineRule="exact"/>
        <w:ind w:firstLine="482" w:firstLineChars="200"/>
        <w:jc w:val="left"/>
        <w:rPr>
          <w:rFonts w:eastAsia="方正仿宋_GBK"/>
          <w:color w:val="auto"/>
          <w:sz w:val="24"/>
          <w:szCs w:val="24"/>
          <w:lang w:val="zh-CN"/>
        </w:rPr>
      </w:pPr>
      <w:bookmarkStart w:id="8" w:name="_Toc466546920"/>
      <w:r>
        <w:rPr>
          <w:rFonts w:eastAsia="方正仿宋_GBK"/>
          <w:b/>
          <w:bCs/>
          <w:color w:val="auto"/>
          <w:sz w:val="24"/>
          <w:szCs w:val="24"/>
          <w:lang w:val="zh-CN"/>
        </w:rPr>
        <w:t>一、磋商程序及方法</w:t>
      </w:r>
      <w:bookmarkEnd w:id="8"/>
    </w:p>
    <w:p>
      <w:pPr>
        <w:spacing w:line="390" w:lineRule="exact"/>
        <w:ind w:firstLine="480" w:firstLineChars="200"/>
        <w:jc w:val="left"/>
        <w:rPr>
          <w:rFonts w:eastAsia="方正仿宋_GBK"/>
          <w:color w:val="auto"/>
          <w:sz w:val="24"/>
          <w:szCs w:val="24"/>
          <w:lang w:val="zh-CN"/>
        </w:rPr>
      </w:pPr>
      <w:r>
        <w:rPr>
          <w:rFonts w:eastAsia="方正仿宋_GBK"/>
          <w:color w:val="auto"/>
          <w:sz w:val="24"/>
          <w:szCs w:val="24"/>
          <w:lang w:val="zh-CN"/>
        </w:rPr>
        <w:t>（一）磋商按竞争性磋商文件规定的时间和地点进行，供应商须有法定代表人或其授权代表参加并签到。由本项目依法组建的磋商小组分别与各供应商进行磋商。</w:t>
      </w:r>
    </w:p>
    <w:p>
      <w:pPr>
        <w:spacing w:line="390" w:lineRule="exact"/>
        <w:ind w:firstLine="480" w:firstLineChars="200"/>
        <w:jc w:val="left"/>
        <w:rPr>
          <w:rFonts w:eastAsia="方正仿宋_GBK"/>
          <w:color w:val="auto"/>
          <w:sz w:val="24"/>
          <w:szCs w:val="24"/>
          <w:lang w:val="zh-CN"/>
        </w:rPr>
      </w:pPr>
      <w:r>
        <w:rPr>
          <w:rFonts w:eastAsia="方正仿宋_GBK"/>
          <w:color w:val="auto"/>
          <w:sz w:val="24"/>
          <w:szCs w:val="24"/>
          <w:lang w:val="zh-CN"/>
        </w:rPr>
        <w:t>（二）磋商小组对各供应商的资格条件、响应文件的有效性、完整性和响应程度进行审查。各供应商只有在完全符合要求的前提下，才能参与正式磋商。</w:t>
      </w:r>
    </w:p>
    <w:p>
      <w:pPr>
        <w:spacing w:line="390" w:lineRule="exact"/>
        <w:ind w:firstLine="480" w:firstLineChars="200"/>
        <w:jc w:val="left"/>
        <w:rPr>
          <w:rFonts w:eastAsia="方正仿宋_GBK"/>
          <w:color w:val="auto"/>
          <w:sz w:val="24"/>
          <w:szCs w:val="24"/>
          <w:lang w:val="zh-CN"/>
        </w:rPr>
      </w:pPr>
      <w:r>
        <w:rPr>
          <w:rFonts w:eastAsia="方正仿宋_GBK"/>
          <w:color w:val="auto"/>
          <w:sz w:val="24"/>
          <w:szCs w:val="24"/>
          <w:lang w:val="zh-CN"/>
        </w:rPr>
        <w:t>1.资格性检查。依据法律法规和竞争性磋商文件的规定，对响应文件中的资格证明等进行审查，以确定供应商是否具备磋商资格。资格性检查资料表如下：</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vAlign w:val="center"/>
          </w:tcPr>
          <w:p>
            <w:pPr>
              <w:spacing w:line="500" w:lineRule="exact"/>
              <w:jc w:val="center"/>
              <w:rPr>
                <w:rFonts w:eastAsia="方正仿宋_GBK"/>
                <w:b/>
                <w:color w:val="auto"/>
                <w:kern w:val="0"/>
                <w:sz w:val="21"/>
                <w:szCs w:val="21"/>
              </w:rPr>
            </w:pPr>
            <w:r>
              <w:rPr>
                <w:rFonts w:eastAsia="方正仿宋_GBK"/>
                <w:b/>
                <w:color w:val="auto"/>
                <w:kern w:val="0"/>
                <w:sz w:val="21"/>
                <w:szCs w:val="21"/>
              </w:rPr>
              <w:t>序号</w:t>
            </w:r>
          </w:p>
        </w:tc>
        <w:tc>
          <w:tcPr>
            <w:tcW w:w="3685" w:type="dxa"/>
            <w:gridSpan w:val="2"/>
            <w:vAlign w:val="center"/>
          </w:tcPr>
          <w:p>
            <w:pPr>
              <w:spacing w:line="500" w:lineRule="exact"/>
              <w:jc w:val="center"/>
              <w:rPr>
                <w:rFonts w:eastAsia="方正仿宋_GBK"/>
                <w:b/>
                <w:color w:val="auto"/>
                <w:kern w:val="0"/>
                <w:sz w:val="21"/>
                <w:szCs w:val="21"/>
              </w:rPr>
            </w:pPr>
            <w:r>
              <w:rPr>
                <w:rFonts w:eastAsia="方正仿宋_GBK"/>
                <w:b/>
                <w:color w:val="auto"/>
                <w:kern w:val="0"/>
                <w:sz w:val="21"/>
                <w:szCs w:val="21"/>
              </w:rPr>
              <w:t>检查因素</w:t>
            </w:r>
          </w:p>
        </w:tc>
        <w:tc>
          <w:tcPr>
            <w:tcW w:w="4111" w:type="dxa"/>
            <w:vAlign w:val="center"/>
          </w:tcPr>
          <w:p>
            <w:pPr>
              <w:spacing w:line="500" w:lineRule="exact"/>
              <w:jc w:val="center"/>
              <w:rPr>
                <w:rFonts w:eastAsia="方正仿宋_GBK"/>
                <w:b/>
                <w:color w:val="auto"/>
                <w:kern w:val="0"/>
                <w:sz w:val="21"/>
                <w:szCs w:val="21"/>
              </w:rPr>
            </w:pPr>
            <w:r>
              <w:rPr>
                <w:rFonts w:eastAsia="方正仿宋_GBK"/>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2" w:hRule="atLeast"/>
        </w:trPr>
        <w:tc>
          <w:tcPr>
            <w:tcW w:w="676" w:type="dxa"/>
            <w:vMerge w:val="restart"/>
            <w:vAlign w:val="center"/>
          </w:tcPr>
          <w:p>
            <w:pPr>
              <w:spacing w:line="500" w:lineRule="exact"/>
              <w:jc w:val="center"/>
              <w:rPr>
                <w:rFonts w:eastAsia="方正仿宋_GBK"/>
                <w:color w:val="auto"/>
                <w:sz w:val="18"/>
                <w:szCs w:val="18"/>
              </w:rPr>
            </w:pPr>
            <w:r>
              <w:rPr>
                <w:rFonts w:eastAsia="方正仿宋_GBK"/>
                <w:color w:val="auto"/>
                <w:sz w:val="18"/>
                <w:szCs w:val="18"/>
              </w:rPr>
              <w:t>1</w:t>
            </w:r>
          </w:p>
        </w:tc>
        <w:tc>
          <w:tcPr>
            <w:tcW w:w="709" w:type="dxa"/>
            <w:vMerge w:val="restart"/>
            <w:vAlign w:val="center"/>
          </w:tcPr>
          <w:p>
            <w:pPr>
              <w:spacing w:line="400" w:lineRule="exact"/>
              <w:rPr>
                <w:rFonts w:eastAsia="方正仿宋_GBK"/>
                <w:color w:val="auto"/>
                <w:sz w:val="18"/>
                <w:szCs w:val="18"/>
              </w:rPr>
            </w:pPr>
            <w:r>
              <w:rPr>
                <w:rFonts w:eastAsia="方正仿宋_GBK"/>
                <w:color w:val="auto"/>
                <w:sz w:val="18"/>
                <w:szCs w:val="18"/>
              </w:rPr>
              <w:t>响应供应商应符合的基本资格条件</w:t>
            </w:r>
          </w:p>
        </w:tc>
        <w:tc>
          <w:tcPr>
            <w:tcW w:w="2976" w:type="dxa"/>
            <w:vAlign w:val="center"/>
          </w:tcPr>
          <w:p>
            <w:pPr>
              <w:spacing w:line="500" w:lineRule="exact"/>
              <w:rPr>
                <w:rFonts w:eastAsia="方正仿宋_GBK"/>
                <w:color w:val="auto"/>
                <w:sz w:val="18"/>
                <w:szCs w:val="18"/>
              </w:rPr>
            </w:pPr>
            <w:r>
              <w:rPr>
                <w:rFonts w:eastAsia="方正仿宋_GBK"/>
                <w:color w:val="auto"/>
                <w:sz w:val="18"/>
                <w:szCs w:val="18"/>
              </w:rPr>
              <w:t>（1）具有独立承担民事责任的能力</w:t>
            </w:r>
          </w:p>
        </w:tc>
        <w:tc>
          <w:tcPr>
            <w:tcW w:w="4111" w:type="dxa"/>
            <w:vAlign w:val="center"/>
          </w:tcPr>
          <w:p>
            <w:pPr>
              <w:spacing w:line="0" w:lineRule="atLeast"/>
              <w:ind w:firstLine="360" w:firstLineChars="200"/>
              <w:rPr>
                <w:rFonts w:eastAsia="方正仿宋_GBK"/>
                <w:color w:val="auto"/>
                <w:sz w:val="18"/>
                <w:szCs w:val="18"/>
              </w:rPr>
            </w:pPr>
            <w:r>
              <w:rPr>
                <w:rFonts w:eastAsia="方正仿宋_GBK"/>
                <w:color w:val="auto"/>
                <w:sz w:val="18"/>
                <w:szCs w:val="18"/>
              </w:rPr>
              <w:t>1.响应供应商法人营业执照（副本）或事业单位法人证书（副本）或个体工商户营业执照或有效的自然人身份证明、组织机构代码证复印件。</w:t>
            </w:r>
          </w:p>
          <w:p>
            <w:pPr>
              <w:snapToGrid w:val="0"/>
              <w:spacing w:line="0" w:lineRule="atLeast"/>
              <w:ind w:firstLine="361" w:firstLineChars="200"/>
              <w:rPr>
                <w:rFonts w:eastAsia="方正仿宋_GBK"/>
                <w:color w:val="auto"/>
                <w:sz w:val="18"/>
                <w:szCs w:val="18"/>
              </w:rPr>
            </w:pPr>
            <w:r>
              <w:rPr>
                <w:rFonts w:eastAsia="方正仿宋_GBK"/>
                <w:b/>
                <w:color w:val="auto"/>
                <w:sz w:val="18"/>
                <w:szCs w:val="18"/>
              </w:rPr>
              <w:t>注：</w:t>
            </w:r>
            <w:r>
              <w:rPr>
                <w:rFonts w:eastAsia="方正仿宋_GBK"/>
                <w:color w:val="auto"/>
                <w:sz w:val="18"/>
                <w:szCs w:val="18"/>
              </w:rPr>
              <w:t>响应供应商已按“五证合一”登记制度办理营业执照的，只提供的法人营业执照（副本）复印件为准。</w:t>
            </w:r>
          </w:p>
          <w:p>
            <w:pPr>
              <w:spacing w:line="0" w:lineRule="atLeast"/>
              <w:ind w:firstLine="360" w:firstLineChars="200"/>
              <w:rPr>
                <w:rFonts w:eastAsia="方正仿宋_GBK"/>
                <w:color w:val="auto"/>
                <w:sz w:val="18"/>
                <w:szCs w:val="18"/>
              </w:rPr>
            </w:pPr>
            <w:r>
              <w:rPr>
                <w:rFonts w:eastAsia="方正仿宋_GBK"/>
                <w:color w:val="auto"/>
                <w:sz w:val="18"/>
                <w:szCs w:val="18"/>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676" w:type="dxa"/>
            <w:vMerge w:val="continue"/>
            <w:vAlign w:val="center"/>
          </w:tcPr>
          <w:p>
            <w:pPr>
              <w:spacing w:line="500" w:lineRule="exact"/>
              <w:jc w:val="center"/>
              <w:rPr>
                <w:rFonts w:eastAsia="方正仿宋_GBK"/>
                <w:color w:val="auto"/>
                <w:sz w:val="18"/>
                <w:szCs w:val="18"/>
              </w:rPr>
            </w:pPr>
          </w:p>
        </w:tc>
        <w:tc>
          <w:tcPr>
            <w:tcW w:w="709" w:type="dxa"/>
            <w:vMerge w:val="continue"/>
            <w:vAlign w:val="center"/>
          </w:tcPr>
          <w:p>
            <w:pPr>
              <w:spacing w:line="500" w:lineRule="exact"/>
              <w:rPr>
                <w:rFonts w:eastAsia="方正仿宋_GBK"/>
                <w:color w:val="auto"/>
                <w:sz w:val="18"/>
                <w:szCs w:val="18"/>
                <w:lang w:val="zh-CN"/>
              </w:rPr>
            </w:pPr>
          </w:p>
        </w:tc>
        <w:tc>
          <w:tcPr>
            <w:tcW w:w="2976" w:type="dxa"/>
            <w:vAlign w:val="center"/>
          </w:tcPr>
          <w:p>
            <w:pPr>
              <w:spacing w:line="500" w:lineRule="exact"/>
              <w:rPr>
                <w:rFonts w:eastAsia="方正仿宋_GBK"/>
                <w:color w:val="auto"/>
                <w:sz w:val="18"/>
                <w:szCs w:val="18"/>
              </w:rPr>
            </w:pPr>
            <w:r>
              <w:rPr>
                <w:rFonts w:eastAsia="方正仿宋_GBK"/>
                <w:color w:val="auto"/>
                <w:sz w:val="18"/>
                <w:szCs w:val="18"/>
                <w:lang w:val="zh-CN"/>
              </w:rPr>
              <w:t>（2）</w:t>
            </w:r>
            <w:r>
              <w:rPr>
                <w:rFonts w:eastAsia="方正仿宋_GBK"/>
                <w:color w:val="auto"/>
                <w:sz w:val="18"/>
                <w:szCs w:val="18"/>
              </w:rPr>
              <w:t>具有良好的商业信誉和健全的财务会计制度</w:t>
            </w:r>
          </w:p>
        </w:tc>
        <w:tc>
          <w:tcPr>
            <w:tcW w:w="4111" w:type="dxa"/>
            <w:vMerge w:val="restart"/>
            <w:vAlign w:val="center"/>
          </w:tcPr>
          <w:p>
            <w:pPr>
              <w:spacing w:line="0" w:lineRule="atLeast"/>
              <w:ind w:firstLine="180" w:firstLineChars="100"/>
              <w:rPr>
                <w:rFonts w:eastAsia="方正仿宋_GBK"/>
                <w:color w:val="auto"/>
                <w:sz w:val="18"/>
                <w:szCs w:val="18"/>
              </w:rPr>
            </w:pPr>
            <w:r>
              <w:rPr>
                <w:rFonts w:eastAsia="方正仿宋_GBK"/>
                <w:color w:val="auto"/>
                <w:sz w:val="18"/>
                <w:szCs w:val="18"/>
              </w:rPr>
              <w:t>1.响应供应商提供“诚信声明”。</w:t>
            </w:r>
          </w:p>
          <w:p>
            <w:pPr>
              <w:spacing w:line="0" w:lineRule="atLeast"/>
              <w:ind w:firstLine="180" w:firstLineChars="100"/>
              <w:rPr>
                <w:rFonts w:eastAsia="方正仿宋_GBK"/>
                <w:color w:val="auto"/>
                <w:sz w:val="18"/>
                <w:szCs w:val="18"/>
              </w:rPr>
            </w:pPr>
            <w:r>
              <w:rPr>
                <w:rFonts w:eastAsia="方正仿宋_GBK"/>
                <w:color w:val="auto"/>
                <w:sz w:val="18"/>
                <w:szCs w:val="18"/>
              </w:rPr>
              <w:t>2.响应供应商提供缴纳社会保障金的证明材料复印件。</w:t>
            </w:r>
          </w:p>
          <w:p>
            <w:pPr>
              <w:spacing w:line="0" w:lineRule="atLeast"/>
              <w:ind w:firstLine="361" w:firstLineChars="200"/>
              <w:rPr>
                <w:rFonts w:eastAsia="方正仿宋_GBK"/>
                <w:b/>
                <w:color w:val="auto"/>
                <w:sz w:val="18"/>
                <w:szCs w:val="18"/>
              </w:rPr>
            </w:pPr>
            <w:r>
              <w:rPr>
                <w:rFonts w:eastAsia="方正仿宋_GBK"/>
                <w:b/>
                <w:color w:val="auto"/>
                <w:sz w:val="18"/>
                <w:szCs w:val="18"/>
              </w:rPr>
              <w:t>注：</w:t>
            </w:r>
          </w:p>
          <w:p>
            <w:pPr>
              <w:spacing w:line="0" w:lineRule="atLeast"/>
              <w:ind w:firstLine="360" w:firstLineChars="200"/>
              <w:rPr>
                <w:rFonts w:eastAsia="方正仿宋_GBK"/>
                <w:color w:val="auto"/>
                <w:sz w:val="18"/>
                <w:szCs w:val="18"/>
              </w:rPr>
            </w:pPr>
            <w:r>
              <w:rPr>
                <w:rFonts w:eastAsia="方正仿宋_GBK"/>
                <w:color w:val="auto"/>
                <w:sz w:val="18"/>
                <w:szCs w:val="18"/>
              </w:rPr>
              <w:t>1.缴纳社会保障金的证明材料指：社会保险登记证或缴纳社会保险的凭据（专用收据或社会保险缴纳清单）。依法免税或不需要缴纳社会保障资金的响应供应商，应提供相应文件证明其依法免税或不需要缴纳社会保障资金。</w:t>
            </w:r>
          </w:p>
          <w:p>
            <w:pPr>
              <w:spacing w:line="400" w:lineRule="exact"/>
              <w:ind w:firstLine="180" w:firstLineChars="100"/>
              <w:rPr>
                <w:rFonts w:eastAsia="方正仿宋_GBK"/>
                <w:color w:val="auto"/>
                <w:sz w:val="18"/>
                <w:szCs w:val="18"/>
              </w:rPr>
            </w:pPr>
            <w:r>
              <w:rPr>
                <w:rFonts w:eastAsia="方正仿宋_GBK"/>
                <w:color w:val="auto"/>
                <w:sz w:val="18"/>
                <w:szCs w:val="18"/>
              </w:rPr>
              <w:t>2.截止本项目开标时间为止，成立时间不足一年的还需同时提供基本账户开户银行出具的资信证明复印件。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676" w:type="dxa"/>
            <w:vMerge w:val="continue"/>
            <w:vAlign w:val="center"/>
          </w:tcPr>
          <w:p>
            <w:pPr>
              <w:spacing w:line="500" w:lineRule="exact"/>
              <w:jc w:val="center"/>
              <w:rPr>
                <w:rFonts w:eastAsia="方正仿宋_GBK"/>
                <w:color w:val="auto"/>
                <w:sz w:val="18"/>
                <w:szCs w:val="18"/>
              </w:rPr>
            </w:pPr>
          </w:p>
        </w:tc>
        <w:tc>
          <w:tcPr>
            <w:tcW w:w="709" w:type="dxa"/>
            <w:vMerge w:val="continue"/>
            <w:vAlign w:val="center"/>
          </w:tcPr>
          <w:p>
            <w:pPr>
              <w:spacing w:line="500" w:lineRule="exact"/>
              <w:rPr>
                <w:rFonts w:eastAsia="方正仿宋_GBK"/>
                <w:color w:val="auto"/>
                <w:sz w:val="18"/>
                <w:szCs w:val="18"/>
                <w:lang w:val="zh-CN"/>
              </w:rPr>
            </w:pPr>
          </w:p>
        </w:tc>
        <w:tc>
          <w:tcPr>
            <w:tcW w:w="2976" w:type="dxa"/>
            <w:vAlign w:val="center"/>
          </w:tcPr>
          <w:p>
            <w:pPr>
              <w:spacing w:line="500" w:lineRule="exact"/>
              <w:rPr>
                <w:rFonts w:eastAsia="方正仿宋_GBK"/>
                <w:color w:val="auto"/>
                <w:sz w:val="18"/>
                <w:szCs w:val="18"/>
                <w:lang w:val="zh-CN"/>
              </w:rPr>
            </w:pPr>
            <w:r>
              <w:rPr>
                <w:rFonts w:eastAsia="方正仿宋_GBK"/>
                <w:color w:val="auto"/>
                <w:sz w:val="18"/>
                <w:szCs w:val="18"/>
                <w:lang w:val="zh-CN"/>
              </w:rPr>
              <w:t>（3）具有履行合同所必需的设备和专业技术能力</w:t>
            </w:r>
          </w:p>
        </w:tc>
        <w:tc>
          <w:tcPr>
            <w:tcW w:w="4111" w:type="dxa"/>
            <w:vMerge w:val="continue"/>
            <w:vAlign w:val="center"/>
          </w:tcPr>
          <w:p>
            <w:pPr>
              <w:spacing w:line="0" w:lineRule="atLeast"/>
              <w:ind w:firstLine="360" w:firstLineChars="200"/>
              <w:rPr>
                <w:rFonts w:eastAsia="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676" w:type="dxa"/>
            <w:vMerge w:val="continue"/>
            <w:vAlign w:val="center"/>
          </w:tcPr>
          <w:p>
            <w:pPr>
              <w:spacing w:line="500" w:lineRule="exact"/>
              <w:jc w:val="center"/>
              <w:rPr>
                <w:rFonts w:eastAsia="方正仿宋_GBK"/>
                <w:color w:val="auto"/>
                <w:sz w:val="18"/>
                <w:szCs w:val="18"/>
              </w:rPr>
            </w:pPr>
          </w:p>
        </w:tc>
        <w:tc>
          <w:tcPr>
            <w:tcW w:w="709" w:type="dxa"/>
            <w:vMerge w:val="continue"/>
            <w:vAlign w:val="center"/>
          </w:tcPr>
          <w:p>
            <w:pPr>
              <w:spacing w:line="500" w:lineRule="exact"/>
              <w:rPr>
                <w:rFonts w:eastAsia="方正仿宋_GBK"/>
                <w:color w:val="auto"/>
                <w:sz w:val="18"/>
                <w:szCs w:val="18"/>
                <w:lang w:val="zh-CN"/>
              </w:rPr>
            </w:pPr>
          </w:p>
        </w:tc>
        <w:tc>
          <w:tcPr>
            <w:tcW w:w="2976" w:type="dxa"/>
            <w:vAlign w:val="center"/>
          </w:tcPr>
          <w:p>
            <w:pPr>
              <w:spacing w:line="500" w:lineRule="exact"/>
              <w:rPr>
                <w:rFonts w:eastAsia="方正仿宋_GBK"/>
                <w:color w:val="auto"/>
                <w:sz w:val="18"/>
                <w:szCs w:val="18"/>
                <w:lang w:val="zh-CN"/>
              </w:rPr>
            </w:pPr>
            <w:r>
              <w:rPr>
                <w:rFonts w:eastAsia="方正仿宋_GBK"/>
                <w:color w:val="auto"/>
                <w:sz w:val="18"/>
                <w:szCs w:val="18"/>
                <w:lang w:val="zh-CN"/>
              </w:rPr>
              <w:t>（4）有依法缴纳税收和社会保障金的良好记录</w:t>
            </w:r>
          </w:p>
        </w:tc>
        <w:tc>
          <w:tcPr>
            <w:tcW w:w="4111" w:type="dxa"/>
            <w:vMerge w:val="continue"/>
            <w:vAlign w:val="center"/>
          </w:tcPr>
          <w:p>
            <w:pPr>
              <w:spacing w:line="0" w:lineRule="atLeast"/>
              <w:ind w:firstLine="480" w:firstLineChars="200"/>
              <w:rPr>
                <w:rFonts w:eastAsia="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676" w:type="dxa"/>
            <w:vMerge w:val="continue"/>
            <w:vAlign w:val="center"/>
          </w:tcPr>
          <w:p>
            <w:pPr>
              <w:spacing w:line="500" w:lineRule="exact"/>
              <w:jc w:val="center"/>
              <w:rPr>
                <w:rFonts w:eastAsia="方正仿宋_GBK"/>
                <w:color w:val="auto"/>
                <w:sz w:val="18"/>
                <w:szCs w:val="18"/>
              </w:rPr>
            </w:pPr>
          </w:p>
        </w:tc>
        <w:tc>
          <w:tcPr>
            <w:tcW w:w="709" w:type="dxa"/>
            <w:vMerge w:val="continue"/>
            <w:vAlign w:val="center"/>
          </w:tcPr>
          <w:p>
            <w:pPr>
              <w:spacing w:line="500" w:lineRule="exact"/>
              <w:rPr>
                <w:rFonts w:eastAsia="方正仿宋_GBK"/>
                <w:color w:val="auto"/>
                <w:sz w:val="18"/>
                <w:szCs w:val="18"/>
                <w:lang w:val="zh-CN"/>
              </w:rPr>
            </w:pPr>
          </w:p>
        </w:tc>
        <w:tc>
          <w:tcPr>
            <w:tcW w:w="2976" w:type="dxa"/>
            <w:tcBorders>
              <w:bottom w:val="single" w:color="auto" w:sz="4" w:space="0"/>
            </w:tcBorders>
            <w:vAlign w:val="center"/>
          </w:tcPr>
          <w:p>
            <w:pPr>
              <w:spacing w:line="400" w:lineRule="exact"/>
              <w:rPr>
                <w:rFonts w:eastAsia="方正仿宋_GBK"/>
                <w:color w:val="auto"/>
                <w:sz w:val="18"/>
                <w:szCs w:val="18"/>
                <w:lang w:val="zh-CN"/>
              </w:rPr>
            </w:pPr>
            <w:r>
              <w:rPr>
                <w:rFonts w:eastAsia="方正仿宋_GBK"/>
                <w:color w:val="auto"/>
                <w:sz w:val="18"/>
                <w:szCs w:val="18"/>
              </w:rPr>
              <w:t>（5）参加政府采购活动近三年内，在经营活动中没有重大违法记录</w:t>
            </w:r>
          </w:p>
        </w:tc>
        <w:tc>
          <w:tcPr>
            <w:tcW w:w="4111" w:type="dxa"/>
            <w:vMerge w:val="continue"/>
            <w:tcBorders>
              <w:bottom w:val="single" w:color="auto" w:sz="4" w:space="0"/>
            </w:tcBorders>
            <w:vAlign w:val="center"/>
          </w:tcPr>
          <w:p>
            <w:pPr>
              <w:spacing w:line="0" w:lineRule="atLeast"/>
              <w:ind w:firstLine="360" w:firstLineChars="200"/>
              <w:rPr>
                <w:rFonts w:eastAsia="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76" w:type="dxa"/>
            <w:vMerge w:val="continue"/>
            <w:vAlign w:val="center"/>
          </w:tcPr>
          <w:p>
            <w:pPr>
              <w:spacing w:line="500" w:lineRule="exact"/>
              <w:jc w:val="center"/>
              <w:rPr>
                <w:rFonts w:eastAsia="方正仿宋_GBK"/>
                <w:color w:val="auto"/>
                <w:sz w:val="18"/>
                <w:szCs w:val="18"/>
              </w:rPr>
            </w:pPr>
          </w:p>
        </w:tc>
        <w:tc>
          <w:tcPr>
            <w:tcW w:w="709" w:type="dxa"/>
            <w:vMerge w:val="continue"/>
            <w:vAlign w:val="center"/>
          </w:tcPr>
          <w:p>
            <w:pPr>
              <w:spacing w:line="500" w:lineRule="exact"/>
              <w:rPr>
                <w:rFonts w:eastAsia="方正仿宋_GBK"/>
                <w:color w:val="auto"/>
                <w:sz w:val="18"/>
                <w:szCs w:val="18"/>
                <w:lang w:val="zh-CN"/>
              </w:rPr>
            </w:pPr>
          </w:p>
        </w:tc>
        <w:tc>
          <w:tcPr>
            <w:tcW w:w="2976" w:type="dxa"/>
            <w:tcBorders>
              <w:top w:val="single" w:color="auto" w:sz="4" w:space="0"/>
            </w:tcBorders>
            <w:vAlign w:val="center"/>
          </w:tcPr>
          <w:p>
            <w:pPr>
              <w:spacing w:line="400" w:lineRule="exact"/>
              <w:rPr>
                <w:rFonts w:eastAsia="方正仿宋_GBK"/>
                <w:color w:val="auto"/>
                <w:sz w:val="18"/>
                <w:szCs w:val="18"/>
              </w:rPr>
            </w:pPr>
            <w:r>
              <w:rPr>
                <w:rFonts w:eastAsia="方正仿宋_GBK"/>
                <w:color w:val="auto"/>
                <w:sz w:val="18"/>
                <w:szCs w:val="18"/>
              </w:rPr>
              <w:t>（6）法律、行政法规规定的其他条件</w:t>
            </w:r>
          </w:p>
        </w:tc>
        <w:tc>
          <w:tcPr>
            <w:tcW w:w="4111" w:type="dxa"/>
            <w:tcBorders>
              <w:top w:val="single" w:color="auto" w:sz="4" w:space="0"/>
            </w:tcBorders>
            <w:vAlign w:val="center"/>
          </w:tcPr>
          <w:p>
            <w:pPr>
              <w:spacing w:line="400" w:lineRule="exact"/>
              <w:rPr>
                <w:rFonts w:eastAsia="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76" w:type="dxa"/>
            <w:vAlign w:val="center"/>
          </w:tcPr>
          <w:p>
            <w:pPr>
              <w:spacing w:line="500" w:lineRule="exact"/>
              <w:jc w:val="center"/>
              <w:rPr>
                <w:rFonts w:eastAsia="方正仿宋_GBK"/>
                <w:color w:val="auto"/>
                <w:sz w:val="18"/>
                <w:szCs w:val="18"/>
              </w:rPr>
            </w:pPr>
            <w:r>
              <w:rPr>
                <w:rFonts w:eastAsia="方正仿宋_GBK"/>
                <w:color w:val="auto"/>
                <w:sz w:val="18"/>
                <w:szCs w:val="18"/>
              </w:rPr>
              <w:t>2</w:t>
            </w:r>
          </w:p>
        </w:tc>
        <w:tc>
          <w:tcPr>
            <w:tcW w:w="3685" w:type="dxa"/>
            <w:gridSpan w:val="2"/>
            <w:vAlign w:val="center"/>
          </w:tcPr>
          <w:p>
            <w:pPr>
              <w:spacing w:line="400" w:lineRule="exact"/>
              <w:rPr>
                <w:rFonts w:eastAsia="方正仿宋_GBK"/>
                <w:color w:val="auto"/>
                <w:sz w:val="18"/>
                <w:szCs w:val="18"/>
              </w:rPr>
            </w:pPr>
            <w:r>
              <w:rPr>
                <w:rFonts w:hint="eastAsia" w:eastAsia="方正仿宋_GBK"/>
                <w:color w:val="auto"/>
                <w:sz w:val="18"/>
                <w:szCs w:val="18"/>
              </w:rPr>
              <w:t>落实政府采购政策需满足的资格要求</w:t>
            </w:r>
          </w:p>
        </w:tc>
        <w:tc>
          <w:tcPr>
            <w:tcW w:w="4111" w:type="dxa"/>
            <w:vAlign w:val="center"/>
          </w:tcPr>
          <w:p>
            <w:pPr>
              <w:spacing w:line="0" w:lineRule="atLeast"/>
              <w:rPr>
                <w:rFonts w:eastAsia="方正仿宋_GBK"/>
                <w:color w:val="auto"/>
                <w:sz w:val="18"/>
                <w:szCs w:val="18"/>
              </w:rPr>
            </w:pPr>
            <w:r>
              <w:rPr>
                <w:rFonts w:hint="eastAsia" w:eastAsia="方正仿宋_GBK"/>
                <w:color w:val="auto"/>
                <w:sz w:val="18"/>
                <w:szCs w:val="18"/>
              </w:rPr>
              <w:t>按落实政府采购政策需满足的资格要求提交。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76" w:type="dxa"/>
            <w:vAlign w:val="center"/>
          </w:tcPr>
          <w:p>
            <w:pPr>
              <w:spacing w:line="500" w:lineRule="exact"/>
              <w:jc w:val="center"/>
              <w:rPr>
                <w:rFonts w:eastAsia="方正仿宋_GBK"/>
                <w:color w:val="auto"/>
                <w:sz w:val="18"/>
                <w:szCs w:val="18"/>
              </w:rPr>
            </w:pPr>
            <w:r>
              <w:rPr>
                <w:rFonts w:hint="eastAsia" w:eastAsia="方正仿宋_GBK"/>
                <w:color w:val="auto"/>
                <w:sz w:val="18"/>
                <w:szCs w:val="18"/>
              </w:rPr>
              <w:t>3</w:t>
            </w:r>
          </w:p>
        </w:tc>
        <w:tc>
          <w:tcPr>
            <w:tcW w:w="3685" w:type="dxa"/>
            <w:gridSpan w:val="2"/>
            <w:vAlign w:val="center"/>
          </w:tcPr>
          <w:p>
            <w:pPr>
              <w:spacing w:line="500" w:lineRule="exact"/>
              <w:rPr>
                <w:rFonts w:eastAsia="方正仿宋_GBK"/>
                <w:color w:val="auto"/>
                <w:sz w:val="18"/>
                <w:szCs w:val="18"/>
              </w:rPr>
            </w:pPr>
            <w:r>
              <w:rPr>
                <w:rFonts w:eastAsia="方正仿宋_GBK"/>
                <w:color w:val="auto"/>
                <w:sz w:val="18"/>
                <w:szCs w:val="18"/>
              </w:rPr>
              <w:t>特定资格条件</w:t>
            </w:r>
          </w:p>
        </w:tc>
        <w:tc>
          <w:tcPr>
            <w:tcW w:w="4111" w:type="dxa"/>
            <w:vAlign w:val="center"/>
          </w:tcPr>
          <w:p>
            <w:pPr>
              <w:spacing w:line="0" w:lineRule="atLeast"/>
              <w:rPr>
                <w:rFonts w:eastAsia="方正仿宋_GBK"/>
                <w:color w:val="auto"/>
                <w:sz w:val="18"/>
                <w:szCs w:val="18"/>
              </w:rPr>
            </w:pPr>
            <w:r>
              <w:rPr>
                <w:rFonts w:hint="eastAsia" w:eastAsia="方正仿宋_GBK"/>
                <w:color w:val="auto"/>
                <w:sz w:val="18"/>
                <w:szCs w:val="18"/>
              </w:rPr>
              <w:t>无</w:t>
            </w:r>
          </w:p>
        </w:tc>
      </w:tr>
    </w:tbl>
    <w:p>
      <w:pPr>
        <w:snapToGrid w:val="0"/>
        <w:spacing w:line="400" w:lineRule="exact"/>
        <w:rPr>
          <w:rFonts w:eastAsia="方正仿宋_GBK"/>
          <w:color w:val="auto"/>
          <w:kern w:val="0"/>
          <w:sz w:val="24"/>
          <w:szCs w:val="24"/>
        </w:rPr>
      </w:pPr>
    </w:p>
    <w:p>
      <w:pPr>
        <w:snapToGrid w:val="0"/>
        <w:spacing w:line="400" w:lineRule="exact"/>
        <w:ind w:firstLine="480" w:firstLineChars="200"/>
        <w:rPr>
          <w:rFonts w:eastAsia="方正仿宋_GBK"/>
          <w:color w:val="auto"/>
          <w:kern w:val="0"/>
          <w:sz w:val="24"/>
          <w:szCs w:val="24"/>
        </w:rPr>
      </w:pPr>
      <w:r>
        <w:rPr>
          <w:rFonts w:eastAsia="方正仿宋_GBK"/>
          <w:color w:val="auto"/>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10"/>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1"/>
        <w:gridCol w:w="198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5" w:type="dxa"/>
            <w:vAlign w:val="center"/>
          </w:tcPr>
          <w:p>
            <w:pPr>
              <w:spacing w:line="240" w:lineRule="exact"/>
              <w:jc w:val="center"/>
              <w:rPr>
                <w:rFonts w:eastAsia="方正仿宋_GBK"/>
                <w:b/>
                <w:color w:val="auto"/>
                <w:kern w:val="0"/>
                <w:sz w:val="21"/>
                <w:szCs w:val="21"/>
              </w:rPr>
            </w:pPr>
            <w:r>
              <w:rPr>
                <w:rFonts w:eastAsia="方正仿宋_GBK"/>
                <w:b/>
                <w:color w:val="auto"/>
                <w:kern w:val="0"/>
                <w:sz w:val="21"/>
                <w:szCs w:val="21"/>
              </w:rPr>
              <w:t>序号</w:t>
            </w:r>
          </w:p>
        </w:tc>
        <w:tc>
          <w:tcPr>
            <w:tcW w:w="3547" w:type="dxa"/>
            <w:gridSpan w:val="2"/>
            <w:vAlign w:val="center"/>
          </w:tcPr>
          <w:p>
            <w:pPr>
              <w:spacing w:line="240" w:lineRule="exact"/>
              <w:jc w:val="center"/>
              <w:rPr>
                <w:rFonts w:eastAsia="方正仿宋_GBK"/>
                <w:b/>
                <w:color w:val="auto"/>
                <w:kern w:val="0"/>
                <w:sz w:val="21"/>
                <w:szCs w:val="21"/>
              </w:rPr>
            </w:pPr>
            <w:r>
              <w:rPr>
                <w:rFonts w:eastAsia="方正仿宋_GBK"/>
                <w:b/>
                <w:color w:val="auto"/>
                <w:kern w:val="0"/>
                <w:sz w:val="21"/>
                <w:szCs w:val="21"/>
              </w:rPr>
              <w:t>评审因素</w:t>
            </w:r>
          </w:p>
        </w:tc>
        <w:tc>
          <w:tcPr>
            <w:tcW w:w="4258" w:type="dxa"/>
            <w:vAlign w:val="center"/>
          </w:tcPr>
          <w:p>
            <w:pPr>
              <w:spacing w:line="240" w:lineRule="exact"/>
              <w:jc w:val="center"/>
              <w:rPr>
                <w:rFonts w:eastAsia="方正仿宋_GBK"/>
                <w:b/>
                <w:color w:val="auto"/>
                <w:kern w:val="0"/>
                <w:sz w:val="21"/>
                <w:szCs w:val="21"/>
              </w:rPr>
            </w:pPr>
            <w:r>
              <w:rPr>
                <w:rFonts w:eastAsia="方正仿宋_GBK"/>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Merge w:val="restart"/>
            <w:vAlign w:val="center"/>
          </w:tcPr>
          <w:p>
            <w:pPr>
              <w:spacing w:line="240" w:lineRule="exact"/>
              <w:jc w:val="center"/>
              <w:rPr>
                <w:rFonts w:eastAsia="方正仿宋_GBK"/>
                <w:color w:val="auto"/>
                <w:sz w:val="18"/>
                <w:szCs w:val="18"/>
              </w:rPr>
            </w:pPr>
            <w:r>
              <w:rPr>
                <w:rFonts w:eastAsia="方正仿宋_GBK"/>
                <w:color w:val="auto"/>
                <w:sz w:val="18"/>
                <w:szCs w:val="18"/>
              </w:rPr>
              <w:t>1</w:t>
            </w:r>
          </w:p>
        </w:tc>
        <w:tc>
          <w:tcPr>
            <w:tcW w:w="1561" w:type="dxa"/>
            <w:vMerge w:val="restart"/>
            <w:vAlign w:val="center"/>
          </w:tcPr>
          <w:p>
            <w:pPr>
              <w:spacing w:line="240" w:lineRule="exact"/>
              <w:jc w:val="center"/>
              <w:rPr>
                <w:rFonts w:eastAsia="方正仿宋_GBK"/>
                <w:color w:val="auto"/>
                <w:sz w:val="18"/>
                <w:szCs w:val="18"/>
              </w:rPr>
            </w:pPr>
            <w:r>
              <w:rPr>
                <w:rFonts w:eastAsia="方正仿宋_GBK"/>
                <w:color w:val="auto"/>
                <w:sz w:val="18"/>
                <w:szCs w:val="18"/>
              </w:rPr>
              <w:t>有效性审查</w:t>
            </w: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响应文件签署</w:t>
            </w:r>
          </w:p>
        </w:tc>
        <w:tc>
          <w:tcPr>
            <w:tcW w:w="4258" w:type="dxa"/>
            <w:vAlign w:val="center"/>
          </w:tcPr>
          <w:p>
            <w:pPr>
              <w:spacing w:line="240" w:lineRule="exact"/>
              <w:jc w:val="left"/>
              <w:rPr>
                <w:rFonts w:eastAsia="方正仿宋_GBK"/>
                <w:color w:val="auto"/>
                <w:sz w:val="18"/>
                <w:szCs w:val="18"/>
              </w:rPr>
            </w:pPr>
            <w:r>
              <w:rPr>
                <w:rFonts w:eastAsia="方正仿宋_GBK"/>
                <w:color w:val="auto"/>
                <w:sz w:val="18"/>
                <w:szCs w:val="1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Merge w:val="continue"/>
            <w:vAlign w:val="center"/>
          </w:tcPr>
          <w:p>
            <w:pPr>
              <w:spacing w:line="240" w:lineRule="exact"/>
              <w:jc w:val="center"/>
              <w:rPr>
                <w:rFonts w:eastAsia="方正仿宋_GBK"/>
                <w:color w:val="auto"/>
                <w:sz w:val="18"/>
                <w:szCs w:val="18"/>
              </w:rPr>
            </w:pPr>
          </w:p>
        </w:tc>
        <w:tc>
          <w:tcPr>
            <w:tcW w:w="1561" w:type="dxa"/>
            <w:vMerge w:val="continue"/>
            <w:vAlign w:val="center"/>
          </w:tcPr>
          <w:p>
            <w:pPr>
              <w:spacing w:line="240" w:lineRule="exact"/>
              <w:jc w:val="center"/>
              <w:rPr>
                <w:rFonts w:eastAsia="方正仿宋_GBK"/>
                <w:color w:val="auto"/>
                <w:sz w:val="18"/>
                <w:szCs w:val="18"/>
              </w:rPr>
            </w:pP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法定代表人身份证明及授权委托书</w:t>
            </w:r>
          </w:p>
        </w:tc>
        <w:tc>
          <w:tcPr>
            <w:tcW w:w="4258" w:type="dxa"/>
            <w:vAlign w:val="center"/>
          </w:tcPr>
          <w:p>
            <w:pPr>
              <w:spacing w:line="240" w:lineRule="exact"/>
              <w:jc w:val="left"/>
              <w:rPr>
                <w:rFonts w:eastAsia="方正仿宋_GBK"/>
                <w:color w:val="auto"/>
                <w:sz w:val="18"/>
                <w:szCs w:val="18"/>
              </w:rPr>
            </w:pPr>
            <w:r>
              <w:rPr>
                <w:rFonts w:eastAsia="方正仿宋_GBK"/>
                <w:color w:val="auto"/>
                <w:sz w:val="18"/>
                <w:szCs w:val="18"/>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5" w:type="dxa"/>
            <w:vMerge w:val="continue"/>
            <w:vAlign w:val="center"/>
          </w:tcPr>
          <w:p>
            <w:pPr>
              <w:spacing w:line="240" w:lineRule="exact"/>
              <w:jc w:val="center"/>
              <w:rPr>
                <w:rFonts w:eastAsia="方正仿宋_GBK"/>
                <w:color w:val="auto"/>
                <w:sz w:val="18"/>
                <w:szCs w:val="18"/>
              </w:rPr>
            </w:pPr>
          </w:p>
        </w:tc>
        <w:tc>
          <w:tcPr>
            <w:tcW w:w="1561" w:type="dxa"/>
            <w:vMerge w:val="continue"/>
            <w:vAlign w:val="center"/>
          </w:tcPr>
          <w:p>
            <w:pPr>
              <w:spacing w:line="240" w:lineRule="exact"/>
              <w:jc w:val="center"/>
              <w:rPr>
                <w:rFonts w:eastAsia="方正仿宋_GBK"/>
                <w:color w:val="auto"/>
                <w:sz w:val="18"/>
                <w:szCs w:val="18"/>
              </w:rPr>
            </w:pP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响应方案</w:t>
            </w:r>
          </w:p>
        </w:tc>
        <w:tc>
          <w:tcPr>
            <w:tcW w:w="4258" w:type="dxa"/>
            <w:vAlign w:val="center"/>
          </w:tcPr>
          <w:p>
            <w:pPr>
              <w:spacing w:line="240" w:lineRule="exact"/>
              <w:jc w:val="left"/>
              <w:rPr>
                <w:rFonts w:eastAsia="方正仿宋_GBK"/>
                <w:color w:val="auto"/>
                <w:sz w:val="18"/>
                <w:szCs w:val="18"/>
              </w:rPr>
            </w:pPr>
            <w:r>
              <w:rPr>
                <w:rFonts w:eastAsia="方正仿宋_GBK"/>
                <w:color w:val="auto"/>
                <w:sz w:val="18"/>
                <w:szCs w:val="18"/>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75" w:type="dxa"/>
            <w:vMerge w:val="continue"/>
            <w:vAlign w:val="center"/>
          </w:tcPr>
          <w:p>
            <w:pPr>
              <w:spacing w:line="240" w:lineRule="exact"/>
              <w:jc w:val="center"/>
              <w:rPr>
                <w:rFonts w:eastAsia="方正仿宋_GBK"/>
                <w:color w:val="auto"/>
                <w:sz w:val="18"/>
                <w:szCs w:val="18"/>
              </w:rPr>
            </w:pPr>
          </w:p>
        </w:tc>
        <w:tc>
          <w:tcPr>
            <w:tcW w:w="1561" w:type="dxa"/>
            <w:vMerge w:val="continue"/>
            <w:vAlign w:val="center"/>
          </w:tcPr>
          <w:p>
            <w:pPr>
              <w:spacing w:line="240" w:lineRule="exact"/>
              <w:jc w:val="center"/>
              <w:rPr>
                <w:rFonts w:eastAsia="方正仿宋_GBK"/>
                <w:color w:val="auto"/>
                <w:sz w:val="18"/>
                <w:szCs w:val="18"/>
              </w:rPr>
            </w:pP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报价唯一</w:t>
            </w:r>
          </w:p>
        </w:tc>
        <w:tc>
          <w:tcPr>
            <w:tcW w:w="4258" w:type="dxa"/>
            <w:vAlign w:val="center"/>
          </w:tcPr>
          <w:p>
            <w:pPr>
              <w:spacing w:line="240" w:lineRule="exact"/>
              <w:jc w:val="left"/>
              <w:rPr>
                <w:rFonts w:eastAsia="方正仿宋_GBK"/>
                <w:color w:val="auto"/>
                <w:sz w:val="18"/>
                <w:szCs w:val="18"/>
              </w:rPr>
            </w:pPr>
            <w:r>
              <w:rPr>
                <w:rFonts w:eastAsia="方正仿宋_GBK"/>
                <w:color w:val="auto"/>
                <w:sz w:val="18"/>
                <w:szCs w:val="18"/>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5" w:type="dxa"/>
            <w:vMerge w:val="continue"/>
            <w:vAlign w:val="center"/>
          </w:tcPr>
          <w:p>
            <w:pPr>
              <w:spacing w:line="240" w:lineRule="exact"/>
              <w:jc w:val="center"/>
              <w:rPr>
                <w:rFonts w:eastAsia="方正仿宋_GBK"/>
                <w:color w:val="auto"/>
                <w:sz w:val="18"/>
                <w:szCs w:val="18"/>
              </w:rPr>
            </w:pPr>
          </w:p>
        </w:tc>
        <w:tc>
          <w:tcPr>
            <w:tcW w:w="1561" w:type="dxa"/>
            <w:vMerge w:val="continue"/>
            <w:vAlign w:val="center"/>
          </w:tcPr>
          <w:p>
            <w:pPr>
              <w:spacing w:line="240" w:lineRule="exact"/>
              <w:jc w:val="center"/>
              <w:rPr>
                <w:rFonts w:eastAsia="方正仿宋_GBK"/>
                <w:color w:val="auto"/>
                <w:sz w:val="18"/>
                <w:szCs w:val="18"/>
              </w:rPr>
            </w:pPr>
          </w:p>
        </w:tc>
        <w:tc>
          <w:tcPr>
            <w:tcW w:w="6244" w:type="dxa"/>
            <w:gridSpan w:val="2"/>
            <w:vAlign w:val="center"/>
          </w:tcPr>
          <w:p>
            <w:pPr>
              <w:spacing w:line="240" w:lineRule="exact"/>
              <w:jc w:val="left"/>
              <w:rPr>
                <w:rFonts w:eastAsia="方正仿宋_GBK"/>
                <w:color w:val="auto"/>
                <w:sz w:val="18"/>
                <w:szCs w:val="18"/>
              </w:rPr>
            </w:pPr>
            <w:r>
              <w:rPr>
                <w:rFonts w:hint="eastAsia" w:eastAsia="方正仿宋_GBK"/>
                <w:color w:val="auto"/>
                <w:sz w:val="18"/>
                <w:szCs w:val="18"/>
              </w:rPr>
              <w:t>未出现磋商文件无效响应条款中的规定的情形。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Merge w:val="restart"/>
            <w:vAlign w:val="center"/>
          </w:tcPr>
          <w:p>
            <w:pPr>
              <w:spacing w:line="240" w:lineRule="exact"/>
              <w:jc w:val="center"/>
              <w:rPr>
                <w:rFonts w:eastAsia="方正仿宋_GBK"/>
                <w:color w:val="auto"/>
                <w:sz w:val="18"/>
                <w:szCs w:val="18"/>
              </w:rPr>
            </w:pPr>
            <w:r>
              <w:rPr>
                <w:rFonts w:eastAsia="方正仿宋_GBK"/>
                <w:color w:val="auto"/>
                <w:sz w:val="18"/>
                <w:szCs w:val="18"/>
              </w:rPr>
              <w:t>2</w:t>
            </w:r>
          </w:p>
        </w:tc>
        <w:tc>
          <w:tcPr>
            <w:tcW w:w="1561" w:type="dxa"/>
            <w:vMerge w:val="restart"/>
            <w:vAlign w:val="center"/>
          </w:tcPr>
          <w:p>
            <w:pPr>
              <w:spacing w:line="240" w:lineRule="exact"/>
              <w:jc w:val="center"/>
              <w:rPr>
                <w:rFonts w:eastAsia="方正仿宋_GBK"/>
                <w:color w:val="auto"/>
                <w:sz w:val="18"/>
                <w:szCs w:val="18"/>
              </w:rPr>
            </w:pPr>
            <w:r>
              <w:rPr>
                <w:rFonts w:eastAsia="方正仿宋_GBK"/>
                <w:color w:val="auto"/>
                <w:sz w:val="18"/>
                <w:szCs w:val="18"/>
              </w:rPr>
              <w:t>完整性审查</w:t>
            </w: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响应文件份数</w:t>
            </w:r>
          </w:p>
        </w:tc>
        <w:tc>
          <w:tcPr>
            <w:tcW w:w="4258" w:type="dxa"/>
            <w:vAlign w:val="center"/>
          </w:tcPr>
          <w:p>
            <w:pPr>
              <w:spacing w:line="240" w:lineRule="exact"/>
              <w:jc w:val="left"/>
              <w:rPr>
                <w:rFonts w:eastAsia="方正仿宋_GBK"/>
                <w:color w:val="auto"/>
                <w:sz w:val="18"/>
                <w:szCs w:val="18"/>
              </w:rPr>
            </w:pPr>
            <w:r>
              <w:rPr>
                <w:rFonts w:eastAsia="方正仿宋_GBK"/>
                <w:color w:val="auto"/>
                <w:sz w:val="18"/>
                <w:szCs w:val="18"/>
              </w:rPr>
              <w:t>响应文件正</w:t>
            </w:r>
            <w:r>
              <w:rPr>
                <w:rFonts w:hint="eastAsia" w:eastAsia="方正仿宋_GBK"/>
                <w:color w:val="auto"/>
                <w:sz w:val="18"/>
                <w:szCs w:val="18"/>
              </w:rPr>
              <w:t>本</w:t>
            </w:r>
            <w:r>
              <w:rPr>
                <w:rFonts w:eastAsia="方正仿宋_GBK"/>
                <w:color w:val="auto"/>
                <w:sz w:val="18"/>
                <w:szCs w:val="18"/>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5" w:type="dxa"/>
            <w:vMerge w:val="continue"/>
            <w:vAlign w:val="center"/>
          </w:tcPr>
          <w:p>
            <w:pPr>
              <w:spacing w:line="240" w:lineRule="exact"/>
              <w:jc w:val="center"/>
              <w:rPr>
                <w:rFonts w:eastAsia="方正仿宋_GBK"/>
                <w:color w:val="auto"/>
                <w:sz w:val="18"/>
                <w:szCs w:val="18"/>
              </w:rPr>
            </w:pPr>
          </w:p>
        </w:tc>
        <w:tc>
          <w:tcPr>
            <w:tcW w:w="1561" w:type="dxa"/>
            <w:vMerge w:val="continue"/>
            <w:vAlign w:val="center"/>
          </w:tcPr>
          <w:p>
            <w:pPr>
              <w:spacing w:line="240" w:lineRule="exact"/>
              <w:jc w:val="center"/>
              <w:rPr>
                <w:rFonts w:eastAsia="方正仿宋_GBK"/>
                <w:color w:val="auto"/>
                <w:sz w:val="18"/>
                <w:szCs w:val="18"/>
              </w:rPr>
            </w:pP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响应文件内容</w:t>
            </w:r>
          </w:p>
        </w:tc>
        <w:tc>
          <w:tcPr>
            <w:tcW w:w="4258" w:type="dxa"/>
            <w:vAlign w:val="center"/>
          </w:tcPr>
          <w:p>
            <w:pPr>
              <w:spacing w:line="240" w:lineRule="exact"/>
              <w:jc w:val="left"/>
              <w:rPr>
                <w:rFonts w:eastAsia="方正仿宋_GBK"/>
                <w:color w:val="auto"/>
                <w:sz w:val="18"/>
                <w:szCs w:val="18"/>
              </w:rPr>
            </w:pPr>
            <w:r>
              <w:rPr>
                <w:rFonts w:eastAsia="方正仿宋_GBK"/>
                <w:color w:val="auto"/>
                <w:sz w:val="18"/>
                <w:szCs w:val="18"/>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Merge w:val="restart"/>
            <w:vAlign w:val="center"/>
          </w:tcPr>
          <w:p>
            <w:pPr>
              <w:spacing w:line="240" w:lineRule="exact"/>
              <w:jc w:val="center"/>
              <w:rPr>
                <w:rFonts w:eastAsia="方正仿宋_GBK"/>
                <w:color w:val="auto"/>
                <w:sz w:val="18"/>
                <w:szCs w:val="18"/>
              </w:rPr>
            </w:pPr>
            <w:r>
              <w:rPr>
                <w:rFonts w:eastAsia="方正仿宋_GBK"/>
                <w:color w:val="auto"/>
                <w:sz w:val="18"/>
                <w:szCs w:val="18"/>
              </w:rPr>
              <w:t>3</w:t>
            </w:r>
          </w:p>
        </w:tc>
        <w:tc>
          <w:tcPr>
            <w:tcW w:w="1561" w:type="dxa"/>
            <w:vMerge w:val="restart"/>
            <w:vAlign w:val="center"/>
          </w:tcPr>
          <w:p>
            <w:pPr>
              <w:spacing w:line="240" w:lineRule="exact"/>
              <w:jc w:val="center"/>
              <w:rPr>
                <w:rFonts w:eastAsia="方正仿宋_GBK"/>
                <w:color w:val="auto"/>
                <w:sz w:val="18"/>
                <w:szCs w:val="18"/>
              </w:rPr>
            </w:pPr>
            <w:r>
              <w:rPr>
                <w:rFonts w:eastAsia="方正仿宋_GBK"/>
                <w:color w:val="auto"/>
                <w:sz w:val="18"/>
                <w:szCs w:val="18"/>
              </w:rPr>
              <w:t>竞争性磋商文件的响应程度审查</w:t>
            </w: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响应文件内容</w:t>
            </w:r>
          </w:p>
        </w:tc>
        <w:tc>
          <w:tcPr>
            <w:tcW w:w="4258" w:type="dxa"/>
            <w:vAlign w:val="center"/>
          </w:tcPr>
          <w:p>
            <w:pPr>
              <w:pStyle w:val="6"/>
              <w:spacing w:line="240" w:lineRule="exact"/>
              <w:jc w:val="left"/>
              <w:rPr>
                <w:rFonts w:eastAsia="方正仿宋_GBK"/>
                <w:color w:val="auto"/>
                <w:sz w:val="18"/>
                <w:szCs w:val="18"/>
              </w:rPr>
            </w:pPr>
            <w:r>
              <w:rPr>
                <w:rFonts w:eastAsia="方正仿宋_GBK"/>
                <w:color w:val="auto"/>
                <w:sz w:val="18"/>
                <w:szCs w:val="18"/>
              </w:rPr>
              <w:t>对竞争性磋商文件</w:t>
            </w:r>
            <w:r>
              <w:rPr>
                <w:rFonts w:hint="eastAsia" w:eastAsia="方正仿宋_GBK"/>
                <w:color w:val="auto"/>
                <w:sz w:val="18"/>
                <w:szCs w:val="18"/>
              </w:rPr>
              <w:t>第一篇（资格要求除外）、</w:t>
            </w:r>
            <w:r>
              <w:rPr>
                <w:rFonts w:eastAsia="方正仿宋_GBK"/>
                <w:color w:val="auto"/>
                <w:sz w:val="18"/>
                <w:szCs w:val="18"/>
              </w:rPr>
              <w:t>第二篇和第三篇规定的磋商内容</w:t>
            </w:r>
            <w:r>
              <w:rPr>
                <w:rFonts w:hint="eastAsia" w:eastAsia="方正仿宋_GBK"/>
                <w:color w:val="auto"/>
                <w:sz w:val="18"/>
                <w:szCs w:val="18"/>
              </w:rPr>
              <w:t>的内容</w:t>
            </w:r>
            <w:r>
              <w:rPr>
                <w:rFonts w:eastAsia="方正仿宋_GBK"/>
                <w:color w:val="auto"/>
                <w:sz w:val="18"/>
                <w:szCs w:val="18"/>
              </w:rPr>
              <w:t>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vMerge w:val="continue"/>
            <w:vAlign w:val="center"/>
          </w:tcPr>
          <w:p>
            <w:pPr>
              <w:spacing w:line="240" w:lineRule="exact"/>
              <w:jc w:val="center"/>
              <w:rPr>
                <w:rFonts w:eastAsia="方正仿宋_GBK"/>
                <w:color w:val="auto"/>
                <w:sz w:val="18"/>
                <w:szCs w:val="18"/>
              </w:rPr>
            </w:pPr>
          </w:p>
        </w:tc>
        <w:tc>
          <w:tcPr>
            <w:tcW w:w="1561" w:type="dxa"/>
            <w:vMerge w:val="continue"/>
            <w:vAlign w:val="center"/>
          </w:tcPr>
          <w:p>
            <w:pPr>
              <w:spacing w:line="240" w:lineRule="exact"/>
              <w:jc w:val="center"/>
              <w:rPr>
                <w:rFonts w:eastAsia="方正仿宋_GBK"/>
                <w:color w:val="auto"/>
                <w:sz w:val="18"/>
                <w:szCs w:val="18"/>
              </w:rPr>
            </w:pPr>
          </w:p>
        </w:tc>
        <w:tc>
          <w:tcPr>
            <w:tcW w:w="1986" w:type="dxa"/>
            <w:vAlign w:val="center"/>
          </w:tcPr>
          <w:p>
            <w:pPr>
              <w:spacing w:line="240" w:lineRule="exact"/>
              <w:jc w:val="center"/>
              <w:rPr>
                <w:rFonts w:eastAsia="方正仿宋_GBK"/>
                <w:color w:val="auto"/>
                <w:sz w:val="18"/>
                <w:szCs w:val="18"/>
              </w:rPr>
            </w:pPr>
            <w:r>
              <w:rPr>
                <w:rFonts w:eastAsia="方正仿宋_GBK"/>
                <w:color w:val="auto"/>
                <w:sz w:val="18"/>
                <w:szCs w:val="18"/>
              </w:rPr>
              <w:t>磋商有效期</w:t>
            </w:r>
          </w:p>
        </w:tc>
        <w:tc>
          <w:tcPr>
            <w:tcW w:w="4258" w:type="dxa"/>
            <w:vAlign w:val="center"/>
          </w:tcPr>
          <w:p>
            <w:pPr>
              <w:spacing w:line="240" w:lineRule="exact"/>
              <w:jc w:val="left"/>
              <w:rPr>
                <w:rFonts w:eastAsia="方正仿宋_GBK"/>
                <w:color w:val="auto"/>
                <w:sz w:val="18"/>
                <w:szCs w:val="18"/>
              </w:rPr>
            </w:pPr>
            <w:r>
              <w:rPr>
                <w:rFonts w:eastAsia="方正仿宋_GBK"/>
                <w:color w:val="auto"/>
                <w:sz w:val="18"/>
                <w:szCs w:val="18"/>
              </w:rPr>
              <w:t>满足磋商文件规定。</w:t>
            </w:r>
          </w:p>
        </w:tc>
      </w:tr>
    </w:tbl>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lang w:val="zh-CN"/>
        </w:rPr>
        <w:t>（三）澄清有关问题。磋商小组在对响应文件的有效性、完整性和响应程度进行审查时，可以要求供应商对响应文件中含义不明确、同类问题表述不一致或</w:t>
      </w:r>
      <w:r>
        <w:rPr>
          <w:rFonts w:eastAsia="方正仿宋_GBK"/>
          <w:color w:val="auto"/>
          <w:sz w:val="24"/>
          <w:szCs w:val="24"/>
        </w:rPr>
        <w:t>者有明显文字和计算错误的内容等作出必要的澄清、说明或者更正。供应商的澄清、说明或者更正不得超出响应文件的范围或者改变响应文件的实质性内容。</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（五）在磋商过程中磋商的任何一方不得向他人透露与磋商有关的技术资料、价格或其他信息。</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（七）供应商在磋商时作出的所有书面承诺须由法定代表人或其授权代表签字。</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（八）经磋商确定最终采购需求且磋商结束后，供应商应当按照竞争性磋商文件的变动情况和磋商小组的要求重新提交响应文件或重新做出相关的书面承诺，最后书面提交最后</w:t>
      </w:r>
      <w:r>
        <w:rPr>
          <w:rFonts w:hint="eastAsia" w:eastAsia="方正仿宋_GBK"/>
          <w:color w:val="auto"/>
          <w:sz w:val="24"/>
          <w:szCs w:val="24"/>
        </w:rPr>
        <w:t>折扣</w:t>
      </w:r>
      <w:r>
        <w:rPr>
          <w:rFonts w:eastAsia="方正仿宋_GBK"/>
          <w:color w:val="auto"/>
          <w:sz w:val="24"/>
          <w:szCs w:val="24"/>
        </w:rPr>
        <w:t>报价及有关承诺。已提交响应文件但未进行</w:t>
      </w:r>
      <w:r>
        <w:rPr>
          <w:rFonts w:hint="eastAsia" w:eastAsia="方正仿宋_GBK"/>
          <w:color w:val="auto"/>
          <w:sz w:val="24"/>
          <w:szCs w:val="24"/>
        </w:rPr>
        <w:t>二次折扣</w:t>
      </w:r>
      <w:r>
        <w:rPr>
          <w:rFonts w:eastAsia="方正仿宋_GBK"/>
          <w:color w:val="auto"/>
          <w:sz w:val="24"/>
          <w:szCs w:val="24"/>
        </w:rPr>
        <w:t>报价的供应商，视为放弃最后报价，以供应商响应文件中的</w:t>
      </w:r>
      <w:r>
        <w:rPr>
          <w:rFonts w:hint="eastAsia" w:eastAsia="方正仿宋_GBK"/>
          <w:color w:val="auto"/>
          <w:sz w:val="24"/>
          <w:szCs w:val="24"/>
        </w:rPr>
        <w:t>折扣</w:t>
      </w:r>
      <w:r>
        <w:rPr>
          <w:rFonts w:eastAsia="方正仿宋_GBK"/>
          <w:color w:val="auto"/>
          <w:sz w:val="24"/>
          <w:szCs w:val="24"/>
        </w:rPr>
        <w:t>报价为准。</w:t>
      </w:r>
    </w:p>
    <w:p>
      <w:pPr>
        <w:spacing w:line="390" w:lineRule="exact"/>
        <w:ind w:firstLine="480" w:firstLineChars="200"/>
        <w:jc w:val="left"/>
        <w:rPr>
          <w:rFonts w:eastAsia="方正仿宋_GBK"/>
          <w:color w:val="auto"/>
          <w:sz w:val="24"/>
          <w:szCs w:val="24"/>
          <w:lang w:val="zh-CN"/>
        </w:rPr>
      </w:pPr>
      <w:r>
        <w:rPr>
          <w:rFonts w:eastAsia="方正仿宋_GBK"/>
          <w:color w:val="auto"/>
          <w:sz w:val="24"/>
          <w:szCs w:val="24"/>
        </w:rPr>
        <w:t>（九）</w:t>
      </w:r>
      <w:r>
        <w:rPr>
          <w:rFonts w:eastAsia="方正仿宋_GBK"/>
          <w:color w:val="auto"/>
          <w:sz w:val="24"/>
          <w:szCs w:val="24"/>
          <w:lang w:val="zh-CN"/>
        </w:rPr>
        <w:t>磋商小组采用综合评分法对提交最后</w:t>
      </w:r>
      <w:r>
        <w:rPr>
          <w:rFonts w:hint="eastAsia" w:eastAsia="方正仿宋_GBK"/>
          <w:color w:val="auto"/>
          <w:sz w:val="24"/>
          <w:szCs w:val="24"/>
        </w:rPr>
        <w:t>折扣</w:t>
      </w:r>
      <w:r>
        <w:rPr>
          <w:rFonts w:eastAsia="方正仿宋_GBK"/>
          <w:color w:val="auto"/>
          <w:sz w:val="24"/>
          <w:szCs w:val="24"/>
          <w:lang w:val="zh-CN"/>
        </w:rPr>
        <w:t>报价的供应商的响应文件和最后</w:t>
      </w:r>
      <w:r>
        <w:rPr>
          <w:rFonts w:hint="eastAsia" w:eastAsia="方正仿宋_GBK"/>
          <w:color w:val="auto"/>
          <w:sz w:val="24"/>
          <w:szCs w:val="24"/>
        </w:rPr>
        <w:t>折扣</w:t>
      </w:r>
      <w:r>
        <w:rPr>
          <w:rFonts w:eastAsia="方正仿宋_GBK"/>
          <w:color w:val="auto"/>
          <w:sz w:val="24"/>
          <w:szCs w:val="24"/>
          <w:lang w:val="zh-CN"/>
        </w:rPr>
        <w:t>报价进行综合评分。综合评分法，是指响应文件满足竞争性磋商文件全部实质性要求且按照评审因素的量化指标评审得分最高的供应商为成交候选供应商的评审方法。供应商总得分为</w:t>
      </w:r>
      <w:r>
        <w:rPr>
          <w:rFonts w:hint="eastAsia" w:eastAsia="方正仿宋_GBK"/>
          <w:color w:val="auto"/>
          <w:sz w:val="24"/>
          <w:szCs w:val="24"/>
          <w:lang w:val="zh-CN"/>
        </w:rPr>
        <w:t>经济</w:t>
      </w:r>
      <w:r>
        <w:rPr>
          <w:rFonts w:eastAsia="方正仿宋_GBK"/>
          <w:color w:val="auto"/>
          <w:sz w:val="24"/>
          <w:szCs w:val="24"/>
          <w:lang w:val="zh-CN"/>
        </w:rPr>
        <w:t>、商务、技术等评定因素分别按照相应权重值计算分项得分后相加，满分为10</w:t>
      </w:r>
      <w:r>
        <w:rPr>
          <w:rFonts w:eastAsia="方正仿宋_GBK"/>
          <w:color w:val="auto"/>
          <w:sz w:val="24"/>
          <w:szCs w:val="24"/>
        </w:rPr>
        <w:t>0</w:t>
      </w:r>
      <w:r>
        <w:rPr>
          <w:rFonts w:eastAsia="方正仿宋_GBK"/>
          <w:color w:val="auto"/>
          <w:sz w:val="24"/>
          <w:szCs w:val="24"/>
          <w:lang w:val="zh-CN"/>
        </w:rPr>
        <w:t>分。（详见评审标准）。</w:t>
      </w:r>
    </w:p>
    <w:p>
      <w:pPr>
        <w:spacing w:line="390" w:lineRule="exact"/>
        <w:ind w:firstLine="480" w:firstLineChars="200"/>
        <w:jc w:val="left"/>
        <w:rPr>
          <w:rFonts w:eastAsia="方正仿宋_GBK"/>
          <w:color w:val="auto"/>
          <w:sz w:val="24"/>
          <w:szCs w:val="24"/>
          <w:lang w:val="zh-CN"/>
        </w:rPr>
      </w:pPr>
      <w:r>
        <w:rPr>
          <w:rFonts w:eastAsia="方正仿宋_GBK"/>
          <w:color w:val="auto"/>
          <w:sz w:val="24"/>
          <w:szCs w:val="24"/>
          <w:lang w:val="zh-CN"/>
        </w:rPr>
        <w:t>（</w:t>
      </w:r>
      <w:r>
        <w:rPr>
          <w:rFonts w:eastAsia="方正仿宋_GBK"/>
          <w:color w:val="auto"/>
          <w:sz w:val="24"/>
          <w:szCs w:val="24"/>
        </w:rPr>
        <w:t>十</w:t>
      </w:r>
      <w:r>
        <w:rPr>
          <w:rFonts w:eastAsia="方正仿宋_GBK"/>
          <w:color w:val="auto"/>
          <w:sz w:val="24"/>
          <w:szCs w:val="24"/>
          <w:lang w:val="zh-CN"/>
        </w:rPr>
        <w:t>）磋商小组各成员独立对每个实质性响应文件进行评价、打分，然后汇总每个供应商每项评分因素的得分，并根据综合评分情况按照评审得分由高到低顺序推荐3名以上成交候选供应商。若供应商的评审得分相同的，按照最后</w:t>
      </w:r>
      <w:r>
        <w:rPr>
          <w:rFonts w:hint="eastAsia" w:eastAsia="方正仿宋_GBK"/>
          <w:color w:val="auto"/>
          <w:sz w:val="24"/>
          <w:szCs w:val="24"/>
        </w:rPr>
        <w:t>折扣</w:t>
      </w:r>
      <w:r>
        <w:rPr>
          <w:rFonts w:eastAsia="方正仿宋_GBK"/>
          <w:color w:val="auto"/>
          <w:sz w:val="24"/>
          <w:szCs w:val="24"/>
          <w:lang w:val="zh-CN"/>
        </w:rPr>
        <w:t>报价由低到高的顺序排列推荐。评审得分且最后</w:t>
      </w:r>
      <w:r>
        <w:rPr>
          <w:rFonts w:hint="eastAsia" w:eastAsia="方正仿宋_GBK"/>
          <w:color w:val="auto"/>
          <w:sz w:val="24"/>
          <w:szCs w:val="24"/>
        </w:rPr>
        <w:t>折扣</w:t>
      </w:r>
      <w:r>
        <w:rPr>
          <w:rFonts w:eastAsia="方正仿宋_GBK"/>
          <w:color w:val="auto"/>
          <w:sz w:val="24"/>
          <w:szCs w:val="24"/>
          <w:lang w:val="zh-CN"/>
        </w:rPr>
        <w:t>报价相同的，按照服务指标优劣顺序排列推荐。</w:t>
      </w:r>
    </w:p>
    <w:p>
      <w:pPr>
        <w:spacing w:line="390" w:lineRule="exact"/>
        <w:ind w:firstLine="482" w:firstLineChars="200"/>
        <w:jc w:val="left"/>
        <w:rPr>
          <w:rFonts w:ascii="方正仿宋_GBK" w:eastAsia="方正仿宋_GBK"/>
          <w:color w:val="auto"/>
          <w:sz w:val="24"/>
          <w:szCs w:val="24"/>
        </w:rPr>
      </w:pPr>
      <w:r>
        <w:rPr>
          <w:rFonts w:hint="eastAsia" w:ascii="方正仿宋_GBK" w:hAnsi="宋体" w:eastAsia="方正仿宋_GBK"/>
          <w:b/>
          <w:bCs/>
          <w:color w:val="auto"/>
          <w:sz w:val="24"/>
          <w:szCs w:val="24"/>
          <w:lang w:val="zh-CN"/>
        </w:rPr>
        <w:t>二、评审标准</w:t>
      </w:r>
    </w:p>
    <w:bookmarkEnd w:id="7"/>
    <w:tbl>
      <w:tblPr>
        <w:tblStyle w:val="1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1134"/>
        <w:gridCol w:w="850"/>
        <w:gridCol w:w="425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77" w:type="dxa"/>
            <w:gridSpan w:val="2"/>
            <w:vAlign w:val="center"/>
          </w:tcPr>
          <w:p>
            <w:pPr>
              <w:spacing w:line="240" w:lineRule="atLeast"/>
              <w:ind w:firstLine="28"/>
              <w:jc w:val="center"/>
              <w:rPr>
                <w:rFonts w:ascii="方正仿宋_GBK" w:hAnsi="宋体" w:eastAsia="方正仿宋_GBK"/>
                <w:b/>
                <w:color w:val="auto"/>
                <w:sz w:val="21"/>
                <w:szCs w:val="21"/>
              </w:rPr>
            </w:pPr>
            <w:bookmarkStart w:id="9" w:name="_Toc102227320"/>
            <w:bookmarkStart w:id="10" w:name="_Toc342913394"/>
            <w:bookmarkStart w:id="11" w:name="_Toc466546922"/>
            <w:r>
              <w:rPr>
                <w:rFonts w:hint="eastAsia" w:ascii="方正仿宋_GBK" w:hAnsi="宋体" w:eastAsia="方正仿宋_GBK"/>
                <w:b/>
                <w:color w:val="auto"/>
                <w:sz w:val="21"/>
                <w:szCs w:val="21"/>
              </w:rPr>
              <w:t>序号</w:t>
            </w:r>
          </w:p>
        </w:tc>
        <w:tc>
          <w:tcPr>
            <w:tcW w:w="1134" w:type="dxa"/>
            <w:vAlign w:val="center"/>
          </w:tcPr>
          <w:p>
            <w:pPr>
              <w:spacing w:line="240" w:lineRule="atLeast"/>
              <w:ind w:firstLine="28"/>
              <w:jc w:val="center"/>
              <w:rPr>
                <w:rFonts w:ascii="方正仿宋_GBK" w:hAnsi="宋体" w:eastAsia="方正仿宋_GBK"/>
                <w:b/>
                <w:color w:val="auto"/>
                <w:sz w:val="21"/>
                <w:szCs w:val="21"/>
              </w:rPr>
            </w:pPr>
            <w:r>
              <w:rPr>
                <w:rFonts w:hint="eastAsia" w:ascii="方正仿宋_GBK" w:hAnsi="宋体" w:eastAsia="方正仿宋_GBK"/>
                <w:b/>
                <w:color w:val="auto"/>
                <w:sz w:val="21"/>
                <w:szCs w:val="21"/>
              </w:rPr>
              <w:t>评分因素及权值</w:t>
            </w:r>
          </w:p>
        </w:tc>
        <w:tc>
          <w:tcPr>
            <w:tcW w:w="850" w:type="dxa"/>
            <w:vAlign w:val="center"/>
          </w:tcPr>
          <w:p>
            <w:pPr>
              <w:spacing w:line="240" w:lineRule="atLeast"/>
              <w:ind w:firstLine="28"/>
              <w:jc w:val="center"/>
              <w:rPr>
                <w:rFonts w:ascii="方正仿宋_GBK" w:hAnsi="宋体" w:eastAsia="方正仿宋_GBK"/>
                <w:b/>
                <w:color w:val="auto"/>
                <w:sz w:val="21"/>
                <w:szCs w:val="21"/>
              </w:rPr>
            </w:pPr>
            <w:r>
              <w:rPr>
                <w:rFonts w:hint="eastAsia" w:ascii="方正仿宋_GBK" w:hAnsi="宋体" w:eastAsia="方正仿宋_GBK"/>
                <w:b/>
                <w:color w:val="auto"/>
                <w:sz w:val="21"/>
                <w:szCs w:val="21"/>
              </w:rPr>
              <w:t>分值</w:t>
            </w:r>
          </w:p>
        </w:tc>
        <w:tc>
          <w:tcPr>
            <w:tcW w:w="4253" w:type="dxa"/>
            <w:vAlign w:val="center"/>
          </w:tcPr>
          <w:p>
            <w:pPr>
              <w:spacing w:line="240" w:lineRule="atLeast"/>
              <w:ind w:firstLine="28"/>
              <w:jc w:val="center"/>
              <w:rPr>
                <w:rFonts w:ascii="方正仿宋_GBK" w:hAnsi="宋体" w:eastAsia="方正仿宋_GBK"/>
                <w:b/>
                <w:color w:val="auto"/>
                <w:sz w:val="21"/>
                <w:szCs w:val="21"/>
              </w:rPr>
            </w:pPr>
            <w:r>
              <w:rPr>
                <w:rFonts w:hint="eastAsia" w:ascii="方正仿宋_GBK" w:hAnsi="宋体" w:eastAsia="方正仿宋_GBK"/>
                <w:b/>
                <w:color w:val="auto"/>
                <w:sz w:val="21"/>
                <w:szCs w:val="21"/>
              </w:rPr>
              <w:t>评分标准</w:t>
            </w:r>
          </w:p>
        </w:tc>
        <w:tc>
          <w:tcPr>
            <w:tcW w:w="1559" w:type="dxa"/>
            <w:vAlign w:val="center"/>
          </w:tcPr>
          <w:p>
            <w:pPr>
              <w:spacing w:line="240" w:lineRule="atLeast"/>
              <w:jc w:val="center"/>
              <w:rPr>
                <w:rFonts w:ascii="方正仿宋_GBK" w:hAnsi="宋体" w:eastAsia="方正仿宋_GBK"/>
                <w:b/>
                <w:color w:val="auto"/>
                <w:sz w:val="21"/>
                <w:szCs w:val="21"/>
              </w:rPr>
            </w:pPr>
            <w:r>
              <w:rPr>
                <w:rFonts w:hint="eastAsia" w:ascii="方正仿宋_GBK" w:hAnsi="宋体" w:eastAsia="方正仿宋_GBK"/>
                <w:b/>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426" w:type="dxa"/>
            <w:vAlign w:val="center"/>
          </w:tcPr>
          <w:p>
            <w:pPr>
              <w:topLinePunct/>
              <w:autoSpaceDN w:val="0"/>
              <w:adjustRightInd w:val="0"/>
              <w:snapToGrid w:val="0"/>
              <w:spacing w:line="400" w:lineRule="exac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851" w:type="dxa"/>
            <w:vAlign w:val="center"/>
          </w:tcPr>
          <w:p>
            <w:pPr>
              <w:topLinePunct/>
              <w:autoSpaceDN w:val="0"/>
              <w:adjustRightInd w:val="0"/>
              <w:snapToGrid w:val="0"/>
              <w:spacing w:line="40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经济</w:t>
            </w:r>
          </w:p>
          <w:p>
            <w:pPr>
              <w:topLinePunct/>
              <w:autoSpaceDN w:val="0"/>
              <w:adjustRightInd w:val="0"/>
              <w:snapToGrid w:val="0"/>
              <w:spacing w:line="40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部分</w:t>
            </w:r>
          </w:p>
          <w:p>
            <w:pPr>
              <w:topLinePunct/>
              <w:autoSpaceDN w:val="0"/>
              <w:adjustRightInd w:val="0"/>
              <w:snapToGrid w:val="0"/>
              <w:spacing w:line="40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w:t>
            </w:r>
            <w:r>
              <w:rPr>
                <w:rFonts w:hint="eastAsia" w:ascii="方正仿宋_GBK" w:hAnsi="宋体" w:eastAsia="方正仿宋_GBK" w:cs="宋体"/>
                <w:color w:val="auto"/>
                <w:kern w:val="0"/>
                <w:sz w:val="21"/>
                <w:szCs w:val="21"/>
                <w:lang w:val="en-US" w:eastAsia="zh-CN"/>
              </w:rPr>
              <w:t>40</w:t>
            </w:r>
            <w:r>
              <w:rPr>
                <w:rFonts w:hint="eastAsia" w:ascii="方正仿宋_GBK" w:hAnsi="宋体" w:eastAsia="方正仿宋_GBK" w:cs="宋体"/>
                <w:color w:val="auto"/>
                <w:kern w:val="0"/>
                <w:sz w:val="21"/>
                <w:szCs w:val="21"/>
              </w:rPr>
              <w:t>）</w:t>
            </w:r>
          </w:p>
        </w:tc>
        <w:tc>
          <w:tcPr>
            <w:tcW w:w="1134" w:type="dxa"/>
            <w:vAlign w:val="center"/>
          </w:tcPr>
          <w:p>
            <w:pPr>
              <w:topLinePunct/>
              <w:autoSpaceDN w:val="0"/>
              <w:adjustRightInd w:val="0"/>
              <w:snapToGrid w:val="0"/>
              <w:spacing w:line="40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投标报价（</w:t>
            </w:r>
            <w:r>
              <w:rPr>
                <w:rFonts w:hint="eastAsia" w:ascii="方正仿宋_GBK" w:hAnsi="宋体" w:eastAsia="方正仿宋_GBK" w:cs="宋体"/>
                <w:color w:val="auto"/>
                <w:kern w:val="0"/>
                <w:sz w:val="21"/>
                <w:szCs w:val="21"/>
                <w:lang w:val="en-US" w:eastAsia="zh-CN"/>
              </w:rPr>
              <w:t>40</w:t>
            </w:r>
            <w:r>
              <w:rPr>
                <w:rFonts w:hint="eastAsia" w:ascii="方正仿宋_GBK" w:hAnsi="宋体" w:eastAsia="方正仿宋_GBK" w:cs="宋体"/>
                <w:color w:val="auto"/>
                <w:kern w:val="0"/>
                <w:sz w:val="21"/>
                <w:szCs w:val="21"/>
              </w:rPr>
              <w:t>%）</w:t>
            </w:r>
          </w:p>
        </w:tc>
        <w:tc>
          <w:tcPr>
            <w:tcW w:w="850" w:type="dxa"/>
            <w:vAlign w:val="center"/>
          </w:tcPr>
          <w:p>
            <w:pPr>
              <w:topLinePunct/>
              <w:autoSpaceDN w:val="0"/>
              <w:adjustRightInd w:val="0"/>
              <w:snapToGrid w:val="0"/>
              <w:spacing w:line="400" w:lineRule="exact"/>
              <w:jc w:val="center"/>
              <w:rPr>
                <w:rFonts w:hint="eastAsia"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40</w:t>
            </w:r>
          </w:p>
        </w:tc>
        <w:tc>
          <w:tcPr>
            <w:tcW w:w="4253" w:type="dxa"/>
            <w:vAlign w:val="center"/>
          </w:tcPr>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有效的投标报价中的最低价为评标基准价，按照下列公式计算每个投标人的投标价格得分。投标报价得分＝（评标基准价/投标报价）×价格权重×100。</w:t>
            </w:r>
          </w:p>
        </w:tc>
        <w:tc>
          <w:tcPr>
            <w:tcW w:w="1559" w:type="dxa"/>
            <w:vAlign w:val="center"/>
          </w:tcPr>
          <w:p>
            <w:pPr>
              <w:spacing w:line="240" w:lineRule="atLeast"/>
              <w:ind w:left="-38" w:firstLine="494"/>
              <w:rPr>
                <w:rFonts w:ascii="方正仿宋_GBK" w:hAnsi="宋体" w:eastAsia="方正仿宋_GBK"/>
                <w:color w:val="auto"/>
                <w:sz w:val="18"/>
                <w:szCs w:val="18"/>
              </w:rPr>
            </w:pPr>
            <w:r>
              <w:rPr>
                <w:rFonts w:hint="eastAsia" w:ascii="方正仿宋_GBK" w:hAnsi="宋体" w:eastAsia="方正仿宋_GBK" w:cs="宋体"/>
                <w:color w:val="auto"/>
                <w:kern w:val="0"/>
                <w:sz w:val="21"/>
                <w:szCs w:val="21"/>
                <w:lang w:val="en-US" w:eastAsia="zh-CN"/>
              </w:rPr>
              <w:t>微型、</w:t>
            </w:r>
            <w:r>
              <w:rPr>
                <w:rFonts w:hint="eastAsia" w:ascii="方正仿宋_GBK" w:hAnsi="宋体" w:eastAsia="方正仿宋_GBK" w:cs="宋体"/>
                <w:color w:val="auto"/>
                <w:kern w:val="0"/>
                <w:sz w:val="21"/>
                <w:szCs w:val="21"/>
                <w:lang w:val="zh-CN"/>
              </w:rPr>
              <w:t>小型企业</w:t>
            </w:r>
            <w:r>
              <w:rPr>
                <w:rFonts w:hint="eastAsia" w:ascii="方正仿宋_GBK" w:hAnsi="宋体" w:eastAsia="方正仿宋_GBK" w:cs="宋体"/>
                <w:color w:val="auto"/>
                <w:kern w:val="0"/>
                <w:sz w:val="21"/>
                <w:szCs w:val="21"/>
              </w:rPr>
              <w:t>的报价金额抵扣10%</w:t>
            </w:r>
            <w:r>
              <w:rPr>
                <w:rFonts w:hint="eastAsia" w:ascii="方正仿宋_GBK" w:hAnsi="宋体" w:eastAsia="方正仿宋_GBK" w:cs="宋体"/>
                <w:color w:val="auto"/>
                <w:kern w:val="0"/>
                <w:sz w:val="21"/>
                <w:szCs w:val="21"/>
                <w:lang w:val="en-US" w:eastAsia="zh-CN"/>
              </w:rPr>
              <w:t>后</w:t>
            </w:r>
            <w:r>
              <w:rPr>
                <w:rFonts w:hint="eastAsia" w:ascii="方正仿宋_GBK" w:hAnsi="宋体" w:eastAsia="方正仿宋_GBK" w:cs="宋体"/>
                <w:color w:val="auto"/>
                <w:kern w:val="0"/>
                <w:sz w:val="21"/>
                <w:szCs w:val="21"/>
              </w:rPr>
              <w:t>，参与评审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426" w:type="dxa"/>
            <w:vMerge w:val="restart"/>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851" w:type="dxa"/>
            <w:vMerge w:val="restart"/>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技术部分（3</w:t>
            </w:r>
            <w:r>
              <w:rPr>
                <w:rFonts w:hint="eastAsia" w:ascii="方正仿宋_GBK" w:hAnsi="宋体" w:eastAsia="方正仿宋_GBK" w:cs="宋体"/>
                <w:color w:val="auto"/>
                <w:kern w:val="0"/>
                <w:sz w:val="21"/>
                <w:szCs w:val="21"/>
                <w:lang w:val="en-US" w:eastAsia="zh-CN"/>
              </w:rPr>
              <w:t>0</w:t>
            </w:r>
            <w:r>
              <w:rPr>
                <w:rFonts w:hint="eastAsia" w:ascii="方正仿宋_GBK" w:hAnsi="宋体" w:eastAsia="方正仿宋_GBK" w:cs="宋体"/>
                <w:color w:val="auto"/>
                <w:kern w:val="0"/>
                <w:sz w:val="21"/>
                <w:szCs w:val="21"/>
              </w:rPr>
              <w:t>）</w:t>
            </w:r>
          </w:p>
        </w:tc>
        <w:tc>
          <w:tcPr>
            <w:tcW w:w="1134" w:type="dxa"/>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现场踏勘（</w:t>
            </w:r>
            <w:r>
              <w:rPr>
                <w:rFonts w:hint="eastAsia" w:ascii="方正仿宋_GBK" w:hAnsi="宋体" w:eastAsia="方正仿宋_GBK" w:cs="宋体"/>
                <w:color w:val="auto"/>
                <w:kern w:val="0"/>
                <w:sz w:val="21"/>
                <w:szCs w:val="21"/>
                <w:lang w:val="en-US" w:eastAsia="zh-CN"/>
              </w:rPr>
              <w:t>5</w:t>
            </w:r>
            <w:r>
              <w:rPr>
                <w:rFonts w:hint="eastAsia" w:ascii="方正仿宋_GBK" w:hAnsi="宋体" w:eastAsia="方正仿宋_GBK" w:cs="宋体"/>
                <w:color w:val="auto"/>
                <w:kern w:val="0"/>
                <w:sz w:val="21"/>
                <w:szCs w:val="21"/>
              </w:rPr>
              <w:t>%）</w:t>
            </w:r>
          </w:p>
        </w:tc>
        <w:tc>
          <w:tcPr>
            <w:tcW w:w="850" w:type="dxa"/>
            <w:vAlign w:val="center"/>
          </w:tcPr>
          <w:p>
            <w:pPr>
              <w:spacing w:line="240" w:lineRule="atLeast"/>
              <w:ind w:firstLine="28"/>
              <w:jc w:val="center"/>
              <w:rPr>
                <w:rFonts w:hint="eastAsia" w:ascii="方正仿宋_GBK" w:hAnsi="宋体" w:eastAsia="方正仿宋_GBK" w:cs="宋体"/>
                <w:color w:val="auto"/>
                <w:kern w:val="0"/>
                <w:sz w:val="21"/>
                <w:szCs w:val="21"/>
                <w:lang w:eastAsia="zh-CN"/>
              </w:rPr>
            </w:pPr>
            <w:r>
              <w:rPr>
                <w:rFonts w:hint="eastAsia" w:ascii="方正仿宋_GBK" w:hAnsi="宋体" w:eastAsia="方正仿宋_GBK" w:cs="宋体"/>
                <w:color w:val="auto"/>
                <w:kern w:val="0"/>
                <w:sz w:val="21"/>
                <w:szCs w:val="21"/>
                <w:lang w:val="en-US" w:eastAsia="zh-CN"/>
              </w:rPr>
              <w:t>5</w:t>
            </w:r>
          </w:p>
        </w:tc>
        <w:tc>
          <w:tcPr>
            <w:tcW w:w="4253" w:type="dxa"/>
            <w:vAlign w:val="center"/>
          </w:tcPr>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1.有到本项目现场进行踏勘并提供现场踏勘情况报告的得</w:t>
            </w:r>
            <w:r>
              <w:rPr>
                <w:rFonts w:hint="eastAsia" w:ascii="方正仿宋_GBK" w:hAnsi="宋体" w:eastAsia="方正仿宋_GBK" w:cs="宋体"/>
                <w:color w:val="auto"/>
                <w:kern w:val="0"/>
                <w:sz w:val="21"/>
                <w:szCs w:val="21"/>
                <w:lang w:val="en-US" w:eastAsia="zh-CN"/>
              </w:rPr>
              <w:t>1</w:t>
            </w:r>
            <w:r>
              <w:rPr>
                <w:rFonts w:hint="eastAsia" w:ascii="方正仿宋_GBK" w:hAnsi="宋体" w:eastAsia="方正仿宋_GBK" w:cs="宋体"/>
                <w:color w:val="auto"/>
                <w:kern w:val="0"/>
                <w:sz w:val="21"/>
                <w:szCs w:val="21"/>
              </w:rPr>
              <w:t xml:space="preserve">分。 </w:t>
            </w:r>
          </w:p>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2.评标委员会成员根据投标人提供的现场踏勘情况报告是否符合现场实际情况，并按照优劣程度适当再加分。加分标准为：优加</w:t>
            </w:r>
            <w:r>
              <w:rPr>
                <w:rFonts w:hint="eastAsia" w:ascii="方正仿宋_GBK" w:hAnsi="宋体" w:eastAsia="方正仿宋_GBK" w:cs="宋体"/>
                <w:color w:val="auto"/>
                <w:kern w:val="0"/>
                <w:sz w:val="21"/>
                <w:szCs w:val="21"/>
                <w:lang w:val="en-US" w:eastAsia="zh-CN"/>
              </w:rPr>
              <w:t>4</w:t>
            </w:r>
            <w:r>
              <w:rPr>
                <w:rFonts w:hint="eastAsia" w:ascii="方正仿宋_GBK" w:hAnsi="宋体" w:eastAsia="方正仿宋_GBK" w:cs="宋体"/>
                <w:color w:val="auto"/>
                <w:kern w:val="0"/>
                <w:sz w:val="21"/>
                <w:szCs w:val="21"/>
              </w:rPr>
              <w:t>分、良加</w:t>
            </w:r>
            <w:r>
              <w:rPr>
                <w:rFonts w:ascii="方正仿宋_GBK" w:hAnsi="宋体" w:eastAsia="方正仿宋_GBK" w:cs="宋体"/>
                <w:color w:val="auto"/>
                <w:kern w:val="0"/>
                <w:sz w:val="21"/>
                <w:szCs w:val="21"/>
              </w:rPr>
              <w:t>3</w:t>
            </w:r>
            <w:r>
              <w:rPr>
                <w:rFonts w:hint="eastAsia" w:ascii="方正仿宋_GBK" w:hAnsi="宋体" w:eastAsia="方正仿宋_GBK" w:cs="宋体"/>
                <w:color w:val="auto"/>
                <w:kern w:val="0"/>
                <w:sz w:val="21"/>
                <w:szCs w:val="21"/>
              </w:rPr>
              <w:t>分、一般加</w:t>
            </w:r>
            <w:r>
              <w:rPr>
                <w:rFonts w:ascii="方正仿宋_GBK" w:hAnsi="宋体" w:eastAsia="方正仿宋_GBK" w:cs="宋体"/>
                <w:color w:val="auto"/>
                <w:kern w:val="0"/>
                <w:sz w:val="21"/>
                <w:szCs w:val="21"/>
              </w:rPr>
              <w:t>1</w:t>
            </w:r>
            <w:r>
              <w:rPr>
                <w:rFonts w:hint="eastAsia" w:ascii="方正仿宋_GBK" w:hAnsi="宋体" w:eastAsia="方正仿宋_GBK" w:cs="宋体"/>
                <w:color w:val="auto"/>
                <w:kern w:val="0"/>
                <w:sz w:val="21"/>
                <w:szCs w:val="21"/>
              </w:rPr>
              <w:t>分、差加0分。</w:t>
            </w:r>
          </w:p>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3.未提供现场踏勘报告和踏勘报告与本项目实际不相符的本项得0分。</w:t>
            </w:r>
          </w:p>
        </w:tc>
        <w:tc>
          <w:tcPr>
            <w:tcW w:w="1559" w:type="dxa"/>
            <w:vAlign w:val="center"/>
          </w:tcPr>
          <w:p>
            <w:pPr>
              <w:spacing w:line="0" w:lineRule="atLeas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评标委员会成员根据本项目实际情况，结合响应供应商现场踏勘情况独立评分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26"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851"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1134" w:type="dxa"/>
            <w:vAlign w:val="center"/>
          </w:tcPr>
          <w:p>
            <w:pPr>
              <w:spacing w:line="240" w:lineRule="atLeast"/>
              <w:ind w:firstLine="28"/>
              <w:jc w:val="center"/>
              <w:rPr>
                <w:rFonts w:ascii="方正仿宋_GBK" w:hAnsi="宋体" w:eastAsia="方正仿宋_GBK" w:cs="宋体"/>
                <w:color w:val="auto"/>
                <w:kern w:val="0"/>
                <w:sz w:val="21"/>
                <w:szCs w:val="21"/>
              </w:rPr>
            </w:pPr>
            <w:r>
              <w:rPr>
                <w:rFonts w:ascii="方正仿宋_GBK" w:hAnsi="宋体" w:eastAsia="方正仿宋_GBK" w:cs="宋体"/>
                <w:color w:val="auto"/>
                <w:kern w:val="0"/>
                <w:sz w:val="21"/>
                <w:szCs w:val="21"/>
              </w:rPr>
              <w:t>服务方案</w:t>
            </w:r>
            <w:r>
              <w:rPr>
                <w:rFonts w:hint="eastAsia" w:ascii="方正仿宋_GBK" w:hAnsi="宋体" w:eastAsia="方正仿宋_GBK" w:cs="宋体"/>
                <w:color w:val="auto"/>
                <w:kern w:val="0"/>
                <w:sz w:val="21"/>
                <w:szCs w:val="21"/>
              </w:rPr>
              <w:t>（10%）</w:t>
            </w:r>
          </w:p>
        </w:tc>
        <w:tc>
          <w:tcPr>
            <w:tcW w:w="850" w:type="dxa"/>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10</w:t>
            </w:r>
          </w:p>
        </w:tc>
        <w:tc>
          <w:tcPr>
            <w:tcW w:w="4253" w:type="dxa"/>
            <w:vAlign w:val="center"/>
          </w:tcPr>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ascii="方正仿宋_GBK" w:hAnsi="宋体" w:eastAsia="方正仿宋_GBK" w:cs="宋体"/>
                <w:color w:val="auto"/>
                <w:kern w:val="0"/>
                <w:sz w:val="21"/>
                <w:szCs w:val="21"/>
              </w:rPr>
              <w:t>1.</w:t>
            </w:r>
            <w:r>
              <w:rPr>
                <w:rFonts w:hint="eastAsia" w:ascii="方正仿宋_GBK" w:hAnsi="宋体" w:eastAsia="方正仿宋_GBK" w:cs="宋体"/>
                <w:color w:val="auto"/>
                <w:kern w:val="0"/>
                <w:sz w:val="21"/>
                <w:szCs w:val="21"/>
              </w:rPr>
              <w:t>投标人根据本项目的服务需求，投标人提供检测技术方案得5分，未提供得0分。</w:t>
            </w:r>
          </w:p>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ascii="方正仿宋_GBK" w:hAnsi="宋体" w:eastAsia="方正仿宋_GBK" w:cs="宋体"/>
                <w:color w:val="auto"/>
                <w:kern w:val="0"/>
                <w:sz w:val="21"/>
                <w:szCs w:val="21"/>
              </w:rPr>
              <w:t>2</w:t>
            </w:r>
            <w:r>
              <w:rPr>
                <w:rFonts w:hint="eastAsia" w:ascii="方正仿宋_GBK" w:hAnsi="宋体" w:eastAsia="方正仿宋_GBK" w:cs="宋体"/>
                <w:color w:val="auto"/>
                <w:kern w:val="0"/>
                <w:sz w:val="21"/>
                <w:szCs w:val="21"/>
              </w:rPr>
              <w:t>.</w:t>
            </w:r>
            <w:r>
              <w:rPr>
                <w:rFonts w:hint="eastAsia" w:ascii="方正仿宋_GBK" w:eastAsia="方正仿宋_GBK"/>
                <w:color w:val="auto"/>
                <w:sz w:val="21"/>
                <w:szCs w:val="21"/>
              </w:rPr>
              <w:t xml:space="preserve"> </w:t>
            </w:r>
            <w:r>
              <w:rPr>
                <w:rFonts w:hint="eastAsia" w:ascii="方正仿宋_GBK" w:hAnsi="宋体" w:eastAsia="方正仿宋_GBK" w:cs="宋体"/>
                <w:color w:val="auto"/>
                <w:kern w:val="0"/>
                <w:sz w:val="21"/>
                <w:szCs w:val="21"/>
              </w:rPr>
              <w:t>投标人根据本项目的服务需求，提供重难点分析及解决措施，根据方案内容完整性、合理性，可操作性进行评分，优得5分，良得</w:t>
            </w:r>
            <w:r>
              <w:rPr>
                <w:rFonts w:ascii="方正仿宋_GBK" w:hAnsi="宋体" w:eastAsia="方正仿宋_GBK" w:cs="宋体"/>
                <w:color w:val="auto"/>
                <w:kern w:val="0"/>
                <w:sz w:val="21"/>
                <w:szCs w:val="21"/>
              </w:rPr>
              <w:t>4</w:t>
            </w:r>
            <w:r>
              <w:rPr>
                <w:rFonts w:hint="eastAsia" w:ascii="方正仿宋_GBK" w:hAnsi="宋体" w:eastAsia="方正仿宋_GBK" w:cs="宋体"/>
                <w:color w:val="auto"/>
                <w:kern w:val="0"/>
                <w:sz w:val="21"/>
                <w:szCs w:val="21"/>
              </w:rPr>
              <w:t>分，一般得</w:t>
            </w:r>
            <w:r>
              <w:rPr>
                <w:rFonts w:ascii="方正仿宋_GBK" w:hAnsi="宋体" w:eastAsia="方正仿宋_GBK" w:cs="宋体"/>
                <w:color w:val="auto"/>
                <w:kern w:val="0"/>
                <w:sz w:val="21"/>
                <w:szCs w:val="21"/>
              </w:rPr>
              <w:t>2</w:t>
            </w:r>
            <w:r>
              <w:rPr>
                <w:rFonts w:hint="eastAsia" w:ascii="方正仿宋_GBK" w:hAnsi="宋体" w:eastAsia="方正仿宋_GBK" w:cs="宋体"/>
                <w:color w:val="auto"/>
                <w:kern w:val="0"/>
                <w:sz w:val="21"/>
                <w:szCs w:val="21"/>
              </w:rPr>
              <w:t>分，差得1分，未提供得0分。</w:t>
            </w:r>
          </w:p>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3.未提供服务方案和提供的服务方案与本项目实际不相符的本项得0分。</w:t>
            </w:r>
          </w:p>
        </w:tc>
        <w:tc>
          <w:tcPr>
            <w:tcW w:w="1559" w:type="dxa"/>
            <w:vAlign w:val="center"/>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评标委员会成员根据响应供应商针对本项目服务方案</w:t>
            </w:r>
            <w:r>
              <w:rPr>
                <w:rFonts w:hint="eastAsia" w:ascii="方正仿宋_GBK" w:hAnsi="宋体" w:eastAsia="方正仿宋_GBK" w:cs="宋体"/>
                <w:color w:val="auto"/>
                <w:kern w:val="0"/>
                <w:sz w:val="21"/>
                <w:szCs w:val="21"/>
                <w:lang w:val="zh-CN"/>
              </w:rPr>
              <w:t>内容的</w:t>
            </w:r>
            <w:r>
              <w:rPr>
                <w:rFonts w:hint="eastAsia" w:ascii="方正仿宋_GBK" w:hAnsi="宋体" w:eastAsia="方正仿宋_GBK" w:cs="宋体"/>
                <w:color w:val="auto"/>
                <w:kern w:val="0"/>
                <w:sz w:val="21"/>
                <w:szCs w:val="21"/>
              </w:rPr>
              <w:t>全面性、合理性、针对性的优劣程度独立评分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6"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851"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1134" w:type="dxa"/>
            <w:vAlign w:val="center"/>
          </w:tcPr>
          <w:p>
            <w:pPr>
              <w:topLinePunct/>
              <w:autoSpaceDN w:val="0"/>
              <w:adjustRightInd w:val="0"/>
              <w:snapToGrid w:val="0"/>
              <w:spacing w:line="400" w:lineRule="exact"/>
              <w:jc w:val="center"/>
              <w:rPr>
                <w:rFonts w:ascii="方正仿宋_GBK" w:hAnsi="宋体" w:eastAsia="方正仿宋_GBK" w:cs="宋体"/>
                <w:color w:val="auto"/>
                <w:kern w:val="0"/>
                <w:sz w:val="21"/>
                <w:szCs w:val="21"/>
                <w:lang w:val="zh-CN"/>
              </w:rPr>
            </w:pPr>
            <w:r>
              <w:rPr>
                <w:rFonts w:hint="eastAsia" w:ascii="方正仿宋_GBK" w:hAnsi="宋体" w:eastAsia="方正仿宋_GBK" w:cs="宋体"/>
                <w:color w:val="auto"/>
                <w:kern w:val="0"/>
                <w:sz w:val="21"/>
                <w:szCs w:val="21"/>
                <w:lang w:val="zh-CN"/>
              </w:rPr>
              <w:t>质量保障措施（</w:t>
            </w:r>
            <w:r>
              <w:rPr>
                <w:rFonts w:hint="eastAsia" w:ascii="方正仿宋_GBK" w:hAnsi="宋体" w:eastAsia="方正仿宋_GBK" w:cs="宋体"/>
                <w:color w:val="auto"/>
                <w:kern w:val="0"/>
                <w:sz w:val="21"/>
                <w:szCs w:val="21"/>
              </w:rPr>
              <w:t>5%</w:t>
            </w:r>
            <w:r>
              <w:rPr>
                <w:rFonts w:hint="eastAsia" w:ascii="方正仿宋_GBK" w:hAnsi="宋体" w:eastAsia="方正仿宋_GBK" w:cs="宋体"/>
                <w:color w:val="auto"/>
                <w:kern w:val="0"/>
                <w:sz w:val="21"/>
                <w:szCs w:val="21"/>
                <w:lang w:val="zh-CN"/>
              </w:rPr>
              <w:t>）</w:t>
            </w:r>
          </w:p>
        </w:tc>
        <w:tc>
          <w:tcPr>
            <w:tcW w:w="850" w:type="dxa"/>
            <w:vAlign w:val="center"/>
          </w:tcPr>
          <w:p>
            <w:pPr>
              <w:topLinePunct/>
              <w:autoSpaceDN w:val="0"/>
              <w:adjustRightInd w:val="0"/>
              <w:snapToGrid w:val="0"/>
              <w:spacing w:line="40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5</w:t>
            </w:r>
          </w:p>
        </w:tc>
        <w:tc>
          <w:tcPr>
            <w:tcW w:w="4253" w:type="dxa"/>
            <w:vAlign w:val="center"/>
          </w:tcPr>
          <w:p>
            <w:pPr>
              <w:topLinePunct/>
              <w:autoSpaceDN w:val="0"/>
              <w:adjustRightInd w:val="0"/>
              <w:snapToGrid w:val="0"/>
              <w:spacing w:line="400" w:lineRule="exact"/>
              <w:rPr>
                <w:rFonts w:ascii="方正仿宋_GBK" w:hAnsi="宋体" w:eastAsia="方正仿宋_GBK" w:cs="宋体"/>
                <w:color w:val="auto"/>
                <w:kern w:val="0"/>
                <w:sz w:val="21"/>
                <w:szCs w:val="21"/>
              </w:rPr>
            </w:pPr>
            <w:r>
              <w:rPr>
                <w:rFonts w:ascii="方正仿宋_GBK" w:hAnsi="宋体" w:eastAsia="方正仿宋_GBK" w:cs="宋体"/>
                <w:color w:val="auto"/>
                <w:kern w:val="0"/>
                <w:sz w:val="21"/>
                <w:szCs w:val="21"/>
              </w:rPr>
              <w:t>1.</w:t>
            </w:r>
            <w:r>
              <w:rPr>
                <w:rFonts w:hint="eastAsia" w:ascii="方正仿宋_GBK" w:hAnsi="宋体" w:eastAsia="方正仿宋_GBK" w:cs="宋体"/>
                <w:color w:val="auto"/>
                <w:kern w:val="0"/>
                <w:sz w:val="21"/>
                <w:szCs w:val="21"/>
              </w:rPr>
              <w:t>有针对本项目质量保障措施的得2分。</w:t>
            </w:r>
          </w:p>
          <w:p>
            <w:pPr>
              <w:topLinePunct/>
              <w:autoSpaceDN w:val="0"/>
              <w:adjustRightInd w:val="0"/>
              <w:snapToGrid w:val="0"/>
              <w:spacing w:line="400" w:lineRule="exac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2.评标委员会成员根据投标人提供的质量保障措施的全面性、合理性，并按照优劣程度适当再加分。加分标准为：优加3分、良加2分、一般加1分、差加0分。</w:t>
            </w:r>
          </w:p>
          <w:p>
            <w:pPr>
              <w:topLinePunct/>
              <w:autoSpaceDN w:val="0"/>
              <w:adjustRightInd w:val="0"/>
              <w:snapToGrid w:val="0"/>
              <w:spacing w:line="400" w:lineRule="exac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3.未提供质量保障措施和提供的安全保障措施与本项目实际不相符的本项得0分。</w:t>
            </w:r>
          </w:p>
        </w:tc>
        <w:tc>
          <w:tcPr>
            <w:tcW w:w="1559" w:type="dxa"/>
            <w:vAlign w:val="center"/>
          </w:tcPr>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评标委员会成员根据响应供应商提供的针对本项目</w:t>
            </w:r>
            <w:r>
              <w:rPr>
                <w:rFonts w:hint="eastAsia" w:ascii="方正仿宋_GBK" w:hAnsi="宋体" w:eastAsia="方正仿宋_GBK" w:cs="宋体"/>
                <w:color w:val="auto"/>
                <w:kern w:val="0"/>
                <w:sz w:val="21"/>
                <w:szCs w:val="21"/>
                <w:lang w:val="zh-CN"/>
              </w:rPr>
              <w:t>质量保障措施内容的</w:t>
            </w:r>
            <w:r>
              <w:rPr>
                <w:rFonts w:hint="eastAsia" w:ascii="方正仿宋_GBK" w:hAnsi="宋体" w:eastAsia="方正仿宋_GBK" w:cs="宋体"/>
                <w:color w:val="auto"/>
                <w:kern w:val="0"/>
                <w:sz w:val="21"/>
                <w:szCs w:val="21"/>
              </w:rPr>
              <w:t>全面性、合理性、针对性的优劣程度独立评分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6"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851"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1134" w:type="dxa"/>
            <w:vAlign w:val="center"/>
          </w:tcPr>
          <w:p>
            <w:pPr>
              <w:topLinePunct/>
              <w:autoSpaceDN w:val="0"/>
              <w:adjustRightInd w:val="0"/>
              <w:snapToGrid w:val="0"/>
              <w:spacing w:line="40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lang w:val="zh-CN"/>
              </w:rPr>
              <w:t>进度计划（</w:t>
            </w:r>
            <w:r>
              <w:rPr>
                <w:rFonts w:hint="eastAsia" w:ascii="方正仿宋_GBK" w:hAnsi="宋体" w:eastAsia="方正仿宋_GBK" w:cs="宋体"/>
                <w:color w:val="auto"/>
                <w:kern w:val="0"/>
                <w:sz w:val="21"/>
                <w:szCs w:val="21"/>
              </w:rPr>
              <w:t>5%</w:t>
            </w:r>
            <w:r>
              <w:rPr>
                <w:rFonts w:hint="eastAsia" w:ascii="方正仿宋_GBK" w:hAnsi="宋体" w:eastAsia="方正仿宋_GBK" w:cs="宋体"/>
                <w:color w:val="auto"/>
                <w:kern w:val="0"/>
                <w:sz w:val="21"/>
                <w:szCs w:val="21"/>
                <w:lang w:val="zh-CN"/>
              </w:rPr>
              <w:t>）</w:t>
            </w:r>
          </w:p>
        </w:tc>
        <w:tc>
          <w:tcPr>
            <w:tcW w:w="850" w:type="dxa"/>
            <w:vAlign w:val="center"/>
          </w:tcPr>
          <w:p>
            <w:pPr>
              <w:topLinePunct/>
              <w:autoSpaceDN w:val="0"/>
              <w:adjustRightInd w:val="0"/>
              <w:snapToGrid w:val="0"/>
              <w:spacing w:line="400" w:lineRule="exact"/>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5</w:t>
            </w:r>
          </w:p>
        </w:tc>
        <w:tc>
          <w:tcPr>
            <w:tcW w:w="4253" w:type="dxa"/>
            <w:vAlign w:val="center"/>
          </w:tcPr>
          <w:p>
            <w:pPr>
              <w:topLinePunct/>
              <w:autoSpaceDN w:val="0"/>
              <w:adjustRightInd w:val="0"/>
              <w:snapToGrid w:val="0"/>
              <w:spacing w:line="400" w:lineRule="exac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1.有针对本项目进度计划方案的得2分。</w:t>
            </w:r>
          </w:p>
          <w:p>
            <w:pPr>
              <w:topLinePunct/>
              <w:autoSpaceDN w:val="0"/>
              <w:adjustRightInd w:val="0"/>
              <w:snapToGrid w:val="0"/>
              <w:spacing w:line="400" w:lineRule="exac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2.评标委员会成员根据进度计划方案的优劣程度适当加分，并按照优加3分、良加2分、一般加1分、差加0分的标准再进行加分。</w:t>
            </w:r>
          </w:p>
          <w:p>
            <w:pPr>
              <w:topLinePunct/>
              <w:autoSpaceDN w:val="0"/>
              <w:adjustRightInd w:val="0"/>
              <w:snapToGrid w:val="0"/>
              <w:spacing w:line="400" w:lineRule="exac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3.未提供进度计划方案的本项得0分。</w:t>
            </w:r>
          </w:p>
        </w:tc>
        <w:tc>
          <w:tcPr>
            <w:tcW w:w="1559" w:type="dxa"/>
            <w:vAlign w:val="center"/>
          </w:tcPr>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评标委员会成员根据响应供应商制定的进度计划方案的详细程度和应急情况分类处置是否符本项目实际情况独立评分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426"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851"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1134" w:type="dxa"/>
            <w:vAlign w:val="center"/>
          </w:tcPr>
          <w:p>
            <w:pPr>
              <w:spacing w:line="240" w:lineRule="atLeast"/>
              <w:ind w:firstLine="28"/>
              <w:jc w:val="center"/>
              <w:rPr>
                <w:rFonts w:ascii="方正仿宋_GBK" w:hAnsi="宋体" w:eastAsia="方正仿宋_GBK" w:cs="宋体"/>
                <w:color w:val="auto"/>
                <w:kern w:val="0"/>
                <w:sz w:val="21"/>
                <w:szCs w:val="21"/>
              </w:rPr>
            </w:pPr>
            <w:r>
              <w:rPr>
                <w:rFonts w:ascii="方正仿宋_GBK" w:hAnsi="宋体" w:eastAsia="方正仿宋_GBK" w:cs="宋体"/>
                <w:color w:val="auto"/>
                <w:kern w:val="0"/>
                <w:sz w:val="21"/>
                <w:szCs w:val="21"/>
              </w:rPr>
              <w:t>安全保障措施</w:t>
            </w:r>
          </w:p>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（5%）</w:t>
            </w:r>
          </w:p>
        </w:tc>
        <w:tc>
          <w:tcPr>
            <w:tcW w:w="850" w:type="dxa"/>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5</w:t>
            </w:r>
          </w:p>
        </w:tc>
        <w:tc>
          <w:tcPr>
            <w:tcW w:w="4253" w:type="dxa"/>
            <w:vAlign w:val="center"/>
          </w:tcPr>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1.有针对本项目安全保障措施的得2分。</w:t>
            </w:r>
          </w:p>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2.评标委员会成员根据投标人提供的安全保障措施的全面性、合理性，并按照优劣程度适当再加分。加分标准为：优加3分、良加2分、一般加1分、差加0分。</w:t>
            </w:r>
          </w:p>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3.未提供安全保障措施和提供的安全保障措施与本项目实际不相符的本项得0分。</w:t>
            </w:r>
          </w:p>
        </w:tc>
        <w:tc>
          <w:tcPr>
            <w:tcW w:w="1559" w:type="dxa"/>
            <w:vAlign w:val="center"/>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评标委员会成员根据响应供应商提供的针对本项目</w:t>
            </w:r>
            <w:r>
              <w:rPr>
                <w:rFonts w:hint="eastAsia" w:ascii="方正仿宋_GBK" w:hAnsi="宋体" w:eastAsia="方正仿宋_GBK" w:cs="宋体"/>
                <w:color w:val="auto"/>
                <w:kern w:val="0"/>
                <w:sz w:val="21"/>
                <w:szCs w:val="21"/>
                <w:lang w:val="zh-CN"/>
              </w:rPr>
              <w:t>安全保障措施内容的</w:t>
            </w:r>
            <w:r>
              <w:rPr>
                <w:rFonts w:hint="eastAsia" w:ascii="方正仿宋_GBK" w:hAnsi="宋体" w:eastAsia="方正仿宋_GBK" w:cs="宋体"/>
                <w:color w:val="auto"/>
                <w:kern w:val="0"/>
                <w:sz w:val="21"/>
                <w:szCs w:val="21"/>
              </w:rPr>
              <w:t>全面性、合理性、针对性的优劣程度独立评分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6" w:type="dxa"/>
            <w:vMerge w:val="restart"/>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851" w:type="dxa"/>
            <w:vMerge w:val="restart"/>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商务部分（</w:t>
            </w:r>
            <w:r>
              <w:rPr>
                <w:rFonts w:ascii="方正仿宋_GBK" w:hAnsi="宋体" w:eastAsia="方正仿宋_GBK" w:cs="宋体"/>
                <w:color w:val="auto"/>
                <w:kern w:val="0"/>
                <w:sz w:val="21"/>
                <w:szCs w:val="21"/>
              </w:rPr>
              <w:t>3</w:t>
            </w:r>
            <w:r>
              <w:rPr>
                <w:rFonts w:hint="eastAsia" w:ascii="方正仿宋_GBK" w:hAnsi="宋体" w:eastAsia="方正仿宋_GBK" w:cs="宋体"/>
                <w:color w:val="auto"/>
                <w:kern w:val="0"/>
                <w:sz w:val="21"/>
                <w:szCs w:val="21"/>
                <w:lang w:val="en-US" w:eastAsia="zh-CN"/>
              </w:rPr>
              <w:t>0</w:t>
            </w:r>
            <w:r>
              <w:rPr>
                <w:rFonts w:hint="eastAsia" w:ascii="方正仿宋_GBK" w:hAnsi="宋体" w:eastAsia="方正仿宋_GBK" w:cs="宋体"/>
                <w:color w:val="auto"/>
                <w:kern w:val="0"/>
                <w:sz w:val="21"/>
                <w:szCs w:val="21"/>
              </w:rPr>
              <w:t>）</w:t>
            </w:r>
          </w:p>
        </w:tc>
        <w:tc>
          <w:tcPr>
            <w:tcW w:w="1134" w:type="dxa"/>
            <w:vAlign w:val="center"/>
          </w:tcPr>
          <w:p>
            <w:pPr>
              <w:spacing w:line="240" w:lineRule="atLeast"/>
              <w:ind w:firstLine="28"/>
              <w:jc w:val="center"/>
              <w:rPr>
                <w:rFonts w:ascii="方正仿宋_GBK" w:hAnsi="宋体" w:eastAsia="方正仿宋_GBK"/>
                <w:color w:val="auto"/>
                <w:sz w:val="21"/>
                <w:szCs w:val="21"/>
              </w:rPr>
            </w:pPr>
            <w:r>
              <w:rPr>
                <w:rFonts w:hint="eastAsia" w:ascii="方正仿宋_GBK" w:hAnsi="宋体" w:eastAsia="方正仿宋_GBK" w:cs="宋体"/>
                <w:color w:val="auto"/>
                <w:kern w:val="0"/>
                <w:sz w:val="21"/>
                <w:szCs w:val="21"/>
              </w:rPr>
              <w:t>综合实力及技术能力（10%）</w:t>
            </w:r>
          </w:p>
        </w:tc>
        <w:tc>
          <w:tcPr>
            <w:tcW w:w="850" w:type="dxa"/>
            <w:vAlign w:val="center"/>
          </w:tcPr>
          <w:p>
            <w:pPr>
              <w:spacing w:line="240" w:lineRule="atLeast"/>
              <w:ind w:firstLine="28"/>
              <w:jc w:val="center"/>
              <w:rPr>
                <w:rFonts w:ascii="方正仿宋_GBK" w:hAnsi="宋体" w:eastAsia="方正仿宋_GBK"/>
                <w:color w:val="auto"/>
                <w:sz w:val="21"/>
                <w:szCs w:val="21"/>
              </w:rPr>
            </w:pPr>
            <w:r>
              <w:rPr>
                <w:rFonts w:hint="eastAsia" w:ascii="方正仿宋_GBK" w:hAnsi="宋体" w:eastAsia="方正仿宋_GBK" w:cs="宋体"/>
                <w:color w:val="auto"/>
                <w:kern w:val="0"/>
                <w:sz w:val="21"/>
                <w:szCs w:val="21"/>
              </w:rPr>
              <w:t>10</w:t>
            </w:r>
          </w:p>
        </w:tc>
        <w:tc>
          <w:tcPr>
            <w:tcW w:w="4253" w:type="dxa"/>
          </w:tcPr>
          <w:p>
            <w:pPr>
              <w:numPr>
                <w:ilvl w:val="0"/>
                <w:numId w:val="2"/>
              </w:numPr>
              <w:spacing w:after="60" w:line="400" w:lineRule="exact"/>
              <w:ind w:firstLine="420" w:firstLineChars="2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供应商须获得公路试验检测综合甲级或公路工程桥梁隧道专项试验检测资质，得4分，未获得不得分。</w:t>
            </w:r>
          </w:p>
          <w:p>
            <w:pPr>
              <w:numPr>
                <w:ilvl w:val="0"/>
                <w:numId w:val="2"/>
              </w:numPr>
              <w:spacing w:after="60" w:line="400" w:lineRule="exact"/>
              <w:ind w:firstLine="420" w:firstLineChars="2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供应商须获得省级以上（含省级及直辖市）主管部门颁发的含有桥梁检测项目的计量认证书（ CMA ），得3分，未获得不得分。</w:t>
            </w:r>
          </w:p>
          <w:p>
            <w:pPr>
              <w:topLinePunct/>
              <w:autoSpaceDN w:val="0"/>
              <w:adjustRightInd w:val="0"/>
              <w:snapToGrid w:val="0"/>
              <w:spacing w:line="400" w:lineRule="exact"/>
              <w:ind w:firstLine="210" w:firstLineChars="100"/>
              <w:rPr>
                <w:rFonts w:hint="eastAsia" w:eastAsia="方正仿宋_GBK"/>
                <w:color w:val="auto"/>
                <w:lang w:val="en-US" w:eastAsia="zh-CN"/>
              </w:rPr>
            </w:pPr>
            <w:r>
              <w:rPr>
                <w:rFonts w:hint="eastAsia" w:ascii="方正仿宋_GBK" w:hAnsi="宋体" w:eastAsia="方正仿宋_GBK" w:cs="宋体"/>
                <w:color w:val="auto"/>
                <w:kern w:val="0"/>
                <w:sz w:val="21"/>
                <w:szCs w:val="21"/>
              </w:rPr>
              <w:t>3.投标人自有桥梁检测车的得3分，</w:t>
            </w:r>
            <w:r>
              <w:rPr>
                <w:rFonts w:hint="eastAsia" w:ascii="方正仿宋_GBK" w:hAnsi="宋体" w:eastAsia="方正仿宋_GBK" w:cs="宋体"/>
                <w:color w:val="auto"/>
                <w:kern w:val="0"/>
                <w:sz w:val="21"/>
                <w:szCs w:val="21"/>
                <w:lang w:val="en-US" w:eastAsia="zh-CN"/>
              </w:rPr>
              <w:t>无则不得分</w:t>
            </w:r>
          </w:p>
        </w:tc>
        <w:tc>
          <w:tcPr>
            <w:tcW w:w="1559" w:type="dxa"/>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提供有效证明材料复印件并加盖响应供应商公章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851"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1134" w:type="dxa"/>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人员</w:t>
            </w:r>
            <w:r>
              <w:rPr>
                <w:rFonts w:ascii="方正仿宋_GBK" w:hAnsi="宋体" w:eastAsia="方正仿宋_GBK" w:cs="宋体"/>
                <w:color w:val="auto"/>
                <w:kern w:val="0"/>
                <w:sz w:val="21"/>
                <w:szCs w:val="21"/>
              </w:rPr>
              <w:t>配备</w:t>
            </w:r>
            <w:r>
              <w:rPr>
                <w:rFonts w:hint="eastAsia" w:ascii="方正仿宋_GBK" w:hAnsi="宋体" w:eastAsia="方正仿宋_GBK" w:cs="宋体"/>
                <w:color w:val="auto"/>
                <w:kern w:val="0"/>
                <w:sz w:val="21"/>
                <w:szCs w:val="21"/>
              </w:rPr>
              <w:t>（</w:t>
            </w:r>
            <w:r>
              <w:rPr>
                <w:rFonts w:ascii="方正仿宋_GBK" w:hAnsi="宋体" w:eastAsia="方正仿宋_GBK" w:cs="宋体"/>
                <w:color w:val="auto"/>
                <w:kern w:val="0"/>
                <w:sz w:val="21"/>
                <w:szCs w:val="21"/>
              </w:rPr>
              <w:t>1</w:t>
            </w:r>
            <w:r>
              <w:rPr>
                <w:rFonts w:hint="eastAsia" w:ascii="方正仿宋_GBK" w:hAnsi="宋体" w:eastAsia="方正仿宋_GBK" w:cs="宋体"/>
                <w:color w:val="auto"/>
                <w:kern w:val="0"/>
                <w:sz w:val="21"/>
                <w:szCs w:val="21"/>
              </w:rPr>
              <w:t>0%）</w:t>
            </w:r>
          </w:p>
        </w:tc>
        <w:tc>
          <w:tcPr>
            <w:tcW w:w="850" w:type="dxa"/>
            <w:vAlign w:val="center"/>
          </w:tcPr>
          <w:p>
            <w:pPr>
              <w:spacing w:line="240" w:lineRule="atLeast"/>
              <w:ind w:firstLine="2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10</w:t>
            </w:r>
          </w:p>
        </w:tc>
        <w:tc>
          <w:tcPr>
            <w:tcW w:w="4253" w:type="dxa"/>
            <w:vAlign w:val="center"/>
          </w:tcPr>
          <w:p>
            <w:pPr>
              <w:topLinePunct/>
              <w:autoSpaceDN w:val="0"/>
              <w:adjustRightInd w:val="0"/>
              <w:snapToGrid w:val="0"/>
              <w:spacing w:line="400" w:lineRule="exact"/>
              <w:ind w:firstLine="210" w:firstLineChars="100"/>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1.项目负责人具有桥梁专业高级及以上职称得2分，具有交通运输部试验检测工程师资格证书(桥梁或桥梁隧道)得1分，本项最高得3分。</w:t>
            </w:r>
          </w:p>
          <w:p>
            <w:pPr>
              <w:spacing w:line="360" w:lineRule="exac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技术负责人具有桥梁专业正高级（研究员、教授）职称得2分，具有交通运输部试验检测工程师资格证书(桥梁或桥梁隧道)得1分，技术负责人参与过省级及以上桥梁相关规范标准编制的，有1个得1分，最多得2分；技术负责人获得与桥梁相关的省部级及以上奖项的，有1项得1分，最多得2分。本项最高得7分。</w:t>
            </w:r>
          </w:p>
        </w:tc>
        <w:tc>
          <w:tcPr>
            <w:tcW w:w="1559" w:type="dxa"/>
            <w:vAlign w:val="center"/>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须提供相应证书和在本单位缴纳的社会保险凭据复印件并加盖响应供应商公章。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426"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851"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1134" w:type="dxa"/>
            <w:vAlign w:val="center"/>
          </w:tcPr>
          <w:p>
            <w:pPr>
              <w:spacing w:line="240" w:lineRule="atLeast"/>
              <w:ind w:left="-3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信用等级（5%）</w:t>
            </w:r>
          </w:p>
        </w:tc>
        <w:tc>
          <w:tcPr>
            <w:tcW w:w="850" w:type="dxa"/>
            <w:vAlign w:val="center"/>
          </w:tcPr>
          <w:p>
            <w:pPr>
              <w:spacing w:line="240" w:lineRule="atLeast"/>
              <w:ind w:left="-38"/>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5</w:t>
            </w:r>
          </w:p>
        </w:tc>
        <w:tc>
          <w:tcPr>
            <w:tcW w:w="4253" w:type="dxa"/>
            <w:vAlign w:val="center"/>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投标人在公路水运工程质量试验检测管理信息系统中信用等级在2021至今期间获得AA级得5分；</w:t>
            </w:r>
            <w:r>
              <w:rPr>
                <w:rFonts w:ascii="方正仿宋_GBK" w:hAnsi="宋体" w:eastAsia="方正仿宋_GBK" w:cs="宋体"/>
                <w:color w:val="auto"/>
                <w:kern w:val="0"/>
                <w:sz w:val="21"/>
                <w:szCs w:val="21"/>
              </w:rPr>
              <w:t>A</w:t>
            </w:r>
            <w:r>
              <w:rPr>
                <w:rFonts w:hint="eastAsia" w:ascii="方正仿宋_GBK" w:hAnsi="宋体" w:eastAsia="方正仿宋_GBK" w:cs="宋体"/>
                <w:color w:val="auto"/>
                <w:kern w:val="0"/>
                <w:sz w:val="21"/>
                <w:szCs w:val="21"/>
              </w:rPr>
              <w:t>级得2分；</w:t>
            </w:r>
            <w:r>
              <w:rPr>
                <w:rFonts w:ascii="方正仿宋_GBK" w:hAnsi="宋体" w:eastAsia="方正仿宋_GBK" w:cs="宋体"/>
                <w:color w:val="auto"/>
                <w:kern w:val="0"/>
                <w:sz w:val="21"/>
                <w:szCs w:val="21"/>
              </w:rPr>
              <w:t>B</w:t>
            </w:r>
            <w:r>
              <w:rPr>
                <w:rFonts w:hint="eastAsia" w:ascii="方正仿宋_GBK" w:hAnsi="宋体" w:eastAsia="方正仿宋_GBK" w:cs="宋体"/>
                <w:color w:val="auto"/>
                <w:kern w:val="0"/>
                <w:sz w:val="21"/>
                <w:szCs w:val="21"/>
              </w:rPr>
              <w:t>级及以下的不得分。</w:t>
            </w:r>
          </w:p>
        </w:tc>
        <w:tc>
          <w:tcPr>
            <w:tcW w:w="1559" w:type="dxa"/>
            <w:vAlign w:val="center"/>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提供有效证明材料复印件并加盖响应供应商公章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426"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851" w:type="dxa"/>
            <w:vMerge w:val="continue"/>
            <w:vAlign w:val="center"/>
          </w:tcPr>
          <w:p>
            <w:pPr>
              <w:spacing w:line="240" w:lineRule="atLeast"/>
              <w:ind w:firstLine="28"/>
              <w:jc w:val="center"/>
              <w:rPr>
                <w:rFonts w:ascii="方正仿宋_GBK" w:hAnsi="宋体" w:eastAsia="方正仿宋_GBK" w:cs="宋体"/>
                <w:color w:val="auto"/>
                <w:kern w:val="0"/>
                <w:sz w:val="21"/>
                <w:szCs w:val="21"/>
              </w:rPr>
            </w:pPr>
          </w:p>
        </w:tc>
        <w:tc>
          <w:tcPr>
            <w:tcW w:w="1134" w:type="dxa"/>
            <w:vAlign w:val="center"/>
          </w:tcPr>
          <w:p>
            <w:pPr>
              <w:spacing w:line="240" w:lineRule="atLeast"/>
              <w:ind w:left="-38"/>
              <w:jc w:val="center"/>
              <w:rPr>
                <w:rFonts w:ascii="方正仿宋_GBK" w:hAnsi="宋体" w:eastAsia="方正仿宋_GBK" w:cs="宋体"/>
                <w:color w:val="auto"/>
                <w:kern w:val="0"/>
                <w:sz w:val="21"/>
                <w:szCs w:val="21"/>
              </w:rPr>
            </w:pPr>
            <w:r>
              <w:rPr>
                <w:rFonts w:ascii="方正仿宋_GBK" w:hAnsi="宋体" w:eastAsia="方正仿宋_GBK" w:cs="宋体"/>
                <w:color w:val="auto"/>
                <w:kern w:val="0"/>
                <w:sz w:val="21"/>
                <w:szCs w:val="21"/>
              </w:rPr>
              <w:t>企业案例</w:t>
            </w:r>
            <w:r>
              <w:rPr>
                <w:rFonts w:hint="eastAsia" w:ascii="方正仿宋_GBK" w:hAnsi="宋体" w:eastAsia="方正仿宋_GBK" w:cs="宋体"/>
                <w:color w:val="auto"/>
                <w:kern w:val="0"/>
                <w:sz w:val="21"/>
                <w:szCs w:val="21"/>
              </w:rPr>
              <w:t>（</w:t>
            </w:r>
            <w:r>
              <w:rPr>
                <w:rFonts w:hint="eastAsia" w:ascii="方正仿宋_GBK" w:hAnsi="宋体" w:eastAsia="方正仿宋_GBK" w:cs="宋体"/>
                <w:color w:val="auto"/>
                <w:kern w:val="0"/>
                <w:sz w:val="21"/>
                <w:szCs w:val="21"/>
                <w:lang w:val="en-US" w:eastAsia="zh-CN"/>
              </w:rPr>
              <w:t>5</w:t>
            </w:r>
            <w:r>
              <w:rPr>
                <w:rFonts w:hint="eastAsia" w:ascii="方正仿宋_GBK" w:hAnsi="宋体" w:eastAsia="方正仿宋_GBK" w:cs="宋体"/>
                <w:color w:val="auto"/>
                <w:kern w:val="0"/>
                <w:sz w:val="21"/>
                <w:szCs w:val="21"/>
              </w:rPr>
              <w:t>%）</w:t>
            </w:r>
          </w:p>
        </w:tc>
        <w:tc>
          <w:tcPr>
            <w:tcW w:w="850" w:type="dxa"/>
            <w:vAlign w:val="center"/>
          </w:tcPr>
          <w:p>
            <w:pPr>
              <w:spacing w:line="240" w:lineRule="atLeast"/>
              <w:ind w:left="-38"/>
              <w:jc w:val="center"/>
              <w:rPr>
                <w:rFonts w:hint="eastAsia" w:ascii="方正仿宋_GBK" w:hAnsi="宋体" w:eastAsia="方正仿宋_GBK" w:cs="宋体"/>
                <w:color w:val="auto"/>
                <w:kern w:val="0"/>
                <w:sz w:val="21"/>
                <w:szCs w:val="21"/>
                <w:lang w:eastAsia="zh-CN"/>
              </w:rPr>
            </w:pPr>
            <w:r>
              <w:rPr>
                <w:rFonts w:hint="eastAsia" w:ascii="方正仿宋_GBK" w:hAnsi="宋体" w:eastAsia="方正仿宋_GBK" w:cs="宋体"/>
                <w:color w:val="auto"/>
                <w:kern w:val="0"/>
                <w:sz w:val="21"/>
                <w:szCs w:val="21"/>
                <w:lang w:val="en-US" w:eastAsia="zh-CN"/>
              </w:rPr>
              <w:t>5</w:t>
            </w:r>
          </w:p>
        </w:tc>
        <w:tc>
          <w:tcPr>
            <w:tcW w:w="4253" w:type="dxa"/>
            <w:vAlign w:val="center"/>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 xml:space="preserve">响应供应商需提供近三年（自投标截止日起推算）内的桥梁定期或经常性检查业绩。每提供一项符合要求的业绩，加 </w:t>
            </w:r>
            <w:r>
              <w:rPr>
                <w:rFonts w:hint="eastAsia" w:ascii="方正仿宋_GBK" w:hAnsi="宋体" w:eastAsia="方正仿宋_GBK" w:cs="宋体"/>
                <w:color w:val="auto"/>
                <w:kern w:val="0"/>
                <w:sz w:val="21"/>
                <w:szCs w:val="21"/>
                <w:lang w:val="en-US" w:eastAsia="zh-CN"/>
              </w:rPr>
              <w:t>1</w:t>
            </w:r>
            <w:r>
              <w:rPr>
                <w:rFonts w:hint="eastAsia" w:ascii="方正仿宋_GBK" w:hAnsi="宋体" w:eastAsia="方正仿宋_GBK" w:cs="宋体"/>
                <w:color w:val="auto"/>
                <w:kern w:val="0"/>
                <w:sz w:val="21"/>
                <w:szCs w:val="21"/>
              </w:rPr>
              <w:t xml:space="preserve"> 分，本项累计最高</w:t>
            </w:r>
            <w:r>
              <w:rPr>
                <w:rFonts w:hint="eastAsia" w:ascii="方正仿宋_GBK" w:hAnsi="宋体" w:eastAsia="方正仿宋_GBK" w:cs="宋体"/>
                <w:color w:val="auto"/>
                <w:kern w:val="0"/>
                <w:sz w:val="21"/>
                <w:szCs w:val="21"/>
                <w:lang w:val="en-US" w:eastAsia="zh-CN"/>
              </w:rPr>
              <w:t>5</w:t>
            </w:r>
            <w:r>
              <w:rPr>
                <w:rFonts w:hint="eastAsia" w:ascii="方正仿宋_GBK" w:hAnsi="宋体" w:eastAsia="方正仿宋_GBK" w:cs="宋体"/>
                <w:color w:val="auto"/>
                <w:kern w:val="0"/>
                <w:sz w:val="21"/>
                <w:szCs w:val="21"/>
              </w:rPr>
              <w:t>分，未提供则不得分。业绩认定以合同、检测报告等有效文件为准，文件需清晰呈现项目名称、检测内容、实施时间及双方签署信息。</w:t>
            </w:r>
          </w:p>
        </w:tc>
        <w:tc>
          <w:tcPr>
            <w:tcW w:w="1559" w:type="dxa"/>
            <w:vAlign w:val="center"/>
          </w:tcPr>
          <w:p>
            <w:pPr>
              <w:topLinePunct/>
              <w:autoSpaceDN w:val="0"/>
              <w:adjustRightInd w:val="0"/>
              <w:snapToGrid w:val="0"/>
              <w:spacing w:line="0" w:lineRule="atLeast"/>
              <w:jc w:val="left"/>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提供有效证明材料复印件并加盖响应供应商公章</w:t>
            </w:r>
          </w:p>
        </w:tc>
      </w:tr>
    </w:tbl>
    <w:p>
      <w:pPr>
        <w:spacing w:line="390" w:lineRule="exact"/>
        <w:ind w:firstLine="482" w:firstLineChars="200"/>
        <w:jc w:val="left"/>
        <w:rPr>
          <w:rFonts w:ascii="方正仿宋_GBK" w:hAnsi="宋体" w:eastAsia="方正仿宋_GBK"/>
          <w:b/>
          <w:bCs/>
          <w:color w:val="auto"/>
          <w:sz w:val="24"/>
          <w:szCs w:val="24"/>
          <w:lang w:val="zh-CN"/>
        </w:rPr>
      </w:pPr>
    </w:p>
    <w:bookmarkEnd w:id="9"/>
    <w:bookmarkEnd w:id="10"/>
    <w:bookmarkEnd w:id="11"/>
    <w:p>
      <w:pPr>
        <w:spacing w:line="500" w:lineRule="exact"/>
        <w:ind w:firstLine="880" w:firstLineChars="200"/>
        <w:jc w:val="center"/>
        <w:rPr>
          <w:rFonts w:eastAsia="方正小标宋_GBK"/>
          <w:bCs/>
          <w:color w:val="auto"/>
          <w:sz w:val="44"/>
        </w:rPr>
      </w:pPr>
    </w:p>
    <w:p>
      <w:pPr>
        <w:spacing w:line="500" w:lineRule="exact"/>
        <w:ind w:firstLine="880" w:firstLineChars="200"/>
        <w:jc w:val="center"/>
        <w:rPr>
          <w:rFonts w:eastAsia="方正小标宋_GBK"/>
          <w:bCs/>
          <w:color w:val="auto"/>
        </w:rPr>
      </w:pPr>
      <w:r>
        <w:rPr>
          <w:rFonts w:eastAsia="方正小标宋_GBK"/>
          <w:bCs/>
          <w:color w:val="auto"/>
          <w:sz w:val="44"/>
        </w:rPr>
        <w:t>第五篇  响应供应商须知</w:t>
      </w:r>
    </w:p>
    <w:p>
      <w:pPr>
        <w:topLinePunct/>
        <w:autoSpaceDN w:val="0"/>
        <w:adjustRightInd w:val="0"/>
        <w:snapToGrid w:val="0"/>
        <w:spacing w:line="400" w:lineRule="exact"/>
        <w:ind w:firstLine="482" w:firstLineChars="200"/>
        <w:rPr>
          <w:rFonts w:eastAsia="方正仿宋_GBK"/>
          <w:b/>
          <w:color w:val="auto"/>
          <w:sz w:val="24"/>
          <w:szCs w:val="24"/>
        </w:rPr>
      </w:pPr>
      <w:bookmarkStart w:id="12" w:name="_Toc340223166"/>
    </w:p>
    <w:p>
      <w:pPr>
        <w:topLinePunct/>
        <w:autoSpaceDN w:val="0"/>
        <w:adjustRightInd w:val="0"/>
        <w:snapToGrid w:val="0"/>
        <w:spacing w:line="400" w:lineRule="exact"/>
        <w:ind w:firstLine="482" w:firstLineChars="200"/>
        <w:rPr>
          <w:rFonts w:eastAsia="方正仿宋_GBK"/>
          <w:b/>
          <w:color w:val="auto"/>
          <w:sz w:val="24"/>
          <w:szCs w:val="24"/>
        </w:rPr>
      </w:pPr>
      <w:r>
        <w:rPr>
          <w:rFonts w:eastAsia="方正仿宋_GBK"/>
          <w:b/>
          <w:color w:val="auto"/>
          <w:sz w:val="24"/>
          <w:szCs w:val="24"/>
        </w:rPr>
        <w:t>一、响应供应商</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（一）合格响应供应商条件</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合格响应供应商应完全符合磋商文件规定的响应供应商资格条件，并对磋商文件作出实质性响应。</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（二）响应供应商的风险</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响应供应商没有按照磋商文件要求提供全部资料，或者响应供应商没有对磋商文件在各方面作出实质性响应，可能导致响应被拒绝或评定为无效响应。</w:t>
      </w:r>
      <w:bookmarkStart w:id="13" w:name="_Toc340223158"/>
    </w:p>
    <w:p>
      <w:pPr>
        <w:topLinePunct/>
        <w:autoSpaceDN w:val="0"/>
        <w:adjustRightInd w:val="0"/>
        <w:snapToGrid w:val="0"/>
        <w:spacing w:line="400" w:lineRule="exact"/>
        <w:ind w:firstLine="482" w:firstLineChars="200"/>
        <w:rPr>
          <w:rFonts w:eastAsia="方正仿宋_GBK"/>
          <w:b/>
          <w:color w:val="auto"/>
          <w:sz w:val="24"/>
          <w:szCs w:val="24"/>
        </w:rPr>
      </w:pPr>
      <w:r>
        <w:rPr>
          <w:rFonts w:eastAsia="方正仿宋_GBK"/>
          <w:b/>
          <w:color w:val="auto"/>
          <w:sz w:val="24"/>
          <w:szCs w:val="24"/>
        </w:rPr>
        <w:t>二、竞争性磋商文件</w:t>
      </w:r>
      <w:bookmarkEnd w:id="13"/>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磋商文件是响应供应商编制响应文件的依据，是磋商小组评判依据和标准。磋商文件也是采购人与成交供应商签订合同的基础。</w:t>
      </w:r>
    </w:p>
    <w:p>
      <w:pPr>
        <w:topLinePunct/>
        <w:autoSpaceDN w:val="0"/>
        <w:adjustRightInd w:val="0"/>
        <w:snapToGrid w:val="0"/>
        <w:spacing w:line="400" w:lineRule="exact"/>
        <w:ind w:firstLine="482" w:firstLineChars="200"/>
        <w:rPr>
          <w:rFonts w:eastAsia="方正仿宋_GBK"/>
          <w:b/>
          <w:color w:val="auto"/>
          <w:sz w:val="24"/>
          <w:szCs w:val="24"/>
        </w:rPr>
      </w:pPr>
      <w:bookmarkStart w:id="14" w:name="_Toc340223159"/>
      <w:r>
        <w:rPr>
          <w:rFonts w:eastAsia="方正仿宋_GBK"/>
          <w:b/>
          <w:color w:val="auto"/>
          <w:sz w:val="24"/>
          <w:szCs w:val="24"/>
        </w:rPr>
        <w:t>三、</w:t>
      </w:r>
      <w:bookmarkEnd w:id="14"/>
      <w:r>
        <w:rPr>
          <w:rFonts w:eastAsia="方正仿宋_GBK"/>
          <w:b/>
          <w:color w:val="auto"/>
          <w:sz w:val="24"/>
          <w:szCs w:val="24"/>
        </w:rPr>
        <w:t>磋商要求</w:t>
      </w:r>
    </w:p>
    <w:p>
      <w:pPr>
        <w:topLinePunct/>
        <w:autoSpaceDN w:val="0"/>
        <w:adjustRightInd w:val="0"/>
        <w:snapToGrid w:val="0"/>
        <w:spacing w:line="400" w:lineRule="exact"/>
        <w:ind w:firstLine="480" w:firstLineChars="200"/>
        <w:rPr>
          <w:rFonts w:eastAsia="方正仿宋_GBK"/>
          <w:color w:val="auto"/>
          <w:sz w:val="24"/>
          <w:szCs w:val="24"/>
        </w:rPr>
      </w:pPr>
      <w:r>
        <w:rPr>
          <w:rFonts w:hint="eastAsia" w:eastAsia="方正仿宋_GBK"/>
          <w:color w:val="auto"/>
          <w:sz w:val="24"/>
          <w:szCs w:val="24"/>
        </w:rPr>
        <w:t>响应供应商应当按照竞争性磋商文件的要求编制响应文件，并对竞争性磋商文件提出的要求和条件作出实质性响应，同时应编制完整的页码、目录。</w:t>
      </w:r>
    </w:p>
    <w:p>
      <w:pPr>
        <w:topLinePunct/>
        <w:autoSpaceDN w:val="0"/>
        <w:adjustRightInd w:val="0"/>
        <w:snapToGrid w:val="0"/>
        <w:spacing w:line="400" w:lineRule="exact"/>
        <w:ind w:firstLine="480" w:firstLineChars="200"/>
        <w:rPr>
          <w:rFonts w:eastAsia="方正仿宋_GBK"/>
          <w:color w:val="auto"/>
          <w:sz w:val="24"/>
          <w:szCs w:val="24"/>
        </w:rPr>
      </w:pPr>
      <w:r>
        <w:rPr>
          <w:rFonts w:hint="eastAsia" w:eastAsia="方正仿宋_GBK"/>
          <w:color w:val="auto"/>
          <w:sz w:val="24"/>
          <w:szCs w:val="24"/>
        </w:rPr>
        <w:t>（一）响应文件组成</w:t>
      </w:r>
    </w:p>
    <w:p>
      <w:pPr>
        <w:topLinePunct/>
        <w:autoSpaceDN w:val="0"/>
        <w:adjustRightInd w:val="0"/>
        <w:snapToGrid w:val="0"/>
        <w:spacing w:line="400" w:lineRule="exact"/>
        <w:ind w:firstLine="480" w:firstLineChars="200"/>
        <w:rPr>
          <w:rFonts w:eastAsia="方正仿宋_GBK"/>
          <w:color w:val="auto"/>
          <w:sz w:val="24"/>
          <w:szCs w:val="24"/>
        </w:rPr>
      </w:pPr>
      <w:r>
        <w:rPr>
          <w:rFonts w:hint="eastAsia" w:eastAsia="方正仿宋_GBK"/>
          <w:color w:val="auto"/>
          <w:sz w:val="24"/>
          <w:szCs w:val="24"/>
        </w:rPr>
        <w:t>响应文件由以下部分和响应供应商所作的一切有效补充、修改和承诺等文件组成，响应供应商应按照第七篇“响应文件编制要求”规定的目录顺序组织编写和装订，否则有可能影响评委对响应文件的评审，也可在基本格式基础上对表格进行扩展，未规定格式的由供应商自定格式。</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w:t>
      </w:r>
      <w:r>
        <w:rPr>
          <w:rFonts w:hint="eastAsia" w:eastAsia="方正仿宋_GBK"/>
          <w:color w:val="auto"/>
          <w:sz w:val="24"/>
          <w:szCs w:val="24"/>
        </w:rPr>
        <w:t>二</w:t>
      </w:r>
      <w:r>
        <w:rPr>
          <w:rFonts w:eastAsia="方正仿宋_GBK"/>
          <w:color w:val="auto"/>
          <w:sz w:val="24"/>
          <w:szCs w:val="24"/>
        </w:rPr>
        <w:t>）响应文件的份数和签署</w:t>
      </w:r>
    </w:p>
    <w:p>
      <w:pPr>
        <w:topLinePunct/>
        <w:autoSpaceDN w:val="0"/>
        <w:adjustRightInd w:val="0"/>
        <w:snapToGrid w:val="0"/>
        <w:spacing w:line="400" w:lineRule="exact"/>
        <w:ind w:firstLine="480" w:firstLineChars="200"/>
        <w:rPr>
          <w:rFonts w:eastAsia="方正仿宋_GBK"/>
          <w:color w:val="auto"/>
          <w:sz w:val="24"/>
          <w:szCs w:val="24"/>
        </w:rPr>
      </w:pPr>
      <w:r>
        <w:rPr>
          <w:rFonts w:hint="eastAsia" w:eastAsia="方正仿宋_GBK"/>
          <w:color w:val="auto"/>
          <w:sz w:val="24"/>
          <w:szCs w:val="24"/>
        </w:rPr>
        <w:t>1．响应文件“资格文件、技术、商务及经济文件”一式一份；</w:t>
      </w:r>
    </w:p>
    <w:p>
      <w:pPr>
        <w:topLinePunct/>
        <w:autoSpaceDN w:val="0"/>
        <w:adjustRightInd w:val="0"/>
        <w:snapToGrid w:val="0"/>
        <w:spacing w:line="400" w:lineRule="exact"/>
        <w:ind w:firstLine="480" w:firstLineChars="200"/>
        <w:rPr>
          <w:rFonts w:eastAsia="方正仿宋_GBK"/>
          <w:color w:val="auto"/>
          <w:sz w:val="24"/>
          <w:szCs w:val="24"/>
        </w:rPr>
      </w:pPr>
      <w:r>
        <w:rPr>
          <w:rFonts w:hint="eastAsia" w:eastAsia="方正仿宋_GBK"/>
          <w:color w:val="auto"/>
          <w:sz w:val="24"/>
          <w:szCs w:val="24"/>
        </w:rPr>
        <w:t>2.响应文件必须逐页加盖公章并加盖骑缝章，磋商文件第七篇“响应文件编制要求”中规定签字、盖章的地方必须按其规定签字、盖章。</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3.响应供应商在响应截止时间前，可以对所递交的响应文件进行补充、修改或者撤回，并书面通知采购人或者</w:t>
      </w:r>
      <w:r>
        <w:rPr>
          <w:rFonts w:hint="eastAsia" w:eastAsia="方正仿宋_GBK"/>
          <w:color w:val="auto"/>
          <w:sz w:val="24"/>
          <w:szCs w:val="24"/>
        </w:rPr>
        <w:t>采购人</w:t>
      </w:r>
      <w:r>
        <w:rPr>
          <w:rFonts w:eastAsia="方正仿宋_GBK"/>
          <w:color w:val="auto"/>
          <w:sz w:val="24"/>
          <w:szCs w:val="24"/>
        </w:rPr>
        <w:t>。补充、修改的内容应当按照磋商文件要求签署、盖章、密封后，作为响应文件的组成部分。</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4.电报、电话、传真形式的响应文件概不接受。</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5.响应文件除签名外，其余所有内容必须由电脑打印，禁止手写或涂改。</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（六）响应报价</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1.响应供应商应严格按照“响应文件编制要求”中“开标一览表”和“分项报价明细表”的格式填写报价。</w:t>
      </w:r>
    </w:p>
    <w:p>
      <w:pPr>
        <w:spacing w:line="400" w:lineRule="exact"/>
        <w:ind w:firstLine="480" w:firstLineChars="200"/>
        <w:rPr>
          <w:rFonts w:eastAsia="方正仿宋_GBK"/>
          <w:color w:val="auto"/>
          <w:sz w:val="24"/>
          <w:szCs w:val="24"/>
        </w:rPr>
      </w:pPr>
      <w:r>
        <w:rPr>
          <w:rFonts w:eastAsia="方正仿宋_GBK"/>
          <w:color w:val="auto"/>
          <w:sz w:val="24"/>
          <w:szCs w:val="24"/>
        </w:rPr>
        <w:t>2.本项目分两次报价，第二次报价只能低于或等于第一次报价。</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（七）修正错误</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若响应文件出现计算或表达上的错误，修正错误的原则如下：</w:t>
      </w:r>
    </w:p>
    <w:p>
      <w:pPr>
        <w:topLinePunct/>
        <w:autoSpaceDN w:val="0"/>
        <w:adjustRightInd w:val="0"/>
        <w:snapToGrid w:val="0"/>
        <w:spacing w:line="400" w:lineRule="exact"/>
        <w:ind w:firstLine="480" w:firstLineChars="200"/>
        <w:rPr>
          <w:rFonts w:eastAsia="方正仿宋_GBK"/>
          <w:color w:val="auto"/>
          <w:sz w:val="24"/>
          <w:szCs w:val="24"/>
        </w:rPr>
      </w:pPr>
      <w:r>
        <w:rPr>
          <w:rFonts w:hint="eastAsia" w:eastAsia="方正仿宋_GBK"/>
          <w:color w:val="auto"/>
          <w:sz w:val="24"/>
          <w:szCs w:val="24"/>
        </w:rPr>
        <w:t>1</w:t>
      </w:r>
      <w:r>
        <w:rPr>
          <w:rFonts w:eastAsia="方正仿宋_GBK"/>
          <w:color w:val="auto"/>
          <w:sz w:val="24"/>
          <w:szCs w:val="24"/>
        </w:rPr>
        <w:t>.对不同文字文本响应文件的解释发生异议的，以中文文本为准。</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磋商小组按上述修正错误的原则及方法调整或修正响应供应商响应报价，响应供应商同意并签字确认后，调整后的响应报价对响应供应商具有约束作用。如果响应供应商不接受修正后的报价，则其响应将作为无效响应处理。</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（八）装订要求</w:t>
      </w:r>
    </w:p>
    <w:p>
      <w:pPr>
        <w:topLinePunct/>
        <w:autoSpaceDN w:val="0"/>
        <w:adjustRightInd w:val="0"/>
        <w:snapToGrid w:val="0"/>
        <w:spacing w:line="400" w:lineRule="exact"/>
        <w:ind w:firstLine="480" w:firstLineChars="200"/>
        <w:rPr>
          <w:rFonts w:eastAsia="方正仿宋_GBK"/>
          <w:color w:val="auto"/>
          <w:sz w:val="24"/>
          <w:szCs w:val="24"/>
        </w:rPr>
      </w:pPr>
      <w:r>
        <w:rPr>
          <w:rFonts w:hint="eastAsia" w:eastAsia="方正仿宋_GBK"/>
          <w:color w:val="auto"/>
          <w:sz w:val="24"/>
          <w:szCs w:val="24"/>
        </w:rPr>
        <w:t>各响应供应商应将资格部分，技术、商务及经济部分统一装订成册。所有文件均须使用不可拆卸的胶装方式，装订必须牢固，不得使用塑料夹条、薄膜外皮等饰物，否则，该响应文件将按无效响应文件处理。</w:t>
      </w:r>
    </w:p>
    <w:p>
      <w:pPr>
        <w:spacing w:line="400" w:lineRule="exact"/>
        <w:ind w:firstLine="480" w:firstLineChars="200"/>
        <w:rPr>
          <w:rFonts w:eastAsia="方正仿宋_GBK"/>
          <w:color w:val="auto"/>
          <w:sz w:val="24"/>
          <w:szCs w:val="24"/>
        </w:rPr>
      </w:pPr>
      <w:r>
        <w:rPr>
          <w:rFonts w:eastAsia="方正仿宋_GBK"/>
          <w:color w:val="auto"/>
          <w:sz w:val="24"/>
          <w:szCs w:val="24"/>
        </w:rPr>
        <w:t>（</w:t>
      </w:r>
      <w:r>
        <w:rPr>
          <w:rFonts w:hint="eastAsia" w:eastAsia="方正仿宋_GBK"/>
          <w:color w:val="auto"/>
          <w:sz w:val="24"/>
          <w:szCs w:val="24"/>
        </w:rPr>
        <w:t>九</w:t>
      </w:r>
      <w:r>
        <w:rPr>
          <w:rFonts w:eastAsia="方正仿宋_GBK"/>
          <w:color w:val="auto"/>
          <w:sz w:val="24"/>
          <w:szCs w:val="24"/>
        </w:rPr>
        <w:t>）响应供应商参与人员</w:t>
      </w:r>
    </w:p>
    <w:p>
      <w:pPr>
        <w:spacing w:line="400" w:lineRule="exact"/>
        <w:ind w:firstLine="480" w:firstLineChars="200"/>
        <w:rPr>
          <w:rFonts w:eastAsia="方正仿宋_GBK"/>
          <w:color w:val="auto"/>
          <w:sz w:val="24"/>
          <w:szCs w:val="24"/>
        </w:rPr>
      </w:pPr>
      <w:r>
        <w:rPr>
          <w:rFonts w:eastAsia="方正仿宋_GBK"/>
          <w:color w:val="auto"/>
          <w:sz w:val="24"/>
          <w:szCs w:val="24"/>
        </w:rPr>
        <w:t>各个响应供应商可派1-2名代表参与磋商，至少1人应为法定代表人或具有法定代表人授权委托书的授权代表。</w:t>
      </w:r>
      <w:bookmarkStart w:id="15" w:name="_Toc340223162"/>
    </w:p>
    <w:bookmarkEnd w:id="15"/>
    <w:p>
      <w:pPr>
        <w:topLinePunct/>
        <w:autoSpaceDN w:val="0"/>
        <w:adjustRightInd w:val="0"/>
        <w:snapToGrid w:val="0"/>
        <w:spacing w:line="400" w:lineRule="exact"/>
        <w:ind w:firstLine="482" w:firstLineChars="200"/>
        <w:rPr>
          <w:rFonts w:eastAsia="方正仿宋_GBK"/>
          <w:b/>
          <w:color w:val="auto"/>
          <w:sz w:val="24"/>
          <w:szCs w:val="24"/>
        </w:rPr>
      </w:pPr>
      <w:r>
        <w:rPr>
          <w:rFonts w:hint="eastAsia" w:eastAsia="方正仿宋_GBK"/>
          <w:b/>
          <w:color w:val="auto"/>
          <w:sz w:val="24"/>
          <w:szCs w:val="24"/>
        </w:rPr>
        <w:t>四</w:t>
      </w:r>
      <w:r>
        <w:rPr>
          <w:rFonts w:eastAsia="方正仿宋_GBK"/>
          <w:b/>
          <w:color w:val="auto"/>
          <w:sz w:val="24"/>
          <w:szCs w:val="24"/>
        </w:rPr>
        <w:t>、成交</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（一）成交供应商的确定</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1.竞争性磋商文件规定内容中有一条以上不能满足要求的供应商将失去成为成交供应商的资格。</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2.磋商小组认为，排在前面的成交候选人的最后报价或者某些分项报价明显不合理或者低于成本，有可能影响商品质量和不能诚信履约的，将要求其在规定的期限内提供书面文件予以解释说明，并提交相关证明材料；否则，磋商小组可以取消该成交候选人成为成交供应商的资格，按顺序由排在后面的成交候选人递补，以此类推。</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3.磋商小组将依照评审办法提出3名以上成交候选人。</w:t>
      </w:r>
    </w:p>
    <w:p>
      <w:pPr>
        <w:snapToGrid w:val="0"/>
        <w:spacing w:line="400" w:lineRule="exact"/>
        <w:ind w:firstLine="480" w:firstLineChars="200"/>
        <w:rPr>
          <w:rFonts w:eastAsia="方正仿宋_GBK"/>
          <w:color w:val="auto"/>
          <w:sz w:val="24"/>
          <w:szCs w:val="24"/>
        </w:rPr>
      </w:pPr>
      <w:r>
        <w:rPr>
          <w:rFonts w:eastAsia="方正仿宋_GBK"/>
          <w:color w:val="auto"/>
          <w:sz w:val="24"/>
          <w:szCs w:val="24"/>
        </w:rPr>
        <w:t>4.采购人按照排序由高到低的原则确定成交供应商。</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（二）成交通知</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1．成交供应商确定后，</w:t>
      </w:r>
      <w:r>
        <w:rPr>
          <w:rFonts w:hint="eastAsia" w:eastAsia="方正仿宋_GBK"/>
          <w:color w:val="auto"/>
          <w:sz w:val="24"/>
          <w:szCs w:val="24"/>
        </w:rPr>
        <w:t>采购人</w:t>
      </w:r>
      <w:r>
        <w:rPr>
          <w:rFonts w:eastAsia="方正仿宋_GBK"/>
          <w:color w:val="auto"/>
          <w:sz w:val="24"/>
          <w:szCs w:val="24"/>
        </w:rPr>
        <w:t>在“沙坪坝区政府门户网”上发布成交结果。</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2.结果公告发出同时，</w:t>
      </w:r>
      <w:r>
        <w:rPr>
          <w:rFonts w:hint="eastAsia" w:eastAsia="方正仿宋_GBK"/>
          <w:color w:val="auto"/>
          <w:sz w:val="24"/>
          <w:szCs w:val="24"/>
        </w:rPr>
        <w:t>采购人</w:t>
      </w:r>
      <w:r>
        <w:rPr>
          <w:rFonts w:eastAsia="方正仿宋_GBK"/>
          <w:color w:val="auto"/>
          <w:sz w:val="24"/>
          <w:szCs w:val="24"/>
        </w:rPr>
        <w:t>将以书面形式发出《成交通知书》。</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3.《成交通知书》将作为签订合同的依据。</w:t>
      </w:r>
    </w:p>
    <w:bookmarkEnd w:id="12"/>
    <w:p>
      <w:pPr>
        <w:spacing w:line="400" w:lineRule="exact"/>
        <w:rPr>
          <w:rFonts w:eastAsia="方正仿宋_GBK"/>
          <w:bCs/>
          <w:color w:val="auto"/>
          <w:sz w:val="24"/>
        </w:rPr>
      </w:pPr>
    </w:p>
    <w:p>
      <w:pPr>
        <w:pStyle w:val="3"/>
        <w:keepNext w:val="0"/>
        <w:topLinePunct/>
        <w:autoSpaceDN w:val="0"/>
        <w:adjustRightInd w:val="0"/>
        <w:spacing w:before="240" w:after="120" w:line="360" w:lineRule="auto"/>
        <w:rPr>
          <w:rFonts w:eastAsia="方正小标宋_GBK"/>
          <w:bCs/>
          <w:color w:val="auto"/>
        </w:rPr>
      </w:pPr>
      <w:r>
        <w:rPr>
          <w:rFonts w:eastAsia="方正小标宋_GBK"/>
          <w:bCs/>
          <w:color w:val="auto"/>
        </w:rPr>
        <w:t>第</w:t>
      </w:r>
      <w:r>
        <w:rPr>
          <w:rFonts w:hint="eastAsia" w:eastAsia="方正小标宋_GBK"/>
          <w:bCs/>
          <w:color w:val="auto"/>
        </w:rPr>
        <w:t>六</w:t>
      </w:r>
      <w:r>
        <w:rPr>
          <w:rFonts w:eastAsia="方正小标宋_GBK"/>
          <w:bCs/>
          <w:color w:val="auto"/>
        </w:rPr>
        <w:t>篇  响应文件编制要求</w:t>
      </w:r>
    </w:p>
    <w:p>
      <w:pPr>
        <w:snapToGrid w:val="0"/>
        <w:spacing w:line="400" w:lineRule="exact"/>
        <w:ind w:firstLine="482" w:firstLineChars="200"/>
        <w:rPr>
          <w:rFonts w:eastAsia="方正仿宋_GBK"/>
          <w:b/>
          <w:bCs/>
          <w:color w:val="auto"/>
          <w:sz w:val="24"/>
        </w:rPr>
      </w:pPr>
      <w:r>
        <w:rPr>
          <w:rFonts w:eastAsia="方正仿宋_GBK"/>
          <w:b/>
          <w:bCs/>
          <w:color w:val="auto"/>
          <w:sz w:val="24"/>
        </w:rPr>
        <w:t>一、资格文件</w:t>
      </w:r>
    </w:p>
    <w:p>
      <w:pPr>
        <w:snapToGrid w:val="0"/>
        <w:spacing w:line="400" w:lineRule="exact"/>
        <w:ind w:firstLine="480" w:firstLineChars="200"/>
        <w:rPr>
          <w:rFonts w:eastAsia="方正仿宋_GBK"/>
          <w:bCs/>
          <w:color w:val="auto"/>
          <w:sz w:val="24"/>
        </w:rPr>
      </w:pPr>
      <w:r>
        <w:rPr>
          <w:rFonts w:eastAsia="方正仿宋_GBK"/>
          <w:bCs/>
          <w:color w:val="auto"/>
          <w:sz w:val="24"/>
        </w:rPr>
        <w:t>（一）营业执照副本复印件</w:t>
      </w:r>
    </w:p>
    <w:p>
      <w:pPr>
        <w:snapToGrid w:val="0"/>
        <w:spacing w:line="400" w:lineRule="exact"/>
        <w:ind w:firstLine="480" w:firstLineChars="200"/>
        <w:rPr>
          <w:rFonts w:eastAsia="方正仿宋_GBK"/>
          <w:bCs/>
          <w:color w:val="auto"/>
          <w:sz w:val="24"/>
        </w:rPr>
      </w:pPr>
      <w:r>
        <w:rPr>
          <w:rFonts w:eastAsia="方正仿宋_GBK"/>
          <w:bCs/>
          <w:color w:val="auto"/>
          <w:sz w:val="24"/>
        </w:rPr>
        <w:t>（二）税务登记证副本复印件</w:t>
      </w:r>
    </w:p>
    <w:p>
      <w:pPr>
        <w:snapToGrid w:val="0"/>
        <w:spacing w:line="400" w:lineRule="exact"/>
        <w:ind w:firstLine="480" w:firstLineChars="200"/>
        <w:rPr>
          <w:rFonts w:eastAsia="方正仿宋_GBK"/>
          <w:bCs/>
          <w:color w:val="auto"/>
          <w:sz w:val="24"/>
        </w:rPr>
      </w:pPr>
      <w:r>
        <w:rPr>
          <w:rFonts w:eastAsia="方正仿宋_GBK"/>
          <w:bCs/>
          <w:color w:val="auto"/>
          <w:sz w:val="24"/>
        </w:rPr>
        <w:t>（三）组织机构代码证复印件</w:t>
      </w:r>
    </w:p>
    <w:p>
      <w:pPr>
        <w:snapToGrid w:val="0"/>
        <w:spacing w:line="400" w:lineRule="exact"/>
        <w:ind w:firstLine="480" w:firstLineChars="200"/>
        <w:rPr>
          <w:rFonts w:eastAsia="方正仿宋_GBK"/>
          <w:bCs/>
          <w:color w:val="auto"/>
          <w:sz w:val="24"/>
        </w:rPr>
      </w:pPr>
      <w:r>
        <w:rPr>
          <w:rFonts w:eastAsia="方正仿宋_GBK"/>
          <w:bCs/>
          <w:color w:val="auto"/>
          <w:sz w:val="24"/>
        </w:rPr>
        <w:t>（四）法定代表人身份证明书（格式）</w:t>
      </w:r>
    </w:p>
    <w:p>
      <w:pPr>
        <w:snapToGrid w:val="0"/>
        <w:spacing w:line="400" w:lineRule="exact"/>
        <w:ind w:firstLine="480" w:firstLineChars="200"/>
        <w:rPr>
          <w:rFonts w:eastAsia="方正仿宋_GBK"/>
          <w:bCs/>
          <w:color w:val="auto"/>
          <w:sz w:val="24"/>
        </w:rPr>
      </w:pPr>
      <w:r>
        <w:rPr>
          <w:rFonts w:eastAsia="方正仿宋_GBK"/>
          <w:bCs/>
          <w:color w:val="auto"/>
          <w:sz w:val="24"/>
        </w:rPr>
        <w:t>（五）法定代表人授权委托书（格式）</w:t>
      </w:r>
    </w:p>
    <w:p>
      <w:pPr>
        <w:snapToGrid w:val="0"/>
        <w:spacing w:line="400" w:lineRule="exact"/>
        <w:ind w:firstLine="480" w:firstLineChars="200"/>
        <w:rPr>
          <w:rFonts w:eastAsia="方正仿宋_GBK"/>
          <w:bCs/>
          <w:color w:val="auto"/>
          <w:sz w:val="24"/>
        </w:rPr>
      </w:pPr>
      <w:r>
        <w:rPr>
          <w:rFonts w:eastAsia="方正仿宋_GBK"/>
          <w:bCs/>
          <w:color w:val="auto"/>
          <w:sz w:val="24"/>
        </w:rPr>
        <w:t>（六）有依法缴纳税收和社会保障资金的良好记录</w:t>
      </w:r>
      <w:r>
        <w:rPr>
          <w:rFonts w:hint="eastAsia" w:eastAsia="方正仿宋_GBK"/>
          <w:bCs/>
          <w:color w:val="auto"/>
          <w:sz w:val="24"/>
        </w:rPr>
        <w:t>。</w:t>
      </w:r>
    </w:p>
    <w:p>
      <w:pPr>
        <w:snapToGrid w:val="0"/>
        <w:spacing w:line="400" w:lineRule="exact"/>
        <w:ind w:firstLine="480" w:firstLineChars="200"/>
        <w:rPr>
          <w:rFonts w:eastAsia="方正仿宋_GBK"/>
          <w:bCs/>
          <w:color w:val="auto"/>
          <w:sz w:val="24"/>
        </w:rPr>
      </w:pPr>
      <w:r>
        <w:rPr>
          <w:rFonts w:eastAsia="方正仿宋_GBK"/>
          <w:bCs/>
          <w:color w:val="auto"/>
          <w:sz w:val="24"/>
        </w:rPr>
        <w:t>（七）诚信声明</w:t>
      </w:r>
    </w:p>
    <w:p>
      <w:pPr>
        <w:snapToGrid w:val="0"/>
        <w:spacing w:line="400" w:lineRule="exact"/>
        <w:ind w:firstLine="480" w:firstLineChars="200"/>
        <w:rPr>
          <w:rFonts w:eastAsia="方正仿宋_GBK"/>
          <w:bCs/>
          <w:color w:val="auto"/>
          <w:sz w:val="24"/>
        </w:rPr>
      </w:pPr>
      <w:r>
        <w:rPr>
          <w:rFonts w:eastAsia="方正仿宋_GBK"/>
          <w:bCs/>
          <w:color w:val="auto"/>
          <w:sz w:val="24"/>
        </w:rPr>
        <w:t>（</w:t>
      </w:r>
      <w:r>
        <w:rPr>
          <w:rFonts w:hint="eastAsia" w:eastAsia="方正仿宋_GBK"/>
          <w:bCs/>
          <w:color w:val="auto"/>
          <w:sz w:val="24"/>
        </w:rPr>
        <w:t>八</w:t>
      </w:r>
      <w:r>
        <w:rPr>
          <w:rFonts w:eastAsia="方正仿宋_GBK"/>
          <w:bCs/>
          <w:color w:val="auto"/>
          <w:sz w:val="24"/>
        </w:rPr>
        <w:t>）中小微企业声明函</w:t>
      </w:r>
      <w:r>
        <w:rPr>
          <w:rFonts w:hint="eastAsia" w:eastAsia="方正仿宋_GBK"/>
          <w:bCs/>
          <w:color w:val="auto"/>
          <w:sz w:val="24"/>
        </w:rPr>
        <w:t>（或监狱企业证明文件（若有）、残疾人福利性单位声明函（若有））</w:t>
      </w:r>
    </w:p>
    <w:p>
      <w:pPr>
        <w:snapToGrid w:val="0"/>
        <w:spacing w:line="400" w:lineRule="exact"/>
        <w:ind w:firstLine="482" w:firstLineChars="200"/>
        <w:rPr>
          <w:rFonts w:eastAsia="方正仿宋_GBK"/>
          <w:b/>
          <w:bCs/>
          <w:color w:val="auto"/>
          <w:sz w:val="24"/>
        </w:rPr>
      </w:pPr>
      <w:r>
        <w:rPr>
          <w:rFonts w:eastAsia="方正仿宋_GBK"/>
          <w:b/>
          <w:bCs/>
          <w:color w:val="auto"/>
          <w:sz w:val="24"/>
        </w:rPr>
        <w:t>二、技术、商务及经济文件</w:t>
      </w:r>
    </w:p>
    <w:p>
      <w:pPr>
        <w:snapToGrid w:val="0"/>
        <w:spacing w:line="400" w:lineRule="exact"/>
        <w:ind w:firstLine="480" w:firstLineChars="200"/>
        <w:rPr>
          <w:rFonts w:eastAsia="方正仿宋_GBK"/>
          <w:bCs/>
          <w:color w:val="auto"/>
          <w:sz w:val="24"/>
        </w:rPr>
      </w:pPr>
      <w:r>
        <w:rPr>
          <w:rFonts w:eastAsia="方正仿宋_GBK"/>
          <w:bCs/>
          <w:color w:val="auto"/>
          <w:sz w:val="24"/>
        </w:rPr>
        <w:t>（一）经济部分</w:t>
      </w:r>
    </w:p>
    <w:p>
      <w:pPr>
        <w:snapToGrid w:val="0"/>
        <w:spacing w:line="400" w:lineRule="exact"/>
        <w:ind w:firstLine="600" w:firstLineChars="250"/>
        <w:rPr>
          <w:rFonts w:ascii="方正仿宋_GBK" w:hAnsi="宋体" w:eastAsia="方正仿宋_GBK"/>
          <w:color w:val="auto"/>
          <w:sz w:val="24"/>
          <w:szCs w:val="24"/>
          <w:lang w:val="zh-CN"/>
        </w:rPr>
      </w:pPr>
      <w:r>
        <w:rPr>
          <w:rFonts w:hint="eastAsia" w:ascii="方正仿宋_GBK" w:hAnsi="宋体" w:eastAsia="方正仿宋_GBK"/>
          <w:color w:val="auto"/>
          <w:sz w:val="24"/>
          <w:szCs w:val="24"/>
          <w:lang w:val="zh-CN"/>
        </w:rPr>
        <w:t>竞争性磋商报价函</w:t>
      </w:r>
    </w:p>
    <w:p>
      <w:pPr>
        <w:snapToGrid w:val="0"/>
        <w:spacing w:line="400" w:lineRule="exact"/>
        <w:ind w:firstLine="600" w:firstLineChars="250"/>
        <w:rPr>
          <w:rFonts w:eastAsia="方正仿宋_GBK"/>
          <w:bCs/>
          <w:color w:val="auto"/>
          <w:sz w:val="24"/>
        </w:rPr>
      </w:pPr>
      <w:r>
        <w:rPr>
          <w:rFonts w:eastAsia="方正仿宋_GBK"/>
          <w:bCs/>
          <w:color w:val="auto"/>
          <w:sz w:val="24"/>
        </w:rPr>
        <w:t>（</w:t>
      </w:r>
      <w:r>
        <w:rPr>
          <w:rFonts w:eastAsia="方正仿宋_GBK"/>
          <w:bCs/>
          <w:color w:val="auto"/>
          <w:sz w:val="24"/>
          <w:szCs w:val="22"/>
        </w:rPr>
        <w:t>二</w:t>
      </w:r>
      <w:r>
        <w:rPr>
          <w:rFonts w:eastAsia="方正仿宋_GBK"/>
          <w:bCs/>
          <w:color w:val="auto"/>
          <w:sz w:val="24"/>
        </w:rPr>
        <w:t>）技术部分（包括但不限于以下内容）</w:t>
      </w:r>
    </w:p>
    <w:p>
      <w:pPr>
        <w:snapToGrid w:val="0"/>
        <w:spacing w:line="400" w:lineRule="exact"/>
        <w:ind w:firstLine="480" w:firstLineChars="200"/>
        <w:rPr>
          <w:rFonts w:eastAsia="方正仿宋_GBK"/>
          <w:bCs/>
          <w:color w:val="auto"/>
          <w:sz w:val="24"/>
        </w:rPr>
      </w:pPr>
      <w:r>
        <w:rPr>
          <w:rFonts w:eastAsia="方正仿宋_GBK"/>
          <w:bCs/>
          <w:color w:val="auto"/>
          <w:sz w:val="24"/>
        </w:rPr>
        <w:t>1、技术条款差异表</w:t>
      </w:r>
    </w:p>
    <w:p>
      <w:pPr>
        <w:snapToGrid w:val="0"/>
        <w:spacing w:line="400" w:lineRule="exact"/>
        <w:ind w:firstLine="480" w:firstLineChars="200"/>
        <w:rPr>
          <w:rFonts w:eastAsia="方正仿宋_GBK"/>
          <w:bCs/>
          <w:color w:val="auto"/>
          <w:sz w:val="24"/>
        </w:rPr>
      </w:pPr>
      <w:r>
        <w:rPr>
          <w:rFonts w:eastAsia="方正仿宋_GBK"/>
          <w:bCs/>
          <w:color w:val="auto"/>
          <w:sz w:val="24"/>
        </w:rPr>
        <w:t>2、</w:t>
      </w:r>
      <w:r>
        <w:rPr>
          <w:rFonts w:hint="eastAsia" w:eastAsia="方正仿宋_GBK"/>
          <w:bCs/>
          <w:color w:val="auto"/>
          <w:sz w:val="24"/>
        </w:rPr>
        <w:t>现场踏勘</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3、服务方案</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4、质量保障措施</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5、进度计划</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6、安全保障措施</w:t>
      </w:r>
    </w:p>
    <w:p>
      <w:pPr>
        <w:snapToGrid w:val="0"/>
        <w:spacing w:line="400" w:lineRule="exact"/>
        <w:ind w:firstLine="480" w:firstLineChars="200"/>
        <w:rPr>
          <w:rFonts w:eastAsia="方正仿宋_GBK"/>
          <w:bCs/>
          <w:color w:val="auto"/>
          <w:sz w:val="24"/>
        </w:rPr>
      </w:pPr>
      <w:r>
        <w:rPr>
          <w:rFonts w:eastAsia="方正仿宋_GBK"/>
          <w:bCs/>
          <w:color w:val="auto"/>
          <w:sz w:val="24"/>
        </w:rPr>
        <w:t>（三）商务部分（包括但不限于以下内容）</w:t>
      </w:r>
    </w:p>
    <w:p>
      <w:pPr>
        <w:snapToGrid w:val="0"/>
        <w:spacing w:line="400" w:lineRule="exact"/>
        <w:ind w:firstLine="480" w:firstLineChars="200"/>
        <w:rPr>
          <w:rFonts w:eastAsia="方正仿宋_GBK"/>
          <w:bCs/>
          <w:color w:val="auto"/>
          <w:sz w:val="24"/>
        </w:rPr>
      </w:pPr>
      <w:r>
        <w:rPr>
          <w:rFonts w:eastAsia="方正仿宋_GBK"/>
          <w:bCs/>
          <w:color w:val="auto"/>
          <w:sz w:val="24"/>
        </w:rPr>
        <w:t>1、响应函（格式）</w:t>
      </w:r>
    </w:p>
    <w:p>
      <w:pPr>
        <w:snapToGrid w:val="0"/>
        <w:spacing w:line="400" w:lineRule="exact"/>
        <w:ind w:firstLine="480" w:firstLineChars="200"/>
        <w:rPr>
          <w:rFonts w:eastAsia="方正仿宋_GBK"/>
          <w:bCs/>
          <w:color w:val="auto"/>
          <w:sz w:val="24"/>
        </w:rPr>
      </w:pPr>
      <w:r>
        <w:rPr>
          <w:rFonts w:eastAsia="方正仿宋_GBK"/>
          <w:bCs/>
          <w:color w:val="auto"/>
          <w:sz w:val="24"/>
        </w:rPr>
        <w:t>2、响应人基本情况介绍</w:t>
      </w:r>
    </w:p>
    <w:p>
      <w:pPr>
        <w:snapToGrid w:val="0"/>
        <w:spacing w:line="400" w:lineRule="exact"/>
        <w:ind w:firstLine="480" w:firstLineChars="200"/>
        <w:rPr>
          <w:rFonts w:eastAsia="方正仿宋_GBK"/>
          <w:bCs/>
          <w:color w:val="auto"/>
          <w:sz w:val="24"/>
        </w:rPr>
      </w:pPr>
      <w:r>
        <w:rPr>
          <w:rFonts w:eastAsia="方正仿宋_GBK"/>
          <w:bCs/>
          <w:color w:val="auto"/>
          <w:sz w:val="24"/>
        </w:rPr>
        <w:t>3、</w:t>
      </w:r>
      <w:r>
        <w:rPr>
          <w:rFonts w:eastAsia="方正仿宋_GBK"/>
          <w:bCs/>
          <w:color w:val="auto"/>
          <w:sz w:val="24"/>
          <w:szCs w:val="22"/>
        </w:rPr>
        <w:t>商务响应偏离表</w:t>
      </w:r>
    </w:p>
    <w:p>
      <w:pPr>
        <w:snapToGrid w:val="0"/>
        <w:spacing w:line="400" w:lineRule="exact"/>
        <w:ind w:firstLine="480" w:firstLineChars="200"/>
        <w:rPr>
          <w:rFonts w:eastAsia="方正仿宋_GBK"/>
          <w:bCs/>
          <w:color w:val="auto"/>
          <w:sz w:val="24"/>
        </w:rPr>
      </w:pPr>
      <w:r>
        <w:rPr>
          <w:rFonts w:eastAsia="方正仿宋_GBK"/>
          <w:bCs/>
          <w:color w:val="auto"/>
          <w:sz w:val="24"/>
        </w:rPr>
        <w:t>4、工期</w:t>
      </w:r>
    </w:p>
    <w:p>
      <w:pPr>
        <w:snapToGrid w:val="0"/>
        <w:spacing w:line="400" w:lineRule="exact"/>
        <w:ind w:firstLine="480" w:firstLineChars="200"/>
        <w:rPr>
          <w:rFonts w:eastAsia="方正仿宋_GBK"/>
          <w:bCs/>
          <w:color w:val="auto"/>
          <w:sz w:val="24"/>
        </w:rPr>
      </w:pPr>
      <w:r>
        <w:rPr>
          <w:rFonts w:eastAsia="方正仿宋_GBK"/>
          <w:bCs/>
          <w:color w:val="auto"/>
          <w:sz w:val="24"/>
        </w:rPr>
        <w:t>5、付款方式</w:t>
      </w:r>
    </w:p>
    <w:p>
      <w:pPr>
        <w:snapToGrid w:val="0"/>
        <w:spacing w:line="400" w:lineRule="exact"/>
        <w:ind w:firstLine="480" w:firstLineChars="200"/>
        <w:rPr>
          <w:rFonts w:eastAsia="方正仿宋_GBK"/>
          <w:bCs/>
          <w:color w:val="auto"/>
          <w:sz w:val="24"/>
        </w:rPr>
      </w:pPr>
      <w:r>
        <w:rPr>
          <w:rFonts w:eastAsia="方正仿宋_GBK"/>
          <w:bCs/>
          <w:color w:val="auto"/>
          <w:sz w:val="24"/>
        </w:rPr>
        <w:t>6、报价要求</w:t>
      </w:r>
    </w:p>
    <w:p>
      <w:pPr>
        <w:snapToGrid w:val="0"/>
        <w:spacing w:line="400" w:lineRule="exact"/>
        <w:ind w:firstLine="480" w:firstLineChars="200"/>
        <w:rPr>
          <w:rFonts w:eastAsia="方正仿宋_GBK"/>
          <w:bCs/>
          <w:color w:val="auto"/>
          <w:sz w:val="24"/>
        </w:rPr>
      </w:pPr>
      <w:r>
        <w:rPr>
          <w:rFonts w:eastAsia="方正仿宋_GBK"/>
          <w:bCs/>
          <w:color w:val="auto"/>
          <w:sz w:val="24"/>
        </w:rPr>
        <w:t>7、</w:t>
      </w:r>
      <w:r>
        <w:rPr>
          <w:rFonts w:hint="eastAsia" w:ascii="方正仿宋_GBK" w:hAnsi="宋体" w:eastAsia="方正仿宋_GBK" w:cs="宋体"/>
          <w:color w:val="auto"/>
          <w:kern w:val="0"/>
          <w:sz w:val="21"/>
          <w:szCs w:val="21"/>
        </w:rPr>
        <w:t>综合实力及技术能力</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8、人员配置</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9、信用等级</w:t>
      </w:r>
    </w:p>
    <w:p>
      <w:pPr>
        <w:pStyle w:val="2"/>
        <w:rPr>
          <w:color w:val="auto"/>
        </w:rPr>
      </w:pPr>
      <w:r>
        <w:rPr>
          <w:rFonts w:hint="eastAsia" w:eastAsia="方正仿宋_GBK"/>
          <w:bCs/>
          <w:color w:val="auto"/>
          <w:sz w:val="24"/>
        </w:rPr>
        <w:t xml:space="preserve">   10、企业案例</w:t>
      </w:r>
    </w:p>
    <w:p>
      <w:pPr>
        <w:snapToGrid w:val="0"/>
        <w:spacing w:line="400" w:lineRule="exact"/>
        <w:ind w:firstLine="480" w:firstLineChars="200"/>
        <w:rPr>
          <w:rFonts w:eastAsia="方正仿宋_GBK"/>
          <w:bCs/>
          <w:color w:val="auto"/>
          <w:sz w:val="24"/>
        </w:rPr>
      </w:pPr>
      <w:r>
        <w:rPr>
          <w:rFonts w:eastAsia="方正仿宋_GBK"/>
          <w:bCs/>
          <w:color w:val="auto"/>
          <w:sz w:val="24"/>
        </w:rPr>
        <w:t>（四）其他（包括但不限于以下内容）</w:t>
      </w:r>
    </w:p>
    <w:p>
      <w:pPr>
        <w:snapToGrid w:val="0"/>
        <w:spacing w:line="400" w:lineRule="exact"/>
        <w:ind w:firstLine="480" w:firstLineChars="200"/>
        <w:rPr>
          <w:rFonts w:eastAsia="方正仿宋_GBK"/>
          <w:bCs/>
          <w:color w:val="auto"/>
          <w:sz w:val="24"/>
        </w:rPr>
      </w:pPr>
      <w:r>
        <w:rPr>
          <w:rFonts w:eastAsia="方正仿宋_GBK"/>
          <w:bCs/>
          <w:color w:val="auto"/>
          <w:sz w:val="24"/>
        </w:rPr>
        <w:t>其他与项目有关的资料（自附）</w:t>
      </w:r>
    </w:p>
    <w:p>
      <w:pPr>
        <w:snapToGrid w:val="0"/>
        <w:spacing w:line="400" w:lineRule="exact"/>
        <w:ind w:firstLine="480" w:firstLineChars="200"/>
        <w:rPr>
          <w:rFonts w:eastAsia="方正仿宋_GBK"/>
          <w:bCs/>
          <w:color w:val="auto"/>
          <w:sz w:val="24"/>
        </w:rPr>
      </w:pPr>
    </w:p>
    <w:p>
      <w:pPr>
        <w:topLinePunct/>
        <w:autoSpaceDN w:val="0"/>
        <w:adjustRightInd w:val="0"/>
        <w:snapToGrid w:val="0"/>
        <w:spacing w:line="400" w:lineRule="exact"/>
        <w:ind w:firstLine="562" w:firstLineChars="200"/>
        <w:rPr>
          <w:rFonts w:eastAsia="方正仿宋_GBK"/>
          <w:b/>
          <w:color w:val="auto"/>
          <w:sz w:val="24"/>
          <w:szCs w:val="28"/>
        </w:rPr>
      </w:pPr>
      <w:r>
        <w:rPr>
          <w:rFonts w:eastAsia="方正仿宋_GBK"/>
          <w:b/>
          <w:color w:val="auto"/>
          <w:szCs w:val="28"/>
        </w:rPr>
        <w:br w:type="page"/>
      </w:r>
      <w:bookmarkStart w:id="16" w:name="_Toc285722716"/>
      <w:bookmarkStart w:id="17" w:name="_Toc340223170"/>
      <w:bookmarkStart w:id="18" w:name="_Toc277084874"/>
      <w:bookmarkStart w:id="19" w:name="_Toc316375214"/>
      <w:bookmarkStart w:id="20" w:name="_Toc315942083"/>
      <w:bookmarkStart w:id="21" w:name="_Toc297020926"/>
      <w:bookmarkStart w:id="22" w:name="_Toc315941084"/>
      <w:r>
        <w:rPr>
          <w:rFonts w:eastAsia="方正仿宋_GBK"/>
          <w:b/>
          <w:color w:val="auto"/>
          <w:sz w:val="24"/>
          <w:szCs w:val="28"/>
        </w:rPr>
        <w:t>一、资格文件</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（一）营业执照副本复印件</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（二）税务登记证副本复印件</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（三）组织机构代码证复印件</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（已办理五证合一的响应人可以五证合一后的营业执照副本复印件代替以上三项）</w:t>
      </w: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br w:type="page"/>
      </w:r>
      <w:r>
        <w:rPr>
          <w:rFonts w:eastAsia="方正仿宋_GBK"/>
          <w:color w:val="auto"/>
          <w:sz w:val="24"/>
          <w:szCs w:val="24"/>
        </w:rPr>
        <w:t>（四）法定代表人身份证明书（格式）</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采购项目名称：</w:t>
      </w:r>
      <w:r>
        <w:rPr>
          <w:rFonts w:eastAsia="方正仿宋_GBK"/>
          <w:color w:val="auto"/>
          <w:sz w:val="24"/>
          <w:u w:val="single"/>
        </w:rPr>
        <w:t xml:space="preserve">                                                </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致：</w:t>
      </w:r>
      <w:r>
        <w:rPr>
          <w:rFonts w:eastAsia="方正仿宋_GBK"/>
          <w:color w:val="auto"/>
          <w:sz w:val="24"/>
          <w:u w:val="single"/>
        </w:rPr>
        <w:t xml:space="preserve">                     </w:t>
      </w:r>
      <w:r>
        <w:rPr>
          <w:rFonts w:eastAsia="方正仿宋_GBK"/>
          <w:color w:val="auto"/>
          <w:sz w:val="24"/>
        </w:rPr>
        <w:t>（</w:t>
      </w:r>
      <w:r>
        <w:rPr>
          <w:rFonts w:hint="eastAsia" w:eastAsia="方正仿宋_GBK"/>
          <w:color w:val="auto"/>
          <w:sz w:val="24"/>
        </w:rPr>
        <w:t>采购人</w:t>
      </w:r>
      <w:r>
        <w:rPr>
          <w:rFonts w:eastAsia="方正仿宋_GBK"/>
          <w:color w:val="auto"/>
          <w:sz w:val="24"/>
        </w:rPr>
        <w:t>名称）：</w:t>
      </w: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u w:val="single"/>
        </w:rPr>
        <w:t xml:space="preserve">        </w:t>
      </w:r>
      <w:r>
        <w:rPr>
          <w:rFonts w:eastAsia="方正仿宋_GBK"/>
          <w:color w:val="auto"/>
          <w:sz w:val="24"/>
        </w:rPr>
        <w:t>（法定代表人姓名）在</w:t>
      </w:r>
      <w:r>
        <w:rPr>
          <w:rFonts w:eastAsia="方正仿宋_GBK"/>
          <w:color w:val="auto"/>
          <w:sz w:val="24"/>
          <w:u w:val="single"/>
        </w:rPr>
        <w:t xml:space="preserve">                       </w:t>
      </w:r>
      <w:r>
        <w:rPr>
          <w:rFonts w:eastAsia="方正仿宋_GBK"/>
          <w:color w:val="auto"/>
          <w:sz w:val="24"/>
        </w:rPr>
        <w:t>（响应人名称）任</w:t>
      </w:r>
      <w:r>
        <w:rPr>
          <w:rFonts w:eastAsia="方正仿宋_GBK"/>
          <w:color w:val="auto"/>
          <w:sz w:val="24"/>
          <w:u w:val="single"/>
        </w:rPr>
        <w:t xml:space="preserve">    </w:t>
      </w:r>
      <w:r>
        <w:rPr>
          <w:rFonts w:eastAsia="方正仿宋_GBK"/>
          <w:color w:val="auto"/>
          <w:sz w:val="24"/>
        </w:rPr>
        <w:t>（职务名称）职务，是（响应人名称）</w:t>
      </w:r>
      <w:r>
        <w:rPr>
          <w:rFonts w:eastAsia="方正仿宋_GBK"/>
          <w:color w:val="auto"/>
          <w:sz w:val="24"/>
          <w:u w:val="single"/>
        </w:rPr>
        <w:t xml:space="preserve">              </w:t>
      </w:r>
      <w:r>
        <w:rPr>
          <w:rFonts w:eastAsia="方正仿宋_GBK"/>
          <w:color w:val="auto"/>
          <w:sz w:val="24"/>
        </w:rPr>
        <w:t>的法定代表人。</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特此证明。</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 xml:space="preserve">                                             （响应人公章）</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 xml:space="preserve">                                             年   月   日</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（附：法定代表人身份证复印件）</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rPr>
        <w:br w:type="page"/>
      </w:r>
      <w:r>
        <w:rPr>
          <w:rFonts w:eastAsia="方正仿宋_GBK"/>
          <w:color w:val="auto"/>
          <w:sz w:val="24"/>
          <w:szCs w:val="24"/>
        </w:rPr>
        <w:t>（五）法定代表人授权委托书（格式）</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采购项目名称：</w:t>
      </w:r>
      <w:r>
        <w:rPr>
          <w:rFonts w:eastAsia="方正仿宋_GBK"/>
          <w:color w:val="auto"/>
          <w:sz w:val="24"/>
          <w:u w:val="single"/>
        </w:rPr>
        <w:t xml:space="preserve">                                                </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致：</w:t>
      </w:r>
      <w:r>
        <w:rPr>
          <w:rFonts w:eastAsia="方正仿宋_GBK"/>
          <w:color w:val="auto"/>
          <w:sz w:val="24"/>
          <w:u w:val="single"/>
        </w:rPr>
        <w:t xml:space="preserve">                     </w:t>
      </w:r>
      <w:r>
        <w:rPr>
          <w:rFonts w:eastAsia="方正仿宋_GBK"/>
          <w:color w:val="auto"/>
          <w:sz w:val="24"/>
        </w:rPr>
        <w:t>（</w:t>
      </w:r>
      <w:r>
        <w:rPr>
          <w:rFonts w:hint="eastAsia" w:eastAsia="方正仿宋_GBK"/>
          <w:color w:val="auto"/>
          <w:sz w:val="24"/>
        </w:rPr>
        <w:t>采购人</w:t>
      </w:r>
      <w:r>
        <w:rPr>
          <w:rFonts w:eastAsia="方正仿宋_GBK"/>
          <w:color w:val="auto"/>
          <w:sz w:val="24"/>
        </w:rPr>
        <w:t>名称）：</w:t>
      </w: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u w:val="single"/>
        </w:rPr>
        <w:t xml:space="preserve">            </w:t>
      </w:r>
      <w:r>
        <w:rPr>
          <w:rFonts w:eastAsia="方正仿宋_GBK"/>
          <w:color w:val="auto"/>
          <w:sz w:val="24"/>
        </w:rPr>
        <w:t>（响应人法定代表人名称）是</w:t>
      </w:r>
      <w:r>
        <w:rPr>
          <w:rFonts w:eastAsia="方正仿宋_GBK"/>
          <w:color w:val="auto"/>
          <w:sz w:val="24"/>
          <w:u w:val="single"/>
        </w:rPr>
        <w:t xml:space="preserve">                    </w:t>
      </w:r>
      <w:r>
        <w:rPr>
          <w:rFonts w:eastAsia="方正仿宋_GBK"/>
          <w:color w:val="auto"/>
          <w:sz w:val="24"/>
        </w:rPr>
        <w:t>（响应人名称）的法定代表人，特授权</w:t>
      </w:r>
      <w:r>
        <w:rPr>
          <w:rFonts w:eastAsia="方正仿宋_GBK"/>
          <w:color w:val="auto"/>
          <w:sz w:val="24"/>
          <w:u w:val="single"/>
        </w:rPr>
        <w:t xml:space="preserve">          </w:t>
      </w:r>
      <w:r>
        <w:rPr>
          <w:rFonts w:eastAsia="方正仿宋_GBK"/>
          <w:color w:val="auto"/>
          <w:sz w:val="24"/>
        </w:rPr>
        <w:t>（被授权人姓名及身份证代码）代表我单位全权办理上述项目的响应、磋商、签约等具体工作，并签署全部有关文件、协议及合同。</w:t>
      </w: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我单位对被授权人的签名负全部责任。</w:t>
      </w: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在撤消授权的书面通知以前，本授权书一直有效。被授权人在授权书有效期内签署的所有文件不因授权的撤消而失效。</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被授权人签名：               响应人法定代表人签名：</w:t>
      </w: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 xml:space="preserve">          </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（附：被授权人身份证复印件）</w:t>
      </w:r>
    </w:p>
    <w:p>
      <w:pPr>
        <w:tabs>
          <w:tab w:val="left" w:pos="6300"/>
        </w:tabs>
        <w:topLinePunct/>
        <w:autoSpaceDN w:val="0"/>
        <w:adjustRightInd w:val="0"/>
        <w:snapToGrid w:val="0"/>
        <w:spacing w:line="500" w:lineRule="exact"/>
        <w:ind w:firstLine="480" w:firstLineChars="200"/>
        <w:rPr>
          <w:rFonts w:eastAsia="方正仿宋_GBK"/>
          <w:color w:val="auto"/>
          <w:sz w:val="24"/>
        </w:rPr>
      </w:pPr>
      <w:r>
        <w:rPr>
          <w:rFonts w:eastAsia="方正仿宋_GBK"/>
          <w:color w:val="auto"/>
          <w:sz w:val="24"/>
        </w:rPr>
        <w:t xml:space="preserve">                                          </w:t>
      </w: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firstLine="480" w:firstLineChars="200"/>
        <w:rPr>
          <w:rFonts w:eastAsia="方正仿宋_GBK"/>
          <w:color w:val="auto"/>
          <w:sz w:val="24"/>
        </w:rPr>
      </w:pPr>
    </w:p>
    <w:p>
      <w:pPr>
        <w:tabs>
          <w:tab w:val="left" w:pos="6300"/>
        </w:tabs>
        <w:topLinePunct/>
        <w:autoSpaceDN w:val="0"/>
        <w:adjustRightInd w:val="0"/>
        <w:snapToGrid w:val="0"/>
        <w:spacing w:line="500" w:lineRule="exact"/>
        <w:ind w:right="480" w:firstLine="480" w:firstLineChars="200"/>
        <w:jc w:val="right"/>
        <w:rPr>
          <w:rFonts w:eastAsia="方正仿宋_GBK"/>
          <w:color w:val="auto"/>
          <w:sz w:val="24"/>
        </w:rPr>
      </w:pPr>
      <w:r>
        <w:rPr>
          <w:rFonts w:eastAsia="方正仿宋_GBK"/>
          <w:color w:val="auto"/>
          <w:sz w:val="24"/>
        </w:rPr>
        <w:t>（响应人公章）</w:t>
      </w:r>
    </w:p>
    <w:p>
      <w:pPr>
        <w:tabs>
          <w:tab w:val="left" w:pos="6300"/>
        </w:tabs>
        <w:topLinePunct/>
        <w:autoSpaceDN w:val="0"/>
        <w:adjustRightInd w:val="0"/>
        <w:snapToGrid w:val="0"/>
        <w:spacing w:line="500" w:lineRule="exact"/>
        <w:ind w:right="480" w:firstLine="480" w:firstLineChars="200"/>
        <w:jc w:val="right"/>
        <w:rPr>
          <w:rFonts w:eastAsia="方正仿宋_GBK"/>
          <w:color w:val="auto"/>
          <w:sz w:val="24"/>
        </w:rPr>
      </w:pPr>
      <w:r>
        <w:rPr>
          <w:rFonts w:eastAsia="方正仿宋_GBK"/>
          <w:color w:val="auto"/>
          <w:sz w:val="24"/>
        </w:rPr>
        <w:t>年   月   日</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br w:type="page"/>
      </w:r>
      <w:r>
        <w:rPr>
          <w:rFonts w:eastAsia="方正仿宋_GBK"/>
          <w:color w:val="auto"/>
          <w:sz w:val="24"/>
          <w:szCs w:val="24"/>
        </w:rPr>
        <w:t>（六）有依法缴纳税收和社会保障资金的良好记录</w:t>
      </w:r>
    </w:p>
    <w:p>
      <w:pPr>
        <w:spacing w:line="0" w:lineRule="atLeast"/>
        <w:ind w:firstLine="480" w:firstLineChars="200"/>
        <w:rPr>
          <w:rFonts w:eastAsia="方正仿宋_GBK"/>
          <w:color w:val="auto"/>
          <w:sz w:val="24"/>
        </w:rPr>
      </w:pPr>
      <w:r>
        <w:rPr>
          <w:rFonts w:eastAsia="方正仿宋_GBK"/>
          <w:color w:val="auto"/>
          <w:sz w:val="24"/>
        </w:rPr>
        <w:t>1.响应供应商提供第七篇所列“诚信声明”。</w:t>
      </w:r>
    </w:p>
    <w:p>
      <w:pPr>
        <w:spacing w:line="0" w:lineRule="atLeast"/>
        <w:ind w:firstLine="480" w:firstLineChars="200"/>
        <w:rPr>
          <w:rFonts w:eastAsia="方正仿宋_GBK"/>
          <w:color w:val="auto"/>
          <w:sz w:val="24"/>
        </w:rPr>
      </w:pPr>
      <w:r>
        <w:rPr>
          <w:rFonts w:eastAsia="方正仿宋_GBK"/>
          <w:color w:val="auto"/>
          <w:sz w:val="24"/>
        </w:rPr>
        <w:t>2.响应供应商提供缴纳社会保障金的证明材料复印件。</w:t>
      </w:r>
    </w:p>
    <w:p>
      <w:pPr>
        <w:spacing w:line="0" w:lineRule="atLeast"/>
        <w:ind w:firstLine="480" w:firstLineChars="200"/>
        <w:rPr>
          <w:rFonts w:eastAsia="方正仿宋_GBK"/>
          <w:color w:val="auto"/>
          <w:sz w:val="24"/>
        </w:rPr>
      </w:pPr>
      <w:r>
        <w:rPr>
          <w:rFonts w:eastAsia="方正仿宋_GBK"/>
          <w:color w:val="auto"/>
          <w:sz w:val="24"/>
        </w:rPr>
        <w:t>注：</w:t>
      </w:r>
    </w:p>
    <w:p>
      <w:pPr>
        <w:spacing w:line="0" w:lineRule="atLeast"/>
        <w:ind w:firstLine="480" w:firstLineChars="200"/>
        <w:rPr>
          <w:rFonts w:eastAsia="方正仿宋_GBK"/>
          <w:color w:val="auto"/>
          <w:sz w:val="24"/>
        </w:rPr>
      </w:pPr>
      <w:r>
        <w:rPr>
          <w:rFonts w:eastAsia="方正仿宋_GBK"/>
          <w:color w:val="auto"/>
          <w:sz w:val="24"/>
        </w:rPr>
        <w:t>1.缴纳社会保障金的证明材料指：社会保险登记证或缴纳社会保险的凭据（专用收据或社会保险缴纳清单）。依法免税或不需要缴纳社会保障资金的响应供应商，应提供相应文件证明其依法免税或不需要缴纳社会保障资金。</w:t>
      </w:r>
    </w:p>
    <w:p>
      <w:pPr>
        <w:spacing w:line="0" w:lineRule="atLeast"/>
        <w:ind w:firstLine="480" w:firstLineChars="200"/>
        <w:rPr>
          <w:rFonts w:eastAsia="方正仿宋_GBK"/>
          <w:color w:val="auto"/>
          <w:sz w:val="24"/>
          <w:szCs w:val="24"/>
        </w:rPr>
      </w:pPr>
      <w:r>
        <w:rPr>
          <w:rFonts w:eastAsia="方正仿宋_GBK"/>
          <w:color w:val="auto"/>
          <w:sz w:val="24"/>
        </w:rPr>
        <w:t>2.截止本项目开标时间为止，成立时间不足一年的还需同时提供基本账户开户银行出具的资信证明复印件。</w:t>
      </w: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br w:type="page"/>
      </w:r>
      <w:r>
        <w:rPr>
          <w:rFonts w:eastAsia="方正仿宋_GBK"/>
          <w:color w:val="auto"/>
          <w:sz w:val="24"/>
          <w:szCs w:val="24"/>
        </w:rPr>
        <w:t>（七）诚信声明</w:t>
      </w: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采购项目名称：</w:t>
      </w: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致：（</w:t>
      </w:r>
      <w:r>
        <w:rPr>
          <w:rFonts w:hint="eastAsia" w:eastAsia="方正仿宋_GBK"/>
          <w:color w:val="auto"/>
          <w:sz w:val="24"/>
          <w:szCs w:val="24"/>
        </w:rPr>
        <w:t>采购人</w:t>
      </w:r>
      <w:r>
        <w:rPr>
          <w:rFonts w:eastAsia="方正仿宋_GBK"/>
          <w:color w:val="auto"/>
          <w:sz w:val="24"/>
          <w:szCs w:val="24"/>
        </w:rPr>
        <w:t>名称）：</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响应供应商名称）郑重声明，我公司具有良好的商业信誉和健全的财务会计制度，具有履行合同所必需的设备和专业技术能力，有依法缴纳税收的良好记录，我公司还同时声明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响应供应商资格条件。我方对以上声明负全部法律责任。</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特此声明。</w:t>
      </w: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jc w:val="right"/>
        <w:rPr>
          <w:rFonts w:eastAsia="方正仿宋_GBK"/>
          <w:color w:val="auto"/>
          <w:sz w:val="24"/>
          <w:szCs w:val="24"/>
        </w:rPr>
      </w:pPr>
      <w:r>
        <w:rPr>
          <w:rFonts w:eastAsia="方正仿宋_GBK"/>
          <w:color w:val="auto"/>
          <w:sz w:val="24"/>
          <w:szCs w:val="24"/>
        </w:rPr>
        <w:t>（响应供应商公章）</w:t>
      </w:r>
    </w:p>
    <w:p>
      <w:pPr>
        <w:topLinePunct/>
        <w:autoSpaceDN w:val="0"/>
        <w:adjustRightInd w:val="0"/>
        <w:snapToGrid w:val="0"/>
        <w:spacing w:line="400" w:lineRule="exact"/>
        <w:ind w:firstLine="480" w:firstLineChars="200"/>
        <w:jc w:val="center"/>
        <w:rPr>
          <w:rFonts w:eastAsia="方正仿宋_GBK"/>
          <w:color w:val="auto"/>
          <w:sz w:val="24"/>
          <w:szCs w:val="24"/>
        </w:rPr>
      </w:pPr>
      <w:r>
        <w:rPr>
          <w:rFonts w:eastAsia="方正仿宋_GBK"/>
          <w:color w:val="auto"/>
          <w:sz w:val="24"/>
          <w:szCs w:val="24"/>
        </w:rPr>
        <w:t xml:space="preserve">                                             年   月   日</w:t>
      </w:r>
    </w:p>
    <w:p>
      <w:pPr>
        <w:numPr>
          <w:ilvl w:val="0"/>
          <w:numId w:val="3"/>
        </w:num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br w:type="page"/>
      </w:r>
      <w:r>
        <w:rPr>
          <w:rFonts w:eastAsia="方正仿宋_GBK"/>
          <w:color w:val="auto"/>
          <w:sz w:val="24"/>
          <w:szCs w:val="24"/>
        </w:rPr>
        <w:t>中小微企业证明材料</w:t>
      </w:r>
    </w:p>
    <w:p>
      <w:pPr>
        <w:topLinePunct/>
        <w:autoSpaceDN w:val="0"/>
        <w:adjustRightInd w:val="0"/>
        <w:snapToGrid w:val="0"/>
        <w:spacing w:line="400" w:lineRule="exact"/>
        <w:rPr>
          <w:rFonts w:eastAsia="方正仿宋_GBK"/>
          <w:color w:val="auto"/>
          <w:sz w:val="24"/>
          <w:szCs w:val="24"/>
        </w:rPr>
      </w:pPr>
      <w:r>
        <w:rPr>
          <w:rFonts w:eastAsia="方正仿宋_GBK"/>
          <w:color w:val="auto"/>
          <w:sz w:val="24"/>
          <w:szCs w:val="24"/>
        </w:rPr>
        <w:t>中小企业声明函</w:t>
      </w:r>
    </w:p>
    <w:p>
      <w:pPr>
        <w:topLinePunct/>
        <w:autoSpaceDN w:val="0"/>
        <w:adjustRightInd w:val="0"/>
        <w:snapToGrid w:val="0"/>
        <w:spacing w:line="400" w:lineRule="exact"/>
        <w:ind w:firstLine="480" w:firstLineChars="200"/>
        <w:jc w:val="center"/>
        <w:rPr>
          <w:rFonts w:eastAsia="方正仿宋_GBK"/>
          <w:color w:val="auto"/>
          <w:sz w:val="24"/>
          <w:szCs w:val="24"/>
        </w:rPr>
      </w:pPr>
      <w:r>
        <w:rPr>
          <w:rFonts w:eastAsia="方正仿宋_GBK"/>
          <w:color w:val="auto"/>
          <w:sz w:val="24"/>
          <w:szCs w:val="24"/>
        </w:rPr>
        <w:t>中小企业声明函</w:t>
      </w: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本公司郑重声明，根据《政府采购促进中小企业发展管理办法》（财库〔2020〕46号）的规定，本公司参加（单位名称）的（项目名称）采购活动，工程的施工单位全部为符合政策要求的中小企业（或者：服务全部由符合政策要求的中小企业承接）具体情况如下：</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1.（标的名称），属于（采购文件中明确的所属行业）；承建（承接）企业为（企业名称），从业人员</w:t>
      </w:r>
      <w:r>
        <w:rPr>
          <w:rFonts w:eastAsia="方正仿宋_GBK"/>
          <w:color w:val="auto"/>
          <w:sz w:val="24"/>
          <w:szCs w:val="24"/>
          <w:u w:val="single"/>
        </w:rPr>
        <w:t xml:space="preserve">      </w:t>
      </w:r>
      <w:r>
        <w:rPr>
          <w:rFonts w:eastAsia="方正仿宋_GBK"/>
          <w:color w:val="auto"/>
          <w:sz w:val="24"/>
          <w:szCs w:val="24"/>
        </w:rPr>
        <w:t>人，营业收入为</w:t>
      </w:r>
      <w:r>
        <w:rPr>
          <w:rFonts w:eastAsia="方正仿宋_GBK"/>
          <w:color w:val="auto"/>
          <w:sz w:val="24"/>
          <w:szCs w:val="24"/>
          <w:u w:val="single"/>
        </w:rPr>
        <w:t xml:space="preserve">    </w:t>
      </w:r>
      <w:r>
        <w:rPr>
          <w:rFonts w:eastAsia="方正仿宋_GBK"/>
          <w:color w:val="auto"/>
          <w:sz w:val="24"/>
          <w:szCs w:val="24"/>
        </w:rPr>
        <w:t>万元，资产总额为</w:t>
      </w:r>
      <w:r>
        <w:rPr>
          <w:rFonts w:eastAsia="方正仿宋_GBK"/>
          <w:color w:val="auto"/>
          <w:sz w:val="24"/>
          <w:szCs w:val="24"/>
          <w:u w:val="single"/>
        </w:rPr>
        <w:t xml:space="preserve">    </w:t>
      </w:r>
      <w:r>
        <w:rPr>
          <w:rFonts w:eastAsia="方正仿宋_GBK"/>
          <w:color w:val="auto"/>
          <w:sz w:val="24"/>
          <w:szCs w:val="24"/>
        </w:rPr>
        <w:t>万元，属于（中型企业、小型企业、微型企业）；</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2.（标的名称），属于（采购文件中明确的所属行业）；承建（承接）企业为（企业名称），从业人员</w:t>
      </w:r>
      <w:r>
        <w:rPr>
          <w:rFonts w:eastAsia="方正仿宋_GBK"/>
          <w:color w:val="auto"/>
          <w:sz w:val="24"/>
          <w:szCs w:val="24"/>
          <w:u w:val="single"/>
        </w:rPr>
        <w:t xml:space="preserve">      </w:t>
      </w:r>
      <w:r>
        <w:rPr>
          <w:rFonts w:eastAsia="方正仿宋_GBK"/>
          <w:color w:val="auto"/>
          <w:sz w:val="24"/>
          <w:szCs w:val="24"/>
        </w:rPr>
        <w:t>人，营业收入为</w:t>
      </w:r>
      <w:r>
        <w:rPr>
          <w:rFonts w:eastAsia="方正仿宋_GBK"/>
          <w:color w:val="auto"/>
          <w:sz w:val="24"/>
          <w:szCs w:val="24"/>
          <w:u w:val="single"/>
        </w:rPr>
        <w:t xml:space="preserve">    </w:t>
      </w:r>
      <w:r>
        <w:rPr>
          <w:rFonts w:eastAsia="方正仿宋_GBK"/>
          <w:color w:val="auto"/>
          <w:sz w:val="24"/>
          <w:szCs w:val="24"/>
        </w:rPr>
        <w:t>万元，资产总额为</w:t>
      </w:r>
      <w:r>
        <w:rPr>
          <w:rFonts w:eastAsia="方正仿宋_GBK"/>
          <w:color w:val="auto"/>
          <w:sz w:val="24"/>
          <w:szCs w:val="24"/>
          <w:u w:val="single"/>
        </w:rPr>
        <w:t xml:space="preserve">    </w:t>
      </w:r>
      <w:r>
        <w:rPr>
          <w:rFonts w:eastAsia="方正仿宋_GBK"/>
          <w:color w:val="auto"/>
          <w:sz w:val="24"/>
          <w:szCs w:val="24"/>
        </w:rPr>
        <w:t>万元，属于（中型企业、小型企业、微型企业）；</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以上企业，不属于大企业的分支机构，不存在控股股东为大企业的情形，也不存在与大企业的负责人为同一人的情形。</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本企业对上述声明内容的真实性负责。如有虚假，将依法承担相应责任。</w:t>
      </w:r>
    </w:p>
    <w:p>
      <w:pPr>
        <w:topLinePunct/>
        <w:autoSpaceDN w:val="0"/>
        <w:adjustRightInd w:val="0"/>
        <w:snapToGrid w:val="0"/>
        <w:spacing w:line="400" w:lineRule="exact"/>
        <w:rPr>
          <w:rFonts w:eastAsia="方正仿宋_GBK"/>
          <w:color w:val="auto"/>
          <w:sz w:val="24"/>
          <w:szCs w:val="24"/>
        </w:rPr>
      </w:pPr>
    </w:p>
    <w:p>
      <w:pPr>
        <w:topLinePunct/>
        <w:autoSpaceDN w:val="0"/>
        <w:adjustRightInd w:val="0"/>
        <w:snapToGrid w:val="0"/>
        <w:spacing w:line="400" w:lineRule="exact"/>
        <w:rPr>
          <w:rFonts w:eastAsia="方正仿宋_GBK"/>
          <w:color w:val="auto"/>
          <w:sz w:val="24"/>
          <w:szCs w:val="24"/>
        </w:rPr>
      </w:pPr>
    </w:p>
    <w:p>
      <w:pPr>
        <w:topLinePunct/>
        <w:autoSpaceDN w:val="0"/>
        <w:adjustRightInd w:val="0"/>
        <w:snapToGrid w:val="0"/>
        <w:spacing w:line="400" w:lineRule="exact"/>
        <w:rPr>
          <w:rFonts w:eastAsia="方正仿宋_GBK"/>
          <w:color w:val="auto"/>
          <w:sz w:val="24"/>
          <w:szCs w:val="24"/>
        </w:rPr>
      </w:pP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 xml:space="preserve">                                    企业名称（盖章）： </w:t>
      </w:r>
    </w:p>
    <w:p>
      <w:pPr>
        <w:topLinePunct/>
        <w:autoSpaceDN w:val="0"/>
        <w:adjustRightInd w:val="0"/>
        <w:snapToGrid w:val="0"/>
        <w:spacing w:line="400" w:lineRule="exact"/>
        <w:ind w:firstLine="480" w:firstLineChars="200"/>
        <w:rPr>
          <w:rFonts w:eastAsia="方正仿宋_GBK"/>
          <w:color w:val="auto"/>
          <w:sz w:val="24"/>
          <w:szCs w:val="24"/>
        </w:rPr>
      </w:pPr>
      <w:r>
        <w:rPr>
          <w:rFonts w:eastAsia="方正仿宋_GBK"/>
          <w:color w:val="auto"/>
          <w:sz w:val="24"/>
          <w:szCs w:val="24"/>
        </w:rPr>
        <w:t xml:space="preserve">                                               日期：</w:t>
      </w:r>
    </w:p>
    <w:p>
      <w:pPr>
        <w:topLinePunct/>
        <w:autoSpaceDN w:val="0"/>
        <w:adjustRightInd w:val="0"/>
        <w:snapToGrid w:val="0"/>
        <w:spacing w:line="400" w:lineRule="exact"/>
        <w:ind w:firstLine="480" w:firstLineChars="200"/>
        <w:rPr>
          <w:rFonts w:eastAsia="方正仿宋_GBK"/>
          <w:color w:val="auto"/>
          <w:sz w:val="24"/>
          <w:szCs w:val="24"/>
        </w:rPr>
      </w:pPr>
    </w:p>
    <w:p>
      <w:pPr>
        <w:topLinePunct/>
        <w:autoSpaceDN w:val="0"/>
        <w:adjustRightInd w:val="0"/>
        <w:snapToGrid w:val="0"/>
        <w:spacing w:line="400" w:lineRule="exact"/>
        <w:ind w:left="120" w:leftChars="43" w:firstLine="360" w:firstLineChars="150"/>
        <w:rPr>
          <w:rFonts w:eastAsia="方正仿宋_GBK"/>
          <w:b/>
          <w:color w:val="auto"/>
          <w:sz w:val="24"/>
          <w:szCs w:val="28"/>
        </w:rPr>
      </w:pPr>
      <w:r>
        <w:rPr>
          <w:rFonts w:eastAsia="方正仿宋_GBK"/>
          <w:color w:val="auto"/>
          <w:sz w:val="24"/>
          <w:szCs w:val="24"/>
        </w:rPr>
        <w:br w:type="page"/>
      </w:r>
      <w:r>
        <w:rPr>
          <w:rFonts w:eastAsia="方正仿宋_GBK"/>
          <w:b/>
          <w:color w:val="auto"/>
          <w:sz w:val="24"/>
          <w:szCs w:val="28"/>
        </w:rPr>
        <w:t>二、技术、商务及经济文件</w:t>
      </w:r>
    </w:p>
    <w:bookmarkEnd w:id="16"/>
    <w:bookmarkEnd w:id="17"/>
    <w:bookmarkEnd w:id="18"/>
    <w:bookmarkEnd w:id="19"/>
    <w:bookmarkEnd w:id="20"/>
    <w:bookmarkEnd w:id="21"/>
    <w:bookmarkEnd w:id="22"/>
    <w:p>
      <w:pPr>
        <w:spacing w:line="360" w:lineRule="auto"/>
        <w:rPr>
          <w:rFonts w:ascii="宋体" w:hAnsi="宋体" w:cs="宋体"/>
          <w:b/>
          <w:bCs/>
          <w:color w:val="auto"/>
          <w:sz w:val="24"/>
          <w:szCs w:val="24"/>
        </w:rPr>
      </w:pPr>
      <w:bookmarkStart w:id="23" w:name="_Toc313883490"/>
      <w:bookmarkStart w:id="24" w:name="_Toc316479515"/>
      <w:bookmarkStart w:id="25" w:name="_Toc340223171"/>
      <w:bookmarkStart w:id="26" w:name="_Toc322965783"/>
      <w:r>
        <w:rPr>
          <w:rFonts w:hint="eastAsia" w:ascii="宋体" w:hAnsi="宋体" w:cs="宋体"/>
          <w:b/>
          <w:bCs/>
          <w:color w:val="auto"/>
          <w:sz w:val="24"/>
          <w:szCs w:val="24"/>
        </w:rPr>
        <w:t>一、经济部分</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pPr>
        <w:spacing w:line="360" w:lineRule="auto"/>
        <w:jc w:val="center"/>
        <w:rPr>
          <w:rFonts w:ascii="宋体" w:hAnsi="宋体" w:cs="宋体"/>
          <w:b/>
          <w:color w:val="auto"/>
          <w:szCs w:val="28"/>
        </w:rPr>
      </w:pPr>
      <w:r>
        <w:rPr>
          <w:rFonts w:hint="eastAsia" w:ascii="宋体" w:hAnsi="宋体" w:cs="宋体"/>
          <w:b/>
          <w:color w:val="auto"/>
          <w:szCs w:val="28"/>
        </w:rPr>
        <w:t>竞争性磋商报价函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pPr>
        <w:tabs>
          <w:tab w:val="left" w:pos="6300"/>
        </w:tabs>
        <w:snapToGrid w:val="0"/>
        <w:spacing w:line="360" w:lineRule="auto"/>
        <w:ind w:left="238" w:leftChars="85" w:firstLine="240" w:firstLineChars="1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1.愿意按照竞争性磋商文件中的一切要求，提供本项目的服务，初始报价为大写：</w:t>
      </w:r>
      <w:r>
        <w:rPr>
          <w:rFonts w:hint="eastAsia" w:ascii="宋体" w:hAnsi="宋体" w:cs="宋体"/>
          <w:color w:val="auto"/>
          <w:sz w:val="24"/>
          <w:szCs w:val="24"/>
          <w:u w:val="single"/>
        </w:rPr>
        <w:t xml:space="preserve">      元</w:t>
      </w:r>
      <w:r>
        <w:rPr>
          <w:rFonts w:hint="eastAsia" w:ascii="宋体" w:hAnsi="宋体" w:cs="宋体"/>
          <w:color w:val="auto"/>
          <w:sz w:val="24"/>
          <w:szCs w:val="24"/>
        </w:rPr>
        <w:t>；小写：</w:t>
      </w:r>
      <w:r>
        <w:rPr>
          <w:rFonts w:hint="eastAsia" w:ascii="宋体" w:hAnsi="宋体" w:cs="宋体"/>
          <w:color w:val="auto"/>
          <w:sz w:val="24"/>
          <w:szCs w:val="24"/>
          <w:u w:val="single"/>
        </w:rPr>
        <w:t xml:space="preserve">    元</w:t>
      </w:r>
      <w:r>
        <w:rPr>
          <w:rFonts w:hint="eastAsia" w:ascii="宋体" w:hAnsi="宋体" w:cs="宋体"/>
          <w:color w:val="auto"/>
          <w:sz w:val="24"/>
          <w:szCs w:val="24"/>
        </w:rPr>
        <w:t>。以我公司最后报价为准。</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w:t>
      </w:r>
      <w:r>
        <w:rPr>
          <w:rFonts w:hint="eastAsia" w:ascii="宋体" w:hAnsi="宋体" w:cs="宋体"/>
          <w:color w:val="auto"/>
          <w:sz w:val="24"/>
          <w:szCs w:val="24"/>
          <w:u w:val="single"/>
        </w:rPr>
        <w:t>壹</w:t>
      </w:r>
      <w:r>
        <w:rPr>
          <w:rFonts w:hint="eastAsia" w:ascii="宋体" w:hAnsi="宋体" w:cs="宋体"/>
          <w:color w:val="auto"/>
          <w:sz w:val="24"/>
          <w:szCs w:val="24"/>
        </w:rPr>
        <w:t>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3.我方承诺：本次磋商的有效期为提响应文件截止时间起90天。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电话：                                             传真：</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网址：                                             邮编：</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联系人：</w:t>
      </w:r>
    </w:p>
    <w:p>
      <w:pPr>
        <w:snapToGrid w:val="0"/>
        <w:spacing w:line="360" w:lineRule="auto"/>
        <w:ind w:firstLine="480" w:firstLineChars="200"/>
        <w:rPr>
          <w:rFonts w:ascii="宋体" w:hAnsi="宋体" w:cs="宋体"/>
          <w:color w:val="auto"/>
          <w:sz w:val="24"/>
          <w:szCs w:val="24"/>
        </w:rPr>
        <w:sectPr>
          <w:headerReference r:id="rId9" w:type="default"/>
          <w:footerReference r:id="rId10"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rPr>
        <w:t xml:space="preserve">                                                  年   月   日</w:t>
      </w:r>
    </w:p>
    <w:bookmarkEnd w:id="23"/>
    <w:bookmarkEnd w:id="24"/>
    <w:bookmarkEnd w:id="25"/>
    <w:bookmarkEnd w:id="26"/>
    <w:p>
      <w:pPr>
        <w:snapToGrid w:val="0"/>
        <w:spacing w:line="400" w:lineRule="exact"/>
        <w:ind w:firstLine="241" w:firstLineChars="100"/>
        <w:rPr>
          <w:rFonts w:eastAsia="方正仿宋_GBK"/>
          <w:b/>
          <w:color w:val="auto"/>
          <w:sz w:val="24"/>
          <w:szCs w:val="24"/>
        </w:rPr>
      </w:pPr>
      <w:r>
        <w:rPr>
          <w:rFonts w:eastAsia="方正仿宋_GBK"/>
          <w:b/>
          <w:bCs/>
          <w:color w:val="auto"/>
          <w:sz w:val="24"/>
        </w:rPr>
        <w:t>（二）技术部分</w:t>
      </w:r>
      <w:r>
        <w:rPr>
          <w:rFonts w:eastAsia="方正仿宋_GBK"/>
          <w:b/>
          <w:color w:val="auto"/>
          <w:sz w:val="24"/>
          <w:szCs w:val="24"/>
        </w:rPr>
        <w:t>（包括但不限于以下内容）</w:t>
      </w:r>
    </w:p>
    <w:p>
      <w:pPr>
        <w:pStyle w:val="6"/>
        <w:tabs>
          <w:tab w:val="left" w:pos="6300"/>
        </w:tabs>
        <w:snapToGrid w:val="0"/>
        <w:spacing w:line="500" w:lineRule="exact"/>
        <w:ind w:firstLine="480" w:firstLineChars="200"/>
        <w:outlineLvl w:val="0"/>
        <w:rPr>
          <w:rFonts w:eastAsia="方正仿宋_GBK"/>
          <w:color w:val="auto"/>
          <w:sz w:val="24"/>
          <w:szCs w:val="24"/>
          <w:lang w:val="zh-CN"/>
        </w:rPr>
      </w:pPr>
      <w:r>
        <w:rPr>
          <w:rFonts w:eastAsia="方正仿宋_GBK"/>
          <w:bCs/>
          <w:color w:val="auto"/>
          <w:sz w:val="24"/>
        </w:rPr>
        <w:t>1、</w:t>
      </w:r>
      <w:r>
        <w:rPr>
          <w:rFonts w:eastAsia="方正仿宋_GBK"/>
          <w:color w:val="auto"/>
          <w:sz w:val="24"/>
          <w:szCs w:val="24"/>
          <w:lang w:val="zh-CN"/>
        </w:rPr>
        <w:t>技术条款差异表</w:t>
      </w:r>
    </w:p>
    <w:p>
      <w:pPr>
        <w:pStyle w:val="6"/>
        <w:tabs>
          <w:tab w:val="left" w:pos="6300"/>
        </w:tabs>
        <w:snapToGrid w:val="0"/>
        <w:spacing w:line="500" w:lineRule="exact"/>
        <w:ind w:firstLine="480" w:firstLineChars="200"/>
        <w:outlineLvl w:val="0"/>
        <w:rPr>
          <w:rFonts w:eastAsia="方正仿宋_GBK"/>
          <w:color w:val="auto"/>
          <w:sz w:val="24"/>
        </w:rPr>
      </w:pPr>
      <w:r>
        <w:rPr>
          <w:rFonts w:eastAsia="方正仿宋_GBK"/>
          <w:color w:val="auto"/>
          <w:sz w:val="24"/>
        </w:rPr>
        <w:t>项目名称：</w:t>
      </w:r>
    </w:p>
    <w:tbl>
      <w:tblPr>
        <w:tblStyle w:val="10"/>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r>
              <w:rPr>
                <w:rFonts w:eastAsia="方正仿宋_GBK"/>
                <w:color w:val="auto"/>
                <w:sz w:val="21"/>
                <w:szCs w:val="21"/>
              </w:rPr>
              <w:t>序号</w:t>
            </w: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r>
              <w:rPr>
                <w:rFonts w:eastAsia="方正仿宋_GBK"/>
                <w:color w:val="auto"/>
                <w:sz w:val="21"/>
                <w:szCs w:val="21"/>
              </w:rPr>
              <w:t>采购需求</w:t>
            </w: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r>
              <w:rPr>
                <w:rFonts w:eastAsia="方正仿宋_GBK"/>
                <w:color w:val="auto"/>
                <w:sz w:val="21"/>
                <w:szCs w:val="21"/>
              </w:rPr>
              <w:t>响应情况</w:t>
            </w: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r>
              <w:rPr>
                <w:rFonts w:eastAsia="方正仿宋_GBK"/>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vAlign w:val="center"/>
          </w:tcPr>
          <w:p>
            <w:pPr>
              <w:tabs>
                <w:tab w:val="left" w:pos="6300"/>
              </w:tabs>
              <w:snapToGrid w:val="0"/>
              <w:spacing w:line="500" w:lineRule="exact"/>
              <w:jc w:val="center"/>
              <w:outlineLvl w:val="0"/>
              <w:rPr>
                <w:rFonts w:eastAsia="方正仿宋_GBK"/>
                <w:color w:val="auto"/>
                <w:sz w:val="21"/>
                <w:szCs w:val="21"/>
              </w:rPr>
            </w:pPr>
          </w:p>
        </w:tc>
        <w:tc>
          <w:tcPr>
            <w:tcW w:w="2658" w:type="dxa"/>
            <w:vAlign w:val="center"/>
          </w:tcPr>
          <w:p>
            <w:pPr>
              <w:tabs>
                <w:tab w:val="left" w:pos="6300"/>
              </w:tabs>
              <w:snapToGrid w:val="0"/>
              <w:spacing w:line="500" w:lineRule="exact"/>
              <w:jc w:val="center"/>
              <w:outlineLvl w:val="0"/>
              <w:rPr>
                <w:rFonts w:eastAsia="方正仿宋_GBK"/>
                <w:color w:val="auto"/>
                <w:sz w:val="21"/>
                <w:szCs w:val="21"/>
              </w:rPr>
            </w:pPr>
          </w:p>
        </w:tc>
        <w:tc>
          <w:tcPr>
            <w:tcW w:w="2759" w:type="dxa"/>
            <w:vAlign w:val="center"/>
          </w:tcPr>
          <w:p>
            <w:pPr>
              <w:tabs>
                <w:tab w:val="left" w:pos="6300"/>
              </w:tabs>
              <w:snapToGrid w:val="0"/>
              <w:spacing w:line="500" w:lineRule="exact"/>
              <w:jc w:val="center"/>
              <w:outlineLvl w:val="0"/>
              <w:rPr>
                <w:rFonts w:eastAsia="方正仿宋_GBK"/>
                <w:color w:val="auto"/>
                <w:sz w:val="21"/>
                <w:szCs w:val="21"/>
              </w:rPr>
            </w:pPr>
          </w:p>
        </w:tc>
        <w:tc>
          <w:tcPr>
            <w:tcW w:w="2067" w:type="dxa"/>
            <w:vAlign w:val="center"/>
          </w:tcPr>
          <w:p>
            <w:pPr>
              <w:tabs>
                <w:tab w:val="left" w:pos="6300"/>
              </w:tabs>
              <w:snapToGrid w:val="0"/>
              <w:spacing w:line="500" w:lineRule="exact"/>
              <w:jc w:val="center"/>
              <w:outlineLvl w:val="0"/>
              <w:rPr>
                <w:rFonts w:eastAsia="方正仿宋_GBK"/>
                <w:color w:val="auto"/>
                <w:sz w:val="21"/>
                <w:szCs w:val="21"/>
              </w:rPr>
            </w:pPr>
          </w:p>
        </w:tc>
      </w:tr>
    </w:tbl>
    <w:p>
      <w:pPr>
        <w:spacing w:line="500" w:lineRule="exact"/>
        <w:ind w:firstLine="600" w:firstLineChars="250"/>
        <w:rPr>
          <w:rFonts w:eastAsia="方正仿宋_GBK"/>
          <w:color w:val="auto"/>
          <w:sz w:val="24"/>
          <w:szCs w:val="28"/>
        </w:rPr>
      </w:pPr>
      <w:r>
        <w:rPr>
          <w:rFonts w:eastAsia="方正仿宋_GBK"/>
          <w:color w:val="auto"/>
          <w:sz w:val="24"/>
          <w:szCs w:val="28"/>
        </w:rPr>
        <w:t>供应商：                                      法人授权代表：</w:t>
      </w:r>
    </w:p>
    <w:p>
      <w:pPr>
        <w:spacing w:line="500" w:lineRule="exact"/>
        <w:rPr>
          <w:rFonts w:eastAsia="方正仿宋_GBK"/>
          <w:color w:val="auto"/>
          <w:sz w:val="24"/>
          <w:szCs w:val="28"/>
        </w:rPr>
      </w:pPr>
      <w:r>
        <w:rPr>
          <w:rFonts w:eastAsia="方正仿宋_GBK"/>
          <w:color w:val="auto"/>
          <w:sz w:val="24"/>
          <w:szCs w:val="28"/>
        </w:rPr>
        <w:t xml:space="preserve">    </w:t>
      </w:r>
    </w:p>
    <w:p>
      <w:pPr>
        <w:spacing w:line="500" w:lineRule="exact"/>
        <w:ind w:firstLine="720" w:firstLineChars="300"/>
        <w:rPr>
          <w:rFonts w:eastAsia="方正仿宋_GBK"/>
          <w:color w:val="auto"/>
          <w:sz w:val="24"/>
          <w:szCs w:val="28"/>
        </w:rPr>
      </w:pPr>
      <w:r>
        <w:rPr>
          <w:rFonts w:eastAsia="方正仿宋_GBK"/>
          <w:color w:val="auto"/>
          <w:sz w:val="24"/>
          <w:szCs w:val="28"/>
        </w:rPr>
        <w:t>（供应商公章）                               （签字或盖章）</w:t>
      </w:r>
    </w:p>
    <w:p>
      <w:pPr>
        <w:tabs>
          <w:tab w:val="left" w:pos="6300"/>
        </w:tabs>
        <w:snapToGrid w:val="0"/>
        <w:spacing w:line="500" w:lineRule="exact"/>
        <w:ind w:firstLine="570"/>
        <w:rPr>
          <w:rFonts w:eastAsia="方正仿宋_GBK"/>
          <w:color w:val="auto"/>
          <w:sz w:val="24"/>
        </w:rPr>
      </w:pPr>
      <w:r>
        <w:rPr>
          <w:rFonts w:eastAsia="方正仿宋_GBK"/>
          <w:color w:val="auto"/>
          <w:sz w:val="24"/>
          <w:szCs w:val="28"/>
        </w:rPr>
        <w:t xml:space="preserve">                                              年     月     日</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rPr>
        <w:t>注：</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szCs w:val="24"/>
        </w:rPr>
        <w:t>1</w:t>
      </w:r>
      <w:r>
        <w:rPr>
          <w:rFonts w:eastAsia="方正仿宋_GBK"/>
          <w:color w:val="auto"/>
          <w:sz w:val="24"/>
        </w:rPr>
        <w:t>、本表即为对本项目“第二篇  项目采购需求（技术要求）”中所列技术要求进行比较和响应；</w:t>
      </w:r>
      <w:r>
        <w:rPr>
          <w:rFonts w:eastAsia="方正仿宋_GBK"/>
          <w:color w:val="auto"/>
          <w:sz w:val="24"/>
          <w:szCs w:val="28"/>
        </w:rPr>
        <w:t>请投标人完整填写本表，没有填写或填列不完整的按无技术条款差异表处理</w:t>
      </w:r>
      <w:r>
        <w:rPr>
          <w:rFonts w:hint="eastAsia" w:eastAsia="方正仿宋_GBK"/>
          <w:color w:val="auto"/>
          <w:sz w:val="24"/>
          <w:szCs w:val="28"/>
        </w:rPr>
        <w:t>，有多页的须逐页签字或盖章。</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rPr>
        <w:t>3、该表可扩展；</w:t>
      </w:r>
    </w:p>
    <w:p>
      <w:pPr>
        <w:snapToGrid w:val="0"/>
        <w:spacing w:line="400" w:lineRule="exact"/>
        <w:ind w:firstLine="480" w:firstLineChars="200"/>
        <w:rPr>
          <w:rFonts w:eastAsia="方正仿宋_GBK"/>
          <w:color w:val="auto"/>
          <w:sz w:val="24"/>
          <w:szCs w:val="24"/>
        </w:rPr>
      </w:pPr>
      <w:r>
        <w:rPr>
          <w:rFonts w:eastAsia="方正仿宋_GBK"/>
          <w:color w:val="auto"/>
          <w:sz w:val="24"/>
        </w:rPr>
        <w:t>4、若“响应情况”栏中仅填写“无偏离”或“有偏离”等内容而未作实质性参数描述，该供应商将</w:t>
      </w:r>
      <w:r>
        <w:rPr>
          <w:rFonts w:eastAsia="方正仿宋_GBK"/>
          <w:color w:val="auto"/>
          <w:sz w:val="24"/>
          <w:szCs w:val="24"/>
        </w:rPr>
        <w:t>失去成为成交供应商的资格，仅保留其合格供应商的身份。</w:t>
      </w:r>
    </w:p>
    <w:p>
      <w:pPr>
        <w:snapToGrid w:val="0"/>
        <w:spacing w:line="400" w:lineRule="exact"/>
        <w:ind w:firstLine="480" w:firstLineChars="200"/>
        <w:rPr>
          <w:rFonts w:eastAsia="方正仿宋_GBK"/>
          <w:bCs/>
          <w:color w:val="auto"/>
          <w:sz w:val="24"/>
        </w:rPr>
      </w:pPr>
      <w:r>
        <w:rPr>
          <w:rFonts w:eastAsia="方正仿宋_GBK"/>
          <w:bCs/>
          <w:color w:val="auto"/>
          <w:sz w:val="24"/>
        </w:rPr>
        <w:br w:type="page"/>
      </w:r>
      <w:r>
        <w:rPr>
          <w:rFonts w:eastAsia="方正仿宋_GBK"/>
          <w:bCs/>
          <w:color w:val="auto"/>
          <w:sz w:val="24"/>
        </w:rPr>
        <w:t>1、技术条款差异表</w:t>
      </w:r>
    </w:p>
    <w:p>
      <w:pPr>
        <w:snapToGrid w:val="0"/>
        <w:spacing w:line="400" w:lineRule="exact"/>
        <w:ind w:firstLine="480" w:firstLineChars="200"/>
        <w:rPr>
          <w:rFonts w:eastAsia="方正仿宋_GBK"/>
          <w:bCs/>
          <w:color w:val="auto"/>
          <w:sz w:val="24"/>
        </w:rPr>
      </w:pPr>
      <w:r>
        <w:rPr>
          <w:rFonts w:eastAsia="方正仿宋_GBK"/>
          <w:bCs/>
          <w:color w:val="auto"/>
          <w:sz w:val="24"/>
        </w:rPr>
        <w:t>2、</w:t>
      </w:r>
      <w:r>
        <w:rPr>
          <w:rFonts w:hint="eastAsia" w:eastAsia="方正仿宋_GBK"/>
          <w:bCs/>
          <w:color w:val="auto"/>
          <w:sz w:val="24"/>
        </w:rPr>
        <w:t>现场踏勘</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3、服务方案</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4、质量保障措施</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5、进度计划</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6、安全保障措施</w:t>
      </w:r>
    </w:p>
    <w:p>
      <w:pPr>
        <w:snapToGrid w:val="0"/>
        <w:spacing w:line="400" w:lineRule="exact"/>
        <w:ind w:firstLine="482" w:firstLineChars="200"/>
        <w:rPr>
          <w:rFonts w:eastAsia="方正仿宋_GBK"/>
          <w:b/>
          <w:bCs/>
          <w:color w:val="auto"/>
          <w:sz w:val="24"/>
        </w:rPr>
      </w:pPr>
    </w:p>
    <w:p>
      <w:pPr>
        <w:snapToGrid w:val="0"/>
        <w:spacing w:line="400" w:lineRule="exact"/>
        <w:ind w:firstLine="482" w:firstLineChars="200"/>
        <w:rPr>
          <w:rFonts w:eastAsia="方正仿宋_GBK"/>
          <w:b/>
          <w:bCs/>
          <w:color w:val="auto"/>
          <w:sz w:val="24"/>
        </w:rPr>
      </w:pPr>
      <w:r>
        <w:rPr>
          <w:rFonts w:eastAsia="方正仿宋_GBK"/>
          <w:b/>
          <w:bCs/>
          <w:color w:val="auto"/>
          <w:sz w:val="24"/>
        </w:rPr>
        <w:t>（三）商务部分（包括但不限于以下内容）</w:t>
      </w:r>
    </w:p>
    <w:p>
      <w:pPr>
        <w:snapToGrid w:val="0"/>
        <w:spacing w:line="400" w:lineRule="exact"/>
        <w:ind w:firstLine="480" w:firstLineChars="200"/>
        <w:rPr>
          <w:rFonts w:eastAsia="方正仿宋_GBK"/>
          <w:bCs/>
          <w:color w:val="auto"/>
          <w:sz w:val="24"/>
        </w:rPr>
      </w:pPr>
      <w:r>
        <w:rPr>
          <w:rFonts w:eastAsia="方正仿宋_GBK"/>
          <w:bCs/>
          <w:color w:val="auto"/>
          <w:sz w:val="24"/>
        </w:rPr>
        <w:t>1、响应函</w:t>
      </w:r>
    </w:p>
    <w:p>
      <w:pPr>
        <w:topLinePunct/>
        <w:autoSpaceDN w:val="0"/>
        <w:adjustRightInd w:val="0"/>
        <w:snapToGrid w:val="0"/>
        <w:spacing w:line="400" w:lineRule="exact"/>
        <w:ind w:firstLine="480" w:firstLineChars="200"/>
        <w:rPr>
          <w:rFonts w:eastAsia="方正仿宋_GBK"/>
          <w:color w:val="auto"/>
          <w:sz w:val="24"/>
          <w:szCs w:val="28"/>
          <w:u w:val="single"/>
        </w:rPr>
      </w:pPr>
      <w:r>
        <w:rPr>
          <w:rFonts w:eastAsia="方正仿宋_GBK"/>
          <w:color w:val="auto"/>
          <w:sz w:val="24"/>
          <w:szCs w:val="28"/>
        </w:rPr>
        <w:t>采购项目名称：</w:t>
      </w:r>
      <w:r>
        <w:rPr>
          <w:rFonts w:eastAsia="方正仿宋_GBK"/>
          <w:color w:val="auto"/>
          <w:sz w:val="24"/>
          <w:szCs w:val="28"/>
          <w:u w:val="single"/>
        </w:rPr>
        <w:t xml:space="preserve">                                             </w:t>
      </w:r>
    </w:p>
    <w:p>
      <w:pPr>
        <w:topLinePunct/>
        <w:autoSpaceDN w:val="0"/>
        <w:adjustRightInd w:val="0"/>
        <w:snapToGrid w:val="0"/>
        <w:spacing w:line="400" w:lineRule="exact"/>
        <w:ind w:firstLine="480" w:firstLineChars="200"/>
        <w:rPr>
          <w:rFonts w:eastAsia="方正仿宋_GBK"/>
          <w:color w:val="auto"/>
          <w:sz w:val="24"/>
          <w:szCs w:val="28"/>
        </w:rPr>
      </w:pP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致：</w:t>
      </w:r>
      <w:r>
        <w:rPr>
          <w:rFonts w:eastAsia="方正仿宋_GBK"/>
          <w:color w:val="auto"/>
          <w:sz w:val="24"/>
          <w:szCs w:val="28"/>
          <w:u w:val="single"/>
        </w:rPr>
        <w:t xml:space="preserve">                    </w:t>
      </w:r>
      <w:r>
        <w:rPr>
          <w:rFonts w:eastAsia="方正仿宋_GBK"/>
          <w:color w:val="auto"/>
          <w:sz w:val="24"/>
          <w:szCs w:val="28"/>
        </w:rPr>
        <w:t>（</w:t>
      </w:r>
      <w:r>
        <w:rPr>
          <w:rFonts w:hint="eastAsia" w:eastAsia="方正仿宋_GBK"/>
          <w:color w:val="auto"/>
          <w:sz w:val="24"/>
          <w:szCs w:val="28"/>
        </w:rPr>
        <w:t>采购人</w:t>
      </w:r>
      <w:r>
        <w:rPr>
          <w:rFonts w:eastAsia="方正仿宋_GBK"/>
          <w:color w:val="auto"/>
          <w:sz w:val="24"/>
          <w:szCs w:val="28"/>
        </w:rPr>
        <w:t>名称）：</w:t>
      </w:r>
    </w:p>
    <w:p>
      <w:pPr>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u w:val="single"/>
        </w:rPr>
        <w:t xml:space="preserve">                        </w:t>
      </w:r>
      <w:r>
        <w:rPr>
          <w:rFonts w:eastAsia="方正仿宋_GBK"/>
          <w:color w:val="auto"/>
          <w:sz w:val="24"/>
          <w:szCs w:val="28"/>
        </w:rPr>
        <w:t>（响应人名称）系中华人民共和国合法企业，注册地址：</w:t>
      </w:r>
      <w:r>
        <w:rPr>
          <w:rFonts w:eastAsia="方正仿宋_GBK"/>
          <w:color w:val="auto"/>
          <w:sz w:val="24"/>
          <w:szCs w:val="28"/>
          <w:u w:val="single"/>
        </w:rPr>
        <w:t xml:space="preserve">                               </w:t>
      </w:r>
      <w:r>
        <w:rPr>
          <w:rFonts w:eastAsia="方正仿宋_GBK"/>
          <w:color w:val="auto"/>
          <w:sz w:val="24"/>
          <w:szCs w:val="28"/>
        </w:rPr>
        <w:t>。我方就参加本次响应有关事项郑重声明如下：</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一、我方完全理解并接受该项目磋商文件所有要求。</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二、我方提交的所有响应文件、资料都是准确和真实的，如有虚假或隐瞒，我方愿意承担一切法律责任。</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三、我方承诺按照磋商文件要求，提供磋商项目的技术服务。</w:t>
      </w:r>
    </w:p>
    <w:p>
      <w:pPr>
        <w:tabs>
          <w:tab w:val="left" w:pos="6300"/>
        </w:tabs>
        <w:topLinePunct/>
        <w:autoSpaceDN w:val="0"/>
        <w:adjustRightInd w:val="0"/>
        <w:snapToGrid w:val="0"/>
        <w:spacing w:line="400" w:lineRule="exact"/>
        <w:ind w:left="716" w:leftChars="170" w:hanging="240" w:hangingChars="100"/>
        <w:rPr>
          <w:rFonts w:eastAsia="方正仿宋_GBK"/>
          <w:color w:val="auto"/>
          <w:sz w:val="24"/>
          <w:szCs w:val="28"/>
        </w:rPr>
      </w:pPr>
      <w:r>
        <w:rPr>
          <w:rFonts w:eastAsia="方正仿宋_GBK"/>
          <w:color w:val="auto"/>
          <w:sz w:val="24"/>
          <w:szCs w:val="28"/>
        </w:rPr>
        <w:t>四、我方按磋商文件要求提交的响应文件为</w:t>
      </w:r>
      <w:r>
        <w:rPr>
          <w:rFonts w:eastAsia="方正仿宋_GBK"/>
          <w:color w:val="auto"/>
          <w:sz w:val="24"/>
          <w:szCs w:val="24"/>
          <w:shd w:val="clear" w:color="auto" w:fill="FFFFFF"/>
          <w:lang w:val="zh-CN"/>
        </w:rPr>
        <w:t>资格文件</w:t>
      </w:r>
      <w:r>
        <w:rPr>
          <w:rFonts w:hint="eastAsia" w:eastAsia="方正仿宋_GBK"/>
          <w:color w:val="auto"/>
          <w:sz w:val="24"/>
          <w:szCs w:val="24"/>
          <w:shd w:val="clear" w:color="auto" w:fill="FFFFFF"/>
          <w:lang w:val="zh-CN"/>
        </w:rPr>
        <w:t>、</w:t>
      </w:r>
      <w:r>
        <w:rPr>
          <w:rFonts w:eastAsia="方正仿宋_GBK"/>
          <w:color w:val="auto"/>
          <w:sz w:val="24"/>
          <w:szCs w:val="24"/>
          <w:shd w:val="clear" w:color="auto" w:fill="FFFFFF"/>
          <w:lang w:val="zh-CN"/>
        </w:rPr>
        <w:t>技术、商务及经济部分</w:t>
      </w:r>
      <w:r>
        <w:rPr>
          <w:rFonts w:hint="eastAsia" w:eastAsia="方正仿宋_GBK"/>
          <w:color w:val="auto"/>
          <w:sz w:val="24"/>
          <w:szCs w:val="24"/>
          <w:u w:val="single"/>
          <w:shd w:val="clear" w:color="auto" w:fill="FFFFFF"/>
        </w:rPr>
        <w:t xml:space="preserve">    </w:t>
      </w:r>
      <w:r>
        <w:rPr>
          <w:rFonts w:hint="eastAsia" w:eastAsia="方正仿宋_GBK"/>
          <w:color w:val="auto"/>
          <w:sz w:val="24"/>
          <w:szCs w:val="24"/>
          <w:shd w:val="clear" w:color="auto" w:fill="FFFFFF"/>
        </w:rPr>
        <w:t>式</w:t>
      </w:r>
      <w:r>
        <w:rPr>
          <w:rFonts w:eastAsia="方正仿宋_GBK"/>
          <w:color w:val="auto"/>
          <w:sz w:val="24"/>
          <w:szCs w:val="24"/>
          <w:u w:val="single"/>
          <w:shd w:val="clear" w:color="auto" w:fill="FFFFFF"/>
          <w:lang w:val="zh-CN"/>
        </w:rPr>
        <w:t xml:space="preserve"> </w:t>
      </w:r>
      <w:r>
        <w:rPr>
          <w:rFonts w:eastAsia="方正仿宋_GBK"/>
          <w:color w:val="auto"/>
          <w:sz w:val="24"/>
          <w:szCs w:val="24"/>
          <w:u w:val="single"/>
          <w:shd w:val="clear" w:color="auto" w:fill="FFFFFF"/>
        </w:rPr>
        <w:t xml:space="preserve"> </w:t>
      </w:r>
      <w:r>
        <w:rPr>
          <w:rFonts w:eastAsia="方正仿宋_GBK"/>
          <w:color w:val="auto"/>
          <w:sz w:val="24"/>
          <w:szCs w:val="24"/>
          <w:u w:val="single"/>
          <w:shd w:val="clear" w:color="auto" w:fill="FFFFFF"/>
          <w:lang w:val="zh-CN"/>
        </w:rPr>
        <w:t xml:space="preserve">  </w:t>
      </w:r>
      <w:r>
        <w:rPr>
          <w:rFonts w:eastAsia="方正仿宋_GBK"/>
          <w:color w:val="auto"/>
          <w:sz w:val="24"/>
          <w:szCs w:val="24"/>
          <w:shd w:val="clear" w:color="auto" w:fill="FFFFFF"/>
          <w:lang w:val="zh-CN"/>
        </w:rPr>
        <w:t>份。</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五、我方承诺：本次响应的响应有效期为90天。</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六、我方最终报价为闭口价。即在响应有效期和合同有效期内，该报价固定不变。</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七、如果我方成交，我方将履行磋商文件中规定的各项要求以及我方响应文件的各项承诺，按《政府采购法》、《合同法》及合同约定条款承担我方责任。</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t>八、我方理解，最低报价不是成交的唯一条件。</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p>
    <w:p>
      <w:pPr>
        <w:snapToGrid w:val="0"/>
        <w:spacing w:line="400" w:lineRule="exact"/>
        <w:ind w:firstLine="480" w:firstLineChars="200"/>
        <w:rPr>
          <w:rFonts w:eastAsia="方正仿宋_GBK"/>
          <w:bCs/>
          <w:color w:val="auto"/>
          <w:sz w:val="24"/>
        </w:rPr>
      </w:pPr>
    </w:p>
    <w:p>
      <w:pPr>
        <w:snapToGrid w:val="0"/>
        <w:spacing w:line="400" w:lineRule="exact"/>
        <w:ind w:firstLine="480" w:firstLineChars="200"/>
        <w:rPr>
          <w:rFonts w:eastAsia="方正仿宋_GBK"/>
          <w:bCs/>
          <w:color w:val="auto"/>
          <w:sz w:val="24"/>
        </w:rPr>
      </w:pPr>
    </w:p>
    <w:p>
      <w:pPr>
        <w:tabs>
          <w:tab w:val="left" w:pos="6300"/>
        </w:tabs>
        <w:topLinePunct/>
        <w:autoSpaceDN w:val="0"/>
        <w:adjustRightInd w:val="0"/>
        <w:snapToGrid w:val="0"/>
        <w:spacing w:line="400" w:lineRule="exact"/>
        <w:ind w:firstLine="5400" w:firstLineChars="2250"/>
        <w:rPr>
          <w:rFonts w:eastAsia="方正仿宋_GBK"/>
          <w:color w:val="auto"/>
          <w:sz w:val="24"/>
          <w:szCs w:val="28"/>
        </w:rPr>
      </w:pPr>
      <w:r>
        <w:rPr>
          <w:rFonts w:eastAsia="方正仿宋_GBK"/>
          <w:color w:val="auto"/>
          <w:sz w:val="24"/>
          <w:szCs w:val="28"/>
        </w:rPr>
        <w:t>（响应人公章）</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p>
    <w:p>
      <w:pPr>
        <w:tabs>
          <w:tab w:val="left" w:pos="6300"/>
        </w:tabs>
        <w:topLinePunct/>
        <w:autoSpaceDN w:val="0"/>
        <w:adjustRightInd w:val="0"/>
        <w:snapToGrid w:val="0"/>
        <w:spacing w:line="400" w:lineRule="exact"/>
        <w:ind w:firstLine="5520" w:firstLineChars="2300"/>
        <w:rPr>
          <w:rFonts w:eastAsia="方正仿宋_GBK"/>
          <w:color w:val="auto"/>
          <w:szCs w:val="28"/>
        </w:rPr>
      </w:pPr>
      <w:r>
        <w:rPr>
          <w:rFonts w:eastAsia="方正仿宋_GBK"/>
          <w:color w:val="auto"/>
          <w:sz w:val="24"/>
          <w:szCs w:val="28"/>
        </w:rPr>
        <w:t>年    月   日</w:t>
      </w:r>
    </w:p>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bCs/>
          <w:color w:val="auto"/>
          <w:sz w:val="24"/>
        </w:rPr>
        <w:br w:type="page"/>
      </w:r>
      <w:r>
        <w:rPr>
          <w:rFonts w:eastAsia="方正仿宋_GBK"/>
          <w:color w:val="auto"/>
          <w:sz w:val="24"/>
          <w:szCs w:val="28"/>
        </w:rPr>
        <w:t>2、响应人基本情况介绍</w:t>
      </w:r>
    </w:p>
    <w:p>
      <w:pPr>
        <w:snapToGrid w:val="0"/>
        <w:spacing w:after="156" w:afterLines="50" w:line="500" w:lineRule="exact"/>
        <w:ind w:firstLine="480" w:firstLineChars="200"/>
        <w:jc w:val="left"/>
        <w:rPr>
          <w:rFonts w:eastAsia="方正仿宋_GBK"/>
          <w:color w:val="auto"/>
          <w:sz w:val="24"/>
          <w:szCs w:val="24"/>
        </w:rPr>
      </w:pPr>
      <w:r>
        <w:rPr>
          <w:rFonts w:eastAsia="方正仿宋_GBK"/>
          <w:color w:val="auto"/>
          <w:sz w:val="24"/>
          <w:szCs w:val="24"/>
        </w:rPr>
        <w:t>投标人基本情况</w:t>
      </w:r>
    </w:p>
    <w:tbl>
      <w:tblPr>
        <w:tblStyle w:val="10"/>
        <w:tblW w:w="812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378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项  目</w:t>
            </w:r>
          </w:p>
        </w:tc>
        <w:tc>
          <w:tcPr>
            <w:tcW w:w="378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数据资料</w:t>
            </w:r>
          </w:p>
        </w:tc>
        <w:tc>
          <w:tcPr>
            <w:tcW w:w="196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8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企业性质</w:t>
            </w:r>
          </w:p>
        </w:tc>
        <w:tc>
          <w:tcPr>
            <w:tcW w:w="3780" w:type="dxa"/>
          </w:tcPr>
          <w:p>
            <w:pPr>
              <w:tabs>
                <w:tab w:val="left" w:pos="6300"/>
              </w:tabs>
              <w:snapToGrid w:val="0"/>
              <w:spacing w:line="500" w:lineRule="exact"/>
              <w:outlineLvl w:val="0"/>
              <w:rPr>
                <w:rFonts w:eastAsia="方正仿宋_GBK"/>
                <w:color w:val="auto"/>
                <w:sz w:val="24"/>
                <w:szCs w:val="24"/>
              </w:rPr>
            </w:pPr>
          </w:p>
        </w:tc>
        <w:tc>
          <w:tcPr>
            <w:tcW w:w="1960" w:type="dxa"/>
          </w:tcPr>
          <w:p>
            <w:pPr>
              <w:tabs>
                <w:tab w:val="left" w:pos="6300"/>
              </w:tabs>
              <w:snapToGrid w:val="0"/>
              <w:spacing w:line="500" w:lineRule="exact"/>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8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职工人数</w:t>
            </w:r>
          </w:p>
        </w:tc>
        <w:tc>
          <w:tcPr>
            <w:tcW w:w="3780" w:type="dxa"/>
          </w:tcPr>
          <w:p>
            <w:pPr>
              <w:tabs>
                <w:tab w:val="left" w:pos="6300"/>
              </w:tabs>
              <w:snapToGrid w:val="0"/>
              <w:spacing w:line="500" w:lineRule="exact"/>
              <w:outlineLvl w:val="0"/>
              <w:rPr>
                <w:rFonts w:eastAsia="方正仿宋_GBK"/>
                <w:color w:val="auto"/>
                <w:sz w:val="24"/>
                <w:szCs w:val="24"/>
              </w:rPr>
            </w:pPr>
          </w:p>
        </w:tc>
        <w:tc>
          <w:tcPr>
            <w:tcW w:w="1960" w:type="dxa"/>
          </w:tcPr>
          <w:p>
            <w:pPr>
              <w:tabs>
                <w:tab w:val="left" w:pos="6300"/>
              </w:tabs>
              <w:snapToGrid w:val="0"/>
              <w:spacing w:line="500" w:lineRule="exact"/>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销售额</w:t>
            </w:r>
          </w:p>
        </w:tc>
        <w:tc>
          <w:tcPr>
            <w:tcW w:w="3780" w:type="dxa"/>
          </w:tcPr>
          <w:p>
            <w:pPr>
              <w:tabs>
                <w:tab w:val="left" w:pos="6300"/>
              </w:tabs>
              <w:snapToGrid w:val="0"/>
              <w:spacing w:line="500" w:lineRule="exact"/>
              <w:outlineLvl w:val="0"/>
              <w:rPr>
                <w:rFonts w:eastAsia="方正仿宋_GBK"/>
                <w:color w:val="auto"/>
                <w:sz w:val="24"/>
                <w:szCs w:val="24"/>
              </w:rPr>
            </w:pPr>
          </w:p>
        </w:tc>
        <w:tc>
          <w:tcPr>
            <w:tcW w:w="1960" w:type="dxa"/>
          </w:tcPr>
          <w:p>
            <w:pPr>
              <w:tabs>
                <w:tab w:val="left" w:pos="6300"/>
              </w:tabs>
              <w:snapToGrid w:val="0"/>
              <w:spacing w:line="500" w:lineRule="exact"/>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8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资产总额</w:t>
            </w:r>
          </w:p>
        </w:tc>
        <w:tc>
          <w:tcPr>
            <w:tcW w:w="3780" w:type="dxa"/>
          </w:tcPr>
          <w:p>
            <w:pPr>
              <w:tabs>
                <w:tab w:val="left" w:pos="6300"/>
              </w:tabs>
              <w:snapToGrid w:val="0"/>
              <w:spacing w:line="500" w:lineRule="exact"/>
              <w:outlineLvl w:val="0"/>
              <w:rPr>
                <w:rFonts w:eastAsia="方正仿宋_GBK"/>
                <w:color w:val="auto"/>
                <w:sz w:val="24"/>
                <w:szCs w:val="24"/>
              </w:rPr>
            </w:pPr>
          </w:p>
        </w:tc>
        <w:tc>
          <w:tcPr>
            <w:tcW w:w="1960" w:type="dxa"/>
          </w:tcPr>
          <w:p>
            <w:pPr>
              <w:tabs>
                <w:tab w:val="left" w:pos="6300"/>
              </w:tabs>
              <w:snapToGrid w:val="0"/>
              <w:spacing w:line="500" w:lineRule="exact"/>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80" w:type="dxa"/>
          </w:tcPr>
          <w:p>
            <w:pPr>
              <w:tabs>
                <w:tab w:val="left" w:pos="6300"/>
              </w:tabs>
              <w:snapToGrid w:val="0"/>
              <w:spacing w:line="500" w:lineRule="exact"/>
              <w:jc w:val="center"/>
              <w:outlineLvl w:val="0"/>
              <w:rPr>
                <w:rFonts w:eastAsia="方正仿宋_GBK"/>
                <w:color w:val="auto"/>
                <w:sz w:val="24"/>
                <w:szCs w:val="24"/>
              </w:rPr>
            </w:pPr>
            <w:r>
              <w:rPr>
                <w:rFonts w:eastAsia="方正仿宋_GBK"/>
                <w:color w:val="auto"/>
                <w:sz w:val="24"/>
                <w:szCs w:val="24"/>
              </w:rPr>
              <w:t>是否属于小微企业</w:t>
            </w:r>
          </w:p>
        </w:tc>
        <w:tc>
          <w:tcPr>
            <w:tcW w:w="3780" w:type="dxa"/>
          </w:tcPr>
          <w:p>
            <w:pPr>
              <w:tabs>
                <w:tab w:val="left" w:pos="6300"/>
              </w:tabs>
              <w:snapToGrid w:val="0"/>
              <w:spacing w:line="500" w:lineRule="exact"/>
              <w:outlineLvl w:val="0"/>
              <w:rPr>
                <w:rFonts w:eastAsia="方正仿宋_GBK"/>
                <w:color w:val="auto"/>
                <w:sz w:val="24"/>
                <w:szCs w:val="24"/>
              </w:rPr>
            </w:pPr>
          </w:p>
        </w:tc>
        <w:tc>
          <w:tcPr>
            <w:tcW w:w="1960" w:type="dxa"/>
          </w:tcPr>
          <w:p>
            <w:pPr>
              <w:tabs>
                <w:tab w:val="left" w:pos="6300"/>
              </w:tabs>
              <w:snapToGrid w:val="0"/>
              <w:spacing w:line="500" w:lineRule="exact"/>
              <w:outlineLvl w:val="0"/>
              <w:rPr>
                <w:rFonts w:eastAsia="方正仿宋_GBK"/>
                <w:color w:val="auto"/>
                <w:sz w:val="24"/>
                <w:szCs w:val="24"/>
              </w:rPr>
            </w:pPr>
          </w:p>
        </w:tc>
      </w:tr>
    </w:tbl>
    <w:p>
      <w:pPr>
        <w:tabs>
          <w:tab w:val="left" w:pos="6300"/>
        </w:tabs>
        <w:topLinePunct/>
        <w:autoSpaceDN w:val="0"/>
        <w:adjustRightInd w:val="0"/>
        <w:snapToGrid w:val="0"/>
        <w:spacing w:line="400" w:lineRule="exact"/>
        <w:ind w:firstLine="480" w:firstLineChars="200"/>
        <w:rPr>
          <w:rFonts w:eastAsia="方正仿宋_GBK"/>
          <w:color w:val="auto"/>
          <w:sz w:val="24"/>
          <w:szCs w:val="28"/>
        </w:rPr>
      </w:pPr>
      <w:r>
        <w:rPr>
          <w:rFonts w:eastAsia="方正仿宋_GBK"/>
          <w:color w:val="auto"/>
          <w:sz w:val="24"/>
          <w:szCs w:val="28"/>
        </w:rPr>
        <w:br w:type="page"/>
      </w:r>
      <w:r>
        <w:rPr>
          <w:rFonts w:eastAsia="方正仿宋_GBK"/>
          <w:color w:val="auto"/>
          <w:sz w:val="24"/>
          <w:szCs w:val="28"/>
        </w:rPr>
        <w:t>3、商务响应偏离表</w:t>
      </w:r>
    </w:p>
    <w:p>
      <w:pPr>
        <w:pStyle w:val="6"/>
        <w:tabs>
          <w:tab w:val="left" w:pos="6300"/>
        </w:tabs>
        <w:snapToGrid w:val="0"/>
        <w:spacing w:line="500" w:lineRule="exact"/>
        <w:ind w:firstLine="480" w:firstLineChars="200"/>
        <w:outlineLvl w:val="0"/>
        <w:rPr>
          <w:rFonts w:eastAsia="方正仿宋_GBK"/>
          <w:color w:val="auto"/>
          <w:sz w:val="24"/>
        </w:rPr>
      </w:pPr>
      <w:r>
        <w:rPr>
          <w:rFonts w:eastAsia="方正仿宋_GBK"/>
          <w:color w:val="auto"/>
          <w:sz w:val="24"/>
        </w:rPr>
        <w:t>采购项目名称：</w:t>
      </w:r>
    </w:p>
    <w:p>
      <w:pPr>
        <w:rPr>
          <w:color w:val="auto"/>
        </w:rPr>
      </w:pP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297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pPr>
              <w:pStyle w:val="6"/>
              <w:tabs>
                <w:tab w:val="left" w:pos="6300"/>
              </w:tabs>
              <w:snapToGrid w:val="0"/>
              <w:spacing w:line="500" w:lineRule="exact"/>
              <w:jc w:val="center"/>
              <w:outlineLvl w:val="0"/>
              <w:rPr>
                <w:rFonts w:eastAsia="方正仿宋_GBK"/>
                <w:color w:val="auto"/>
                <w:sz w:val="24"/>
              </w:rPr>
            </w:pPr>
            <w:r>
              <w:rPr>
                <w:rFonts w:eastAsia="方正仿宋_GBK"/>
                <w:color w:val="auto"/>
                <w:sz w:val="24"/>
              </w:rPr>
              <w:t>序号</w:t>
            </w:r>
          </w:p>
        </w:tc>
        <w:tc>
          <w:tcPr>
            <w:tcW w:w="2835" w:type="dxa"/>
            <w:vAlign w:val="center"/>
          </w:tcPr>
          <w:p>
            <w:pPr>
              <w:pStyle w:val="6"/>
              <w:tabs>
                <w:tab w:val="left" w:pos="6300"/>
              </w:tabs>
              <w:snapToGrid w:val="0"/>
              <w:spacing w:line="500" w:lineRule="exact"/>
              <w:jc w:val="center"/>
              <w:outlineLvl w:val="0"/>
              <w:rPr>
                <w:rFonts w:eastAsia="方正仿宋_GBK"/>
                <w:color w:val="auto"/>
                <w:sz w:val="24"/>
              </w:rPr>
            </w:pPr>
            <w:r>
              <w:rPr>
                <w:rFonts w:eastAsia="方正仿宋_GBK"/>
                <w:color w:val="auto"/>
                <w:sz w:val="24"/>
              </w:rPr>
              <w:t>磋商项目需求</w:t>
            </w:r>
          </w:p>
        </w:tc>
        <w:tc>
          <w:tcPr>
            <w:tcW w:w="2976" w:type="dxa"/>
            <w:vAlign w:val="center"/>
          </w:tcPr>
          <w:p>
            <w:pPr>
              <w:pStyle w:val="6"/>
              <w:tabs>
                <w:tab w:val="left" w:pos="6300"/>
              </w:tabs>
              <w:snapToGrid w:val="0"/>
              <w:spacing w:line="500" w:lineRule="exact"/>
              <w:jc w:val="center"/>
              <w:outlineLvl w:val="0"/>
              <w:rPr>
                <w:rFonts w:eastAsia="方正仿宋_GBK"/>
                <w:color w:val="auto"/>
                <w:sz w:val="24"/>
              </w:rPr>
            </w:pPr>
            <w:r>
              <w:rPr>
                <w:rFonts w:eastAsia="方正仿宋_GBK"/>
                <w:color w:val="auto"/>
                <w:sz w:val="24"/>
              </w:rPr>
              <w:t>响应情况</w:t>
            </w:r>
          </w:p>
        </w:tc>
        <w:tc>
          <w:tcPr>
            <w:tcW w:w="1560" w:type="dxa"/>
            <w:vAlign w:val="center"/>
          </w:tcPr>
          <w:p>
            <w:pPr>
              <w:pStyle w:val="6"/>
              <w:tabs>
                <w:tab w:val="left" w:pos="6300"/>
              </w:tabs>
              <w:snapToGrid w:val="0"/>
              <w:spacing w:line="500" w:lineRule="exact"/>
              <w:jc w:val="center"/>
              <w:outlineLvl w:val="0"/>
              <w:rPr>
                <w:rFonts w:eastAsia="方正仿宋_GBK"/>
                <w:color w:val="auto"/>
                <w:sz w:val="24"/>
              </w:rPr>
            </w:pPr>
            <w:r>
              <w:rPr>
                <w:rFonts w:eastAsia="方正仿宋_GBK"/>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tabs>
                <w:tab w:val="left" w:pos="6300"/>
              </w:tabs>
              <w:snapToGrid w:val="0"/>
              <w:spacing w:line="360" w:lineRule="auto"/>
              <w:jc w:val="center"/>
              <w:outlineLvl w:val="0"/>
              <w:rPr>
                <w:rFonts w:eastAsia="方正仿宋_GBK"/>
                <w:color w:val="auto"/>
                <w:sz w:val="24"/>
                <w:szCs w:val="24"/>
              </w:rPr>
            </w:pPr>
          </w:p>
        </w:tc>
        <w:tc>
          <w:tcPr>
            <w:tcW w:w="2835" w:type="dxa"/>
            <w:vAlign w:val="center"/>
          </w:tcPr>
          <w:p>
            <w:pPr>
              <w:tabs>
                <w:tab w:val="left" w:pos="6300"/>
              </w:tabs>
              <w:snapToGrid w:val="0"/>
              <w:spacing w:line="360" w:lineRule="auto"/>
              <w:jc w:val="center"/>
              <w:outlineLvl w:val="0"/>
              <w:rPr>
                <w:rFonts w:eastAsia="方正仿宋_GBK"/>
                <w:color w:val="auto"/>
                <w:sz w:val="24"/>
                <w:szCs w:val="24"/>
              </w:rPr>
            </w:pPr>
          </w:p>
        </w:tc>
        <w:tc>
          <w:tcPr>
            <w:tcW w:w="2976" w:type="dxa"/>
            <w:vAlign w:val="center"/>
          </w:tcPr>
          <w:p>
            <w:pPr>
              <w:tabs>
                <w:tab w:val="left" w:pos="6300"/>
              </w:tabs>
              <w:snapToGrid w:val="0"/>
              <w:spacing w:line="360" w:lineRule="auto"/>
              <w:jc w:val="center"/>
              <w:outlineLvl w:val="0"/>
              <w:rPr>
                <w:rFonts w:eastAsia="方正仿宋_GBK"/>
                <w:color w:val="auto"/>
                <w:sz w:val="24"/>
                <w:szCs w:val="24"/>
              </w:rPr>
            </w:pPr>
          </w:p>
        </w:tc>
        <w:tc>
          <w:tcPr>
            <w:tcW w:w="1560" w:type="dxa"/>
            <w:vAlign w:val="center"/>
          </w:tcPr>
          <w:p>
            <w:pPr>
              <w:tabs>
                <w:tab w:val="left" w:pos="6300"/>
              </w:tabs>
              <w:snapToGrid w:val="0"/>
              <w:spacing w:line="360" w:lineRule="auto"/>
              <w:jc w:val="center"/>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tabs>
                <w:tab w:val="left" w:pos="6300"/>
              </w:tabs>
              <w:snapToGrid w:val="0"/>
              <w:spacing w:line="360" w:lineRule="auto"/>
              <w:jc w:val="center"/>
              <w:outlineLvl w:val="0"/>
              <w:rPr>
                <w:rFonts w:eastAsia="方正仿宋_GBK"/>
                <w:color w:val="auto"/>
                <w:sz w:val="24"/>
                <w:szCs w:val="24"/>
              </w:rPr>
            </w:pPr>
          </w:p>
        </w:tc>
        <w:tc>
          <w:tcPr>
            <w:tcW w:w="2835" w:type="dxa"/>
            <w:vAlign w:val="center"/>
          </w:tcPr>
          <w:p>
            <w:pPr>
              <w:tabs>
                <w:tab w:val="left" w:pos="6300"/>
              </w:tabs>
              <w:snapToGrid w:val="0"/>
              <w:spacing w:line="360" w:lineRule="auto"/>
              <w:jc w:val="center"/>
              <w:outlineLvl w:val="0"/>
              <w:rPr>
                <w:rFonts w:eastAsia="方正仿宋_GBK"/>
                <w:color w:val="auto"/>
                <w:sz w:val="24"/>
                <w:szCs w:val="24"/>
              </w:rPr>
            </w:pPr>
          </w:p>
        </w:tc>
        <w:tc>
          <w:tcPr>
            <w:tcW w:w="2976" w:type="dxa"/>
            <w:vAlign w:val="center"/>
          </w:tcPr>
          <w:p>
            <w:pPr>
              <w:tabs>
                <w:tab w:val="left" w:pos="6300"/>
              </w:tabs>
              <w:snapToGrid w:val="0"/>
              <w:spacing w:line="360" w:lineRule="auto"/>
              <w:jc w:val="center"/>
              <w:outlineLvl w:val="0"/>
              <w:rPr>
                <w:rFonts w:eastAsia="方正仿宋_GBK"/>
                <w:color w:val="auto"/>
                <w:sz w:val="24"/>
                <w:szCs w:val="24"/>
              </w:rPr>
            </w:pPr>
          </w:p>
        </w:tc>
        <w:tc>
          <w:tcPr>
            <w:tcW w:w="1560" w:type="dxa"/>
            <w:vAlign w:val="center"/>
          </w:tcPr>
          <w:p>
            <w:pPr>
              <w:tabs>
                <w:tab w:val="left" w:pos="6300"/>
              </w:tabs>
              <w:snapToGrid w:val="0"/>
              <w:spacing w:line="360" w:lineRule="auto"/>
              <w:jc w:val="center"/>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tabs>
                <w:tab w:val="left" w:pos="6300"/>
              </w:tabs>
              <w:snapToGrid w:val="0"/>
              <w:spacing w:line="360" w:lineRule="auto"/>
              <w:jc w:val="center"/>
              <w:outlineLvl w:val="0"/>
              <w:rPr>
                <w:rFonts w:eastAsia="方正仿宋_GBK"/>
                <w:color w:val="auto"/>
                <w:sz w:val="24"/>
                <w:szCs w:val="24"/>
              </w:rPr>
            </w:pPr>
          </w:p>
        </w:tc>
        <w:tc>
          <w:tcPr>
            <w:tcW w:w="2835" w:type="dxa"/>
            <w:vAlign w:val="center"/>
          </w:tcPr>
          <w:p>
            <w:pPr>
              <w:tabs>
                <w:tab w:val="left" w:pos="6300"/>
              </w:tabs>
              <w:snapToGrid w:val="0"/>
              <w:spacing w:line="360" w:lineRule="auto"/>
              <w:jc w:val="center"/>
              <w:outlineLvl w:val="0"/>
              <w:rPr>
                <w:rFonts w:eastAsia="方正仿宋_GBK"/>
                <w:color w:val="auto"/>
                <w:sz w:val="24"/>
                <w:szCs w:val="24"/>
              </w:rPr>
            </w:pPr>
          </w:p>
        </w:tc>
        <w:tc>
          <w:tcPr>
            <w:tcW w:w="2976" w:type="dxa"/>
            <w:vAlign w:val="center"/>
          </w:tcPr>
          <w:p>
            <w:pPr>
              <w:tabs>
                <w:tab w:val="left" w:pos="6300"/>
              </w:tabs>
              <w:snapToGrid w:val="0"/>
              <w:spacing w:line="360" w:lineRule="auto"/>
              <w:jc w:val="center"/>
              <w:outlineLvl w:val="0"/>
              <w:rPr>
                <w:rFonts w:eastAsia="方正仿宋_GBK"/>
                <w:color w:val="auto"/>
                <w:sz w:val="24"/>
                <w:szCs w:val="24"/>
              </w:rPr>
            </w:pPr>
          </w:p>
        </w:tc>
        <w:tc>
          <w:tcPr>
            <w:tcW w:w="1560" w:type="dxa"/>
            <w:vAlign w:val="center"/>
          </w:tcPr>
          <w:p>
            <w:pPr>
              <w:tabs>
                <w:tab w:val="left" w:pos="6300"/>
              </w:tabs>
              <w:snapToGrid w:val="0"/>
              <w:spacing w:line="360" w:lineRule="auto"/>
              <w:jc w:val="center"/>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tabs>
                <w:tab w:val="left" w:pos="6300"/>
              </w:tabs>
              <w:snapToGrid w:val="0"/>
              <w:spacing w:line="360" w:lineRule="auto"/>
              <w:jc w:val="center"/>
              <w:outlineLvl w:val="0"/>
              <w:rPr>
                <w:rFonts w:eastAsia="方正仿宋_GBK"/>
                <w:color w:val="auto"/>
                <w:sz w:val="24"/>
                <w:szCs w:val="24"/>
              </w:rPr>
            </w:pPr>
          </w:p>
        </w:tc>
        <w:tc>
          <w:tcPr>
            <w:tcW w:w="2835" w:type="dxa"/>
            <w:vAlign w:val="center"/>
          </w:tcPr>
          <w:p>
            <w:pPr>
              <w:tabs>
                <w:tab w:val="left" w:pos="6300"/>
              </w:tabs>
              <w:snapToGrid w:val="0"/>
              <w:spacing w:line="360" w:lineRule="auto"/>
              <w:jc w:val="center"/>
              <w:outlineLvl w:val="0"/>
              <w:rPr>
                <w:rFonts w:eastAsia="方正仿宋_GBK"/>
                <w:color w:val="auto"/>
                <w:sz w:val="24"/>
                <w:szCs w:val="24"/>
              </w:rPr>
            </w:pPr>
          </w:p>
        </w:tc>
        <w:tc>
          <w:tcPr>
            <w:tcW w:w="2976" w:type="dxa"/>
            <w:vAlign w:val="center"/>
          </w:tcPr>
          <w:p>
            <w:pPr>
              <w:tabs>
                <w:tab w:val="left" w:pos="6300"/>
              </w:tabs>
              <w:snapToGrid w:val="0"/>
              <w:spacing w:line="360" w:lineRule="auto"/>
              <w:jc w:val="center"/>
              <w:outlineLvl w:val="0"/>
              <w:rPr>
                <w:rFonts w:eastAsia="方正仿宋_GBK"/>
                <w:color w:val="auto"/>
                <w:sz w:val="24"/>
                <w:szCs w:val="24"/>
              </w:rPr>
            </w:pPr>
          </w:p>
        </w:tc>
        <w:tc>
          <w:tcPr>
            <w:tcW w:w="1560" w:type="dxa"/>
            <w:vAlign w:val="center"/>
          </w:tcPr>
          <w:p>
            <w:pPr>
              <w:tabs>
                <w:tab w:val="left" w:pos="6300"/>
              </w:tabs>
              <w:snapToGrid w:val="0"/>
              <w:spacing w:line="360" w:lineRule="auto"/>
              <w:jc w:val="center"/>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tabs>
                <w:tab w:val="left" w:pos="6300"/>
              </w:tabs>
              <w:snapToGrid w:val="0"/>
              <w:spacing w:line="360" w:lineRule="auto"/>
              <w:jc w:val="center"/>
              <w:outlineLvl w:val="0"/>
              <w:rPr>
                <w:rFonts w:eastAsia="方正仿宋_GBK"/>
                <w:color w:val="auto"/>
                <w:sz w:val="24"/>
                <w:szCs w:val="24"/>
              </w:rPr>
            </w:pPr>
          </w:p>
        </w:tc>
        <w:tc>
          <w:tcPr>
            <w:tcW w:w="2835" w:type="dxa"/>
            <w:vAlign w:val="center"/>
          </w:tcPr>
          <w:p>
            <w:pPr>
              <w:tabs>
                <w:tab w:val="left" w:pos="6300"/>
              </w:tabs>
              <w:snapToGrid w:val="0"/>
              <w:spacing w:line="360" w:lineRule="auto"/>
              <w:jc w:val="center"/>
              <w:outlineLvl w:val="0"/>
              <w:rPr>
                <w:rFonts w:eastAsia="方正仿宋_GBK"/>
                <w:color w:val="auto"/>
                <w:sz w:val="24"/>
                <w:szCs w:val="24"/>
              </w:rPr>
            </w:pPr>
          </w:p>
        </w:tc>
        <w:tc>
          <w:tcPr>
            <w:tcW w:w="2976" w:type="dxa"/>
            <w:vAlign w:val="center"/>
          </w:tcPr>
          <w:p>
            <w:pPr>
              <w:tabs>
                <w:tab w:val="left" w:pos="6300"/>
              </w:tabs>
              <w:snapToGrid w:val="0"/>
              <w:spacing w:line="360" w:lineRule="auto"/>
              <w:jc w:val="center"/>
              <w:outlineLvl w:val="0"/>
              <w:rPr>
                <w:rFonts w:eastAsia="方正仿宋_GBK"/>
                <w:color w:val="auto"/>
                <w:sz w:val="24"/>
                <w:szCs w:val="24"/>
              </w:rPr>
            </w:pPr>
          </w:p>
        </w:tc>
        <w:tc>
          <w:tcPr>
            <w:tcW w:w="1560" w:type="dxa"/>
            <w:vAlign w:val="center"/>
          </w:tcPr>
          <w:p>
            <w:pPr>
              <w:tabs>
                <w:tab w:val="left" w:pos="6300"/>
              </w:tabs>
              <w:snapToGrid w:val="0"/>
              <w:spacing w:line="360" w:lineRule="auto"/>
              <w:jc w:val="center"/>
              <w:outlineLvl w:val="0"/>
              <w:rPr>
                <w:rFonts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tabs>
                <w:tab w:val="left" w:pos="6300"/>
              </w:tabs>
              <w:snapToGrid w:val="0"/>
              <w:spacing w:line="360" w:lineRule="auto"/>
              <w:jc w:val="center"/>
              <w:outlineLvl w:val="0"/>
              <w:rPr>
                <w:rFonts w:eastAsia="方正仿宋_GBK"/>
                <w:color w:val="auto"/>
                <w:sz w:val="24"/>
                <w:szCs w:val="24"/>
              </w:rPr>
            </w:pPr>
          </w:p>
        </w:tc>
        <w:tc>
          <w:tcPr>
            <w:tcW w:w="2835" w:type="dxa"/>
            <w:vAlign w:val="center"/>
          </w:tcPr>
          <w:p>
            <w:pPr>
              <w:tabs>
                <w:tab w:val="left" w:pos="6300"/>
              </w:tabs>
              <w:snapToGrid w:val="0"/>
              <w:spacing w:line="360" w:lineRule="auto"/>
              <w:jc w:val="center"/>
              <w:outlineLvl w:val="0"/>
              <w:rPr>
                <w:rFonts w:eastAsia="方正仿宋_GBK"/>
                <w:color w:val="auto"/>
                <w:sz w:val="24"/>
                <w:szCs w:val="24"/>
              </w:rPr>
            </w:pPr>
          </w:p>
        </w:tc>
        <w:tc>
          <w:tcPr>
            <w:tcW w:w="2976" w:type="dxa"/>
            <w:vAlign w:val="center"/>
          </w:tcPr>
          <w:p>
            <w:pPr>
              <w:tabs>
                <w:tab w:val="left" w:pos="6300"/>
              </w:tabs>
              <w:snapToGrid w:val="0"/>
              <w:spacing w:line="360" w:lineRule="auto"/>
              <w:jc w:val="center"/>
              <w:outlineLvl w:val="0"/>
              <w:rPr>
                <w:rFonts w:eastAsia="方正仿宋_GBK"/>
                <w:color w:val="auto"/>
                <w:sz w:val="24"/>
                <w:szCs w:val="24"/>
              </w:rPr>
            </w:pPr>
          </w:p>
        </w:tc>
        <w:tc>
          <w:tcPr>
            <w:tcW w:w="1560" w:type="dxa"/>
            <w:vAlign w:val="center"/>
          </w:tcPr>
          <w:p>
            <w:pPr>
              <w:tabs>
                <w:tab w:val="left" w:pos="6300"/>
              </w:tabs>
              <w:snapToGrid w:val="0"/>
              <w:spacing w:line="360" w:lineRule="auto"/>
              <w:jc w:val="center"/>
              <w:outlineLvl w:val="0"/>
              <w:rPr>
                <w:rFonts w:eastAsia="方正仿宋_GBK"/>
                <w:color w:val="auto"/>
                <w:sz w:val="24"/>
                <w:szCs w:val="24"/>
              </w:rPr>
            </w:pPr>
          </w:p>
        </w:tc>
      </w:tr>
    </w:tbl>
    <w:p>
      <w:pPr>
        <w:snapToGrid w:val="0"/>
        <w:spacing w:line="360" w:lineRule="auto"/>
        <w:ind w:firstLine="465"/>
        <w:rPr>
          <w:rFonts w:eastAsia="方正仿宋_GBK"/>
          <w:color w:val="auto"/>
          <w:sz w:val="24"/>
          <w:szCs w:val="24"/>
        </w:rPr>
      </w:pPr>
    </w:p>
    <w:p>
      <w:pPr>
        <w:spacing w:line="500" w:lineRule="exact"/>
        <w:ind w:firstLine="600" w:firstLineChars="250"/>
        <w:rPr>
          <w:rFonts w:eastAsia="方正仿宋_GBK"/>
          <w:color w:val="auto"/>
          <w:sz w:val="24"/>
          <w:szCs w:val="28"/>
        </w:rPr>
      </w:pPr>
      <w:r>
        <w:rPr>
          <w:rFonts w:eastAsia="方正仿宋_GBK"/>
          <w:color w:val="auto"/>
          <w:sz w:val="24"/>
          <w:szCs w:val="28"/>
        </w:rPr>
        <w:t>供应商：                                      法人授权代表：</w:t>
      </w:r>
    </w:p>
    <w:p>
      <w:pPr>
        <w:spacing w:line="500" w:lineRule="exact"/>
        <w:rPr>
          <w:rFonts w:eastAsia="方正仿宋_GBK"/>
          <w:color w:val="auto"/>
          <w:sz w:val="24"/>
          <w:szCs w:val="28"/>
        </w:rPr>
      </w:pPr>
      <w:r>
        <w:rPr>
          <w:rFonts w:eastAsia="方正仿宋_GBK"/>
          <w:color w:val="auto"/>
          <w:sz w:val="24"/>
          <w:szCs w:val="28"/>
        </w:rPr>
        <w:t xml:space="preserve">    </w:t>
      </w:r>
    </w:p>
    <w:p>
      <w:pPr>
        <w:spacing w:line="500" w:lineRule="exact"/>
        <w:ind w:firstLine="360" w:firstLineChars="150"/>
        <w:rPr>
          <w:rFonts w:eastAsia="方正仿宋_GBK"/>
          <w:color w:val="auto"/>
          <w:sz w:val="24"/>
          <w:szCs w:val="28"/>
        </w:rPr>
      </w:pPr>
      <w:r>
        <w:rPr>
          <w:rFonts w:eastAsia="方正仿宋_GBK"/>
          <w:color w:val="auto"/>
          <w:sz w:val="24"/>
          <w:szCs w:val="28"/>
        </w:rPr>
        <w:t>（供应商公章）                                 （签字或盖章）</w:t>
      </w:r>
    </w:p>
    <w:p>
      <w:pPr>
        <w:tabs>
          <w:tab w:val="left" w:pos="6300"/>
        </w:tabs>
        <w:snapToGrid w:val="0"/>
        <w:spacing w:line="500" w:lineRule="exact"/>
        <w:ind w:firstLine="570"/>
        <w:rPr>
          <w:rFonts w:eastAsia="方正仿宋_GBK"/>
          <w:color w:val="auto"/>
          <w:sz w:val="24"/>
        </w:rPr>
      </w:pPr>
      <w:r>
        <w:rPr>
          <w:rFonts w:eastAsia="方正仿宋_GBK"/>
          <w:color w:val="auto"/>
          <w:sz w:val="24"/>
          <w:szCs w:val="28"/>
        </w:rPr>
        <w:t xml:space="preserve">                                            年     月     日</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rPr>
        <w:t>注：</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szCs w:val="24"/>
        </w:rPr>
        <w:t>1</w:t>
      </w:r>
      <w:r>
        <w:rPr>
          <w:rFonts w:eastAsia="方正仿宋_GBK"/>
          <w:color w:val="auto"/>
          <w:sz w:val="24"/>
        </w:rPr>
        <w:t>、本表即为对本项目“第三篇项目  采购需求（商务要求）”中所列服务要求进行比较和响应；请投标人完整填写本表，没有填写或填列不完整的按无商务响应偏离表处理</w:t>
      </w:r>
      <w:r>
        <w:rPr>
          <w:rFonts w:hint="eastAsia" w:eastAsia="方正仿宋_GBK"/>
          <w:color w:val="auto"/>
          <w:sz w:val="24"/>
        </w:rPr>
        <w:t>，有多页的须逐页签字或盖章。</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eastAsia="方正仿宋_GBK"/>
          <w:color w:val="auto"/>
          <w:sz w:val="24"/>
        </w:rPr>
      </w:pPr>
      <w:r>
        <w:rPr>
          <w:rFonts w:eastAsia="方正仿宋_GBK"/>
          <w:color w:val="auto"/>
          <w:sz w:val="24"/>
        </w:rPr>
        <w:t>3、该表可扩展；</w:t>
      </w:r>
    </w:p>
    <w:p>
      <w:pPr>
        <w:snapToGrid w:val="0"/>
        <w:spacing w:line="400" w:lineRule="exact"/>
        <w:ind w:firstLine="480" w:firstLineChars="200"/>
        <w:rPr>
          <w:rFonts w:eastAsia="方正仿宋_GBK"/>
          <w:bCs/>
          <w:color w:val="auto"/>
          <w:sz w:val="24"/>
        </w:rPr>
      </w:pPr>
      <w:r>
        <w:rPr>
          <w:rFonts w:eastAsia="方正仿宋_GBK"/>
          <w:color w:val="auto"/>
          <w:sz w:val="24"/>
        </w:rPr>
        <w:t>4、若“响应情况”栏中仅填写“无偏离”或“有偏离”等内容而未作实质性参数描述，该供应商将</w:t>
      </w:r>
      <w:r>
        <w:rPr>
          <w:rFonts w:eastAsia="方正仿宋_GBK"/>
          <w:color w:val="auto"/>
          <w:sz w:val="24"/>
          <w:szCs w:val="24"/>
        </w:rPr>
        <w:t>失去成为成交供应商的资格，仅保留其合格供应商的身份。</w:t>
      </w:r>
    </w:p>
    <w:p>
      <w:pPr>
        <w:snapToGrid w:val="0"/>
        <w:spacing w:line="400" w:lineRule="exact"/>
        <w:ind w:firstLine="480" w:firstLineChars="200"/>
        <w:rPr>
          <w:rFonts w:eastAsia="方正仿宋_GBK"/>
          <w:bCs/>
          <w:color w:val="auto"/>
          <w:sz w:val="24"/>
        </w:rPr>
      </w:pPr>
      <w:r>
        <w:rPr>
          <w:rFonts w:eastAsia="方正仿宋_GBK"/>
          <w:bCs/>
          <w:color w:val="auto"/>
          <w:sz w:val="24"/>
        </w:rPr>
        <w:br w:type="page"/>
      </w:r>
      <w:r>
        <w:rPr>
          <w:rFonts w:eastAsia="方正仿宋_GBK"/>
          <w:bCs/>
          <w:color w:val="auto"/>
          <w:sz w:val="24"/>
        </w:rPr>
        <w:t>4、工期</w:t>
      </w:r>
    </w:p>
    <w:p>
      <w:pPr>
        <w:snapToGrid w:val="0"/>
        <w:spacing w:line="400" w:lineRule="exact"/>
        <w:ind w:firstLine="480" w:firstLineChars="200"/>
        <w:rPr>
          <w:rFonts w:eastAsia="方正仿宋_GBK"/>
          <w:bCs/>
          <w:color w:val="auto"/>
          <w:sz w:val="24"/>
        </w:rPr>
      </w:pPr>
      <w:r>
        <w:rPr>
          <w:rFonts w:eastAsia="方正仿宋_GBK"/>
          <w:bCs/>
          <w:color w:val="auto"/>
          <w:sz w:val="24"/>
        </w:rPr>
        <w:t>5、付款方式</w:t>
      </w:r>
    </w:p>
    <w:p>
      <w:pPr>
        <w:snapToGrid w:val="0"/>
        <w:spacing w:line="400" w:lineRule="exact"/>
        <w:ind w:firstLine="480" w:firstLineChars="200"/>
        <w:rPr>
          <w:rFonts w:eastAsia="方正仿宋_GBK"/>
          <w:bCs/>
          <w:color w:val="auto"/>
          <w:sz w:val="24"/>
        </w:rPr>
      </w:pPr>
      <w:r>
        <w:rPr>
          <w:rFonts w:eastAsia="方正仿宋_GBK"/>
          <w:bCs/>
          <w:color w:val="auto"/>
          <w:sz w:val="24"/>
        </w:rPr>
        <w:t>6、报价要求</w:t>
      </w:r>
    </w:p>
    <w:p>
      <w:pPr>
        <w:snapToGrid w:val="0"/>
        <w:spacing w:line="400" w:lineRule="exact"/>
        <w:ind w:firstLine="480" w:firstLineChars="200"/>
        <w:rPr>
          <w:rFonts w:eastAsia="方正仿宋_GBK"/>
          <w:bCs/>
          <w:color w:val="auto"/>
          <w:sz w:val="24"/>
        </w:rPr>
      </w:pPr>
      <w:r>
        <w:rPr>
          <w:rFonts w:eastAsia="方正仿宋_GBK"/>
          <w:bCs/>
          <w:color w:val="auto"/>
          <w:sz w:val="24"/>
        </w:rPr>
        <w:t>7、</w:t>
      </w:r>
      <w:r>
        <w:rPr>
          <w:rFonts w:hint="eastAsia" w:ascii="方正仿宋_GBK" w:hAnsi="宋体" w:eastAsia="方正仿宋_GBK" w:cs="宋体"/>
          <w:color w:val="auto"/>
          <w:kern w:val="0"/>
          <w:sz w:val="21"/>
          <w:szCs w:val="21"/>
        </w:rPr>
        <w:t>综合实力及技术能力</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8、人员配置</w:t>
      </w:r>
    </w:p>
    <w:p>
      <w:pPr>
        <w:snapToGrid w:val="0"/>
        <w:spacing w:line="400" w:lineRule="exact"/>
        <w:ind w:firstLine="480" w:firstLineChars="200"/>
        <w:rPr>
          <w:rFonts w:eastAsia="方正仿宋_GBK"/>
          <w:bCs/>
          <w:color w:val="auto"/>
          <w:sz w:val="24"/>
        </w:rPr>
      </w:pPr>
      <w:r>
        <w:rPr>
          <w:rFonts w:hint="eastAsia" w:eastAsia="方正仿宋_GBK"/>
          <w:bCs/>
          <w:color w:val="auto"/>
          <w:sz w:val="24"/>
        </w:rPr>
        <w:t>9、信用等级</w:t>
      </w:r>
    </w:p>
    <w:p>
      <w:pPr>
        <w:pStyle w:val="2"/>
        <w:rPr>
          <w:color w:val="auto"/>
        </w:rPr>
      </w:pPr>
      <w:r>
        <w:rPr>
          <w:rFonts w:hint="eastAsia" w:eastAsia="方正仿宋_GBK"/>
          <w:bCs/>
          <w:color w:val="auto"/>
          <w:sz w:val="24"/>
        </w:rPr>
        <w:t xml:space="preserve">   10、企业案例</w:t>
      </w:r>
    </w:p>
    <w:p>
      <w:pPr>
        <w:snapToGrid w:val="0"/>
        <w:spacing w:line="400" w:lineRule="exact"/>
        <w:ind w:firstLine="480" w:firstLineChars="200"/>
        <w:rPr>
          <w:rFonts w:eastAsia="方正仿宋_GBK"/>
          <w:bCs/>
          <w:color w:val="auto"/>
          <w:sz w:val="24"/>
        </w:rPr>
      </w:pPr>
    </w:p>
    <w:p>
      <w:pPr>
        <w:tabs>
          <w:tab w:val="left" w:pos="1764"/>
        </w:tabs>
        <w:snapToGrid w:val="0"/>
        <w:spacing w:line="400" w:lineRule="exact"/>
        <w:ind w:firstLine="482" w:firstLineChars="200"/>
        <w:rPr>
          <w:rFonts w:eastAsia="方正仿宋_GBK"/>
          <w:b/>
          <w:bCs/>
          <w:color w:val="auto"/>
          <w:sz w:val="24"/>
        </w:rPr>
      </w:pPr>
      <w:r>
        <w:rPr>
          <w:rFonts w:eastAsia="方正仿宋_GBK"/>
          <w:b/>
          <w:bCs/>
          <w:color w:val="auto"/>
          <w:sz w:val="24"/>
        </w:rPr>
        <w:t>（四）其他（包括但不限于以下内容）</w:t>
      </w:r>
    </w:p>
    <w:p>
      <w:pPr>
        <w:snapToGrid w:val="0"/>
        <w:spacing w:line="400" w:lineRule="exact"/>
        <w:ind w:firstLine="720" w:firstLineChars="300"/>
        <w:rPr>
          <w:rFonts w:eastAsia="方正仿宋_GBK"/>
          <w:bCs/>
          <w:color w:val="auto"/>
          <w:sz w:val="24"/>
        </w:rPr>
      </w:pPr>
      <w:r>
        <w:rPr>
          <w:rFonts w:eastAsia="方正仿宋_GBK"/>
          <w:bCs/>
          <w:color w:val="auto"/>
          <w:sz w:val="24"/>
        </w:rPr>
        <w:t>1、其他与项目有关的资料（自附）</w:t>
      </w:r>
    </w:p>
    <w:p>
      <w:pPr>
        <w:snapToGrid w:val="0"/>
        <w:spacing w:line="400" w:lineRule="exact"/>
        <w:ind w:firstLine="720" w:firstLineChars="300"/>
        <w:rPr>
          <w:rFonts w:eastAsia="方正仿宋_GBK"/>
          <w:bCs/>
          <w:color w:val="auto"/>
          <w:sz w:val="24"/>
        </w:rPr>
      </w:pPr>
      <w:r>
        <w:rPr>
          <w:rFonts w:hint="eastAsia" w:eastAsia="方正仿宋_GBK"/>
          <w:bCs/>
          <w:color w:val="auto"/>
          <w:sz w:val="24"/>
        </w:rPr>
        <w:t>响应供应商可根据竞争性磋商文件评审因素中的内容自行提供。</w:t>
      </w:r>
    </w:p>
    <w:p>
      <w:pPr>
        <w:spacing w:line="400" w:lineRule="exact"/>
        <w:ind w:firstLine="560" w:firstLineChars="200"/>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roma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7"/>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jc w:val="center"/>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89799"/>
    <w:multiLevelType w:val="singleLevel"/>
    <w:tmpl w:val="85789799"/>
    <w:lvl w:ilvl="0" w:tentative="0">
      <w:start w:val="8"/>
      <w:numFmt w:val="chineseCounting"/>
      <w:suff w:val="nothing"/>
      <w:lvlText w:val="（%1）"/>
      <w:lvlJc w:val="left"/>
      <w:rPr>
        <w:rFonts w:hint="eastAsia"/>
      </w:rPr>
    </w:lvl>
  </w:abstractNum>
  <w:abstractNum w:abstractNumId="1">
    <w:nsid w:val="96188F57"/>
    <w:multiLevelType w:val="singleLevel"/>
    <w:tmpl w:val="96188F57"/>
    <w:lvl w:ilvl="0" w:tentative="0">
      <w:start w:val="1"/>
      <w:numFmt w:val="decimal"/>
      <w:lvlText w:val="%1."/>
      <w:lvlJc w:val="left"/>
      <w:pPr>
        <w:tabs>
          <w:tab w:val="left" w:pos="312"/>
        </w:tabs>
      </w:pPr>
    </w:lvl>
  </w:abstractNum>
  <w:abstractNum w:abstractNumId="2">
    <w:nsid w:val="5A7D0EAC"/>
    <w:multiLevelType w:val="singleLevel"/>
    <w:tmpl w:val="5A7D0EAC"/>
    <w:lvl w:ilvl="0" w:tentative="0">
      <w:start w:val="5"/>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YjVkMmI0YjQxMGIxOGMzM2UzZGUzYjhjYWVlNzAifQ=="/>
  </w:docVars>
  <w:rsids>
    <w:rsidRoot w:val="45BC3E1A"/>
    <w:rsid w:val="00000F32"/>
    <w:rsid w:val="00026B63"/>
    <w:rsid w:val="0005212E"/>
    <w:rsid w:val="000863A1"/>
    <w:rsid w:val="000974A7"/>
    <w:rsid w:val="000A56E4"/>
    <w:rsid w:val="000D2387"/>
    <w:rsid w:val="001001C0"/>
    <w:rsid w:val="00102EA2"/>
    <w:rsid w:val="00103B1D"/>
    <w:rsid w:val="001042BD"/>
    <w:rsid w:val="001076B9"/>
    <w:rsid w:val="00132055"/>
    <w:rsid w:val="00136E4C"/>
    <w:rsid w:val="001558E6"/>
    <w:rsid w:val="00157C83"/>
    <w:rsid w:val="00165279"/>
    <w:rsid w:val="00173200"/>
    <w:rsid w:val="001B78E4"/>
    <w:rsid w:val="001B7BE1"/>
    <w:rsid w:val="001C3695"/>
    <w:rsid w:val="001D2743"/>
    <w:rsid w:val="00217FB8"/>
    <w:rsid w:val="002556B6"/>
    <w:rsid w:val="00271464"/>
    <w:rsid w:val="00286ADA"/>
    <w:rsid w:val="002913E8"/>
    <w:rsid w:val="002A6F6B"/>
    <w:rsid w:val="002B3640"/>
    <w:rsid w:val="002C1C43"/>
    <w:rsid w:val="002C61FD"/>
    <w:rsid w:val="002F6AB5"/>
    <w:rsid w:val="00306F8D"/>
    <w:rsid w:val="003227AA"/>
    <w:rsid w:val="00362B96"/>
    <w:rsid w:val="00365AED"/>
    <w:rsid w:val="00370546"/>
    <w:rsid w:val="003915D3"/>
    <w:rsid w:val="003A0FFC"/>
    <w:rsid w:val="003A1A26"/>
    <w:rsid w:val="003B3522"/>
    <w:rsid w:val="003C4E88"/>
    <w:rsid w:val="003C778C"/>
    <w:rsid w:val="003D257D"/>
    <w:rsid w:val="003E6C6C"/>
    <w:rsid w:val="004320F8"/>
    <w:rsid w:val="0043377D"/>
    <w:rsid w:val="0043689E"/>
    <w:rsid w:val="00445D6D"/>
    <w:rsid w:val="00456962"/>
    <w:rsid w:val="0049219A"/>
    <w:rsid w:val="00494009"/>
    <w:rsid w:val="004A2228"/>
    <w:rsid w:val="004C051D"/>
    <w:rsid w:val="004C082D"/>
    <w:rsid w:val="004E6237"/>
    <w:rsid w:val="00507396"/>
    <w:rsid w:val="0053050F"/>
    <w:rsid w:val="0053056C"/>
    <w:rsid w:val="00534DDA"/>
    <w:rsid w:val="005407B2"/>
    <w:rsid w:val="00540CA1"/>
    <w:rsid w:val="00560239"/>
    <w:rsid w:val="00566AF4"/>
    <w:rsid w:val="0058274F"/>
    <w:rsid w:val="00591AA0"/>
    <w:rsid w:val="005B3DC9"/>
    <w:rsid w:val="005D0F6B"/>
    <w:rsid w:val="005F312E"/>
    <w:rsid w:val="00622478"/>
    <w:rsid w:val="006758A0"/>
    <w:rsid w:val="006837B8"/>
    <w:rsid w:val="006967E4"/>
    <w:rsid w:val="006A1CDA"/>
    <w:rsid w:val="006A5BD8"/>
    <w:rsid w:val="006D1037"/>
    <w:rsid w:val="006F22FA"/>
    <w:rsid w:val="00715D4D"/>
    <w:rsid w:val="0073129D"/>
    <w:rsid w:val="0074775C"/>
    <w:rsid w:val="00751327"/>
    <w:rsid w:val="007517F9"/>
    <w:rsid w:val="007676EF"/>
    <w:rsid w:val="0078495C"/>
    <w:rsid w:val="0079054A"/>
    <w:rsid w:val="00795E9B"/>
    <w:rsid w:val="007A4355"/>
    <w:rsid w:val="007B18EA"/>
    <w:rsid w:val="007B7383"/>
    <w:rsid w:val="007C7BDD"/>
    <w:rsid w:val="007E1C0B"/>
    <w:rsid w:val="007E5F95"/>
    <w:rsid w:val="00813E76"/>
    <w:rsid w:val="00817867"/>
    <w:rsid w:val="00853858"/>
    <w:rsid w:val="00865A35"/>
    <w:rsid w:val="00886739"/>
    <w:rsid w:val="008A479E"/>
    <w:rsid w:val="008B389E"/>
    <w:rsid w:val="008D7EFC"/>
    <w:rsid w:val="008E5636"/>
    <w:rsid w:val="00902A62"/>
    <w:rsid w:val="00920D78"/>
    <w:rsid w:val="00927AF0"/>
    <w:rsid w:val="00941C21"/>
    <w:rsid w:val="00951B99"/>
    <w:rsid w:val="0097569D"/>
    <w:rsid w:val="009762FD"/>
    <w:rsid w:val="00994FC2"/>
    <w:rsid w:val="009A0CC8"/>
    <w:rsid w:val="009D01DF"/>
    <w:rsid w:val="009D2710"/>
    <w:rsid w:val="009D43A1"/>
    <w:rsid w:val="009D74C9"/>
    <w:rsid w:val="009F1811"/>
    <w:rsid w:val="00A271BB"/>
    <w:rsid w:val="00A621F5"/>
    <w:rsid w:val="00A70903"/>
    <w:rsid w:val="00AB29CA"/>
    <w:rsid w:val="00AD7682"/>
    <w:rsid w:val="00AE61B9"/>
    <w:rsid w:val="00B122B2"/>
    <w:rsid w:val="00B33320"/>
    <w:rsid w:val="00B50E5F"/>
    <w:rsid w:val="00B92AC0"/>
    <w:rsid w:val="00B943E4"/>
    <w:rsid w:val="00BB67DC"/>
    <w:rsid w:val="00BF0D3B"/>
    <w:rsid w:val="00BF1FEE"/>
    <w:rsid w:val="00BF44CE"/>
    <w:rsid w:val="00BF7ACE"/>
    <w:rsid w:val="00C03357"/>
    <w:rsid w:val="00C336FA"/>
    <w:rsid w:val="00C51AF2"/>
    <w:rsid w:val="00C57E08"/>
    <w:rsid w:val="00C61E46"/>
    <w:rsid w:val="00C96654"/>
    <w:rsid w:val="00CA3191"/>
    <w:rsid w:val="00CB6810"/>
    <w:rsid w:val="00CC6227"/>
    <w:rsid w:val="00CD66A3"/>
    <w:rsid w:val="00CF2855"/>
    <w:rsid w:val="00D023E8"/>
    <w:rsid w:val="00D05BCF"/>
    <w:rsid w:val="00D1195A"/>
    <w:rsid w:val="00D164AC"/>
    <w:rsid w:val="00D43AE2"/>
    <w:rsid w:val="00D678C2"/>
    <w:rsid w:val="00D75441"/>
    <w:rsid w:val="00DA4470"/>
    <w:rsid w:val="00E0374D"/>
    <w:rsid w:val="00E07507"/>
    <w:rsid w:val="00E12B11"/>
    <w:rsid w:val="00E37D2C"/>
    <w:rsid w:val="00E5392D"/>
    <w:rsid w:val="00E53D5A"/>
    <w:rsid w:val="00E57CFD"/>
    <w:rsid w:val="00E749AA"/>
    <w:rsid w:val="00E8308E"/>
    <w:rsid w:val="00EA05B7"/>
    <w:rsid w:val="00EA1C5C"/>
    <w:rsid w:val="00EA2DD6"/>
    <w:rsid w:val="00ED2BEE"/>
    <w:rsid w:val="00EF0779"/>
    <w:rsid w:val="00F02AD5"/>
    <w:rsid w:val="00F2540C"/>
    <w:rsid w:val="00F31B90"/>
    <w:rsid w:val="00F42CC8"/>
    <w:rsid w:val="00F55444"/>
    <w:rsid w:val="00F8337D"/>
    <w:rsid w:val="00FB6938"/>
    <w:rsid w:val="00FC5391"/>
    <w:rsid w:val="00FD2E9A"/>
    <w:rsid w:val="00FE1DDE"/>
    <w:rsid w:val="012F314C"/>
    <w:rsid w:val="01D02E2A"/>
    <w:rsid w:val="04371D7D"/>
    <w:rsid w:val="054503B9"/>
    <w:rsid w:val="06A5669C"/>
    <w:rsid w:val="07801B08"/>
    <w:rsid w:val="0AE41BA8"/>
    <w:rsid w:val="10720905"/>
    <w:rsid w:val="13302D29"/>
    <w:rsid w:val="13B517AE"/>
    <w:rsid w:val="13BB127B"/>
    <w:rsid w:val="13E8223A"/>
    <w:rsid w:val="154630F9"/>
    <w:rsid w:val="15686F6C"/>
    <w:rsid w:val="1625445D"/>
    <w:rsid w:val="1CA7512C"/>
    <w:rsid w:val="1CDA0902"/>
    <w:rsid w:val="217112FD"/>
    <w:rsid w:val="23A44173"/>
    <w:rsid w:val="25A83451"/>
    <w:rsid w:val="283F26BC"/>
    <w:rsid w:val="28C63642"/>
    <w:rsid w:val="29844790"/>
    <w:rsid w:val="2C3C6F30"/>
    <w:rsid w:val="2DCE214F"/>
    <w:rsid w:val="32D560F7"/>
    <w:rsid w:val="337448E7"/>
    <w:rsid w:val="34B95F28"/>
    <w:rsid w:val="36842B89"/>
    <w:rsid w:val="36956CB8"/>
    <w:rsid w:val="36D82506"/>
    <w:rsid w:val="39E011C7"/>
    <w:rsid w:val="3B911FE4"/>
    <w:rsid w:val="3C507CC3"/>
    <w:rsid w:val="3EBC63BD"/>
    <w:rsid w:val="41A564AF"/>
    <w:rsid w:val="45BC3E1A"/>
    <w:rsid w:val="49A7715E"/>
    <w:rsid w:val="53397218"/>
    <w:rsid w:val="53FD04B9"/>
    <w:rsid w:val="55BB6491"/>
    <w:rsid w:val="5AC13BE9"/>
    <w:rsid w:val="5AC85E0E"/>
    <w:rsid w:val="5C387A6F"/>
    <w:rsid w:val="5D8729E4"/>
    <w:rsid w:val="5E416325"/>
    <w:rsid w:val="5E6A14A8"/>
    <w:rsid w:val="60B64B85"/>
    <w:rsid w:val="6103217A"/>
    <w:rsid w:val="65291D2D"/>
    <w:rsid w:val="68A437B0"/>
    <w:rsid w:val="690B6F93"/>
    <w:rsid w:val="692B1315"/>
    <w:rsid w:val="69A27DD9"/>
    <w:rsid w:val="69FA78E6"/>
    <w:rsid w:val="6A6B5FCF"/>
    <w:rsid w:val="6E9E003C"/>
    <w:rsid w:val="6FB92292"/>
    <w:rsid w:val="703B4AE4"/>
    <w:rsid w:val="710B0442"/>
    <w:rsid w:val="72EB10B8"/>
    <w:rsid w:val="781410EB"/>
    <w:rsid w:val="78711418"/>
    <w:rsid w:val="7D342FE7"/>
    <w:rsid w:val="7F297FB5"/>
    <w:rsid w:val="7F86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2"/>
    <w:basedOn w:val="1"/>
    <w:next w:val="1"/>
    <w:qFormat/>
    <w:uiPriority w:val="39"/>
    <w:pPr>
      <w:tabs>
        <w:tab w:val="right" w:leader="dot" w:pos="8400"/>
      </w:tabs>
      <w:spacing w:line="440" w:lineRule="exact"/>
      <w:ind w:left="280" w:leftChars="100" w:right="-91" w:rightChars="-91"/>
    </w:pPr>
  </w:style>
  <w:style w:type="character" w:styleId="12">
    <w:name w:val="page number"/>
    <w:basedOn w:val="11"/>
    <w:qFormat/>
    <w:uiPriority w:val="0"/>
  </w:style>
  <w:style w:type="paragraph" w:customStyle="1" w:styleId="13">
    <w:name w:val="Heading2"/>
    <w:basedOn w:val="1"/>
    <w:next w:val="14"/>
    <w:qFormat/>
    <w:uiPriority w:val="0"/>
    <w:pPr>
      <w:keepNext/>
      <w:keepLines/>
      <w:spacing w:before="260" w:after="260" w:line="416" w:lineRule="auto"/>
      <w:textAlignment w:val="baseline"/>
    </w:pPr>
    <w:rPr>
      <w:rFonts w:ascii="Arial" w:hAnsi="Arial" w:eastAsia="黑体"/>
      <w:b/>
      <w:bCs/>
      <w:color w:val="000000"/>
      <w:sz w:val="32"/>
      <w:szCs w:val="32"/>
      <w:lang w:eastAsia="en-US" w:bidi="en-US"/>
    </w:rPr>
  </w:style>
  <w:style w:type="paragraph" w:customStyle="1" w:styleId="14">
    <w:name w:val="UserStyle_0"/>
    <w:basedOn w:val="1"/>
    <w:qFormat/>
    <w:uiPriority w:val="0"/>
    <w:pPr>
      <w:spacing w:line="312" w:lineRule="atLeast"/>
      <w:ind w:firstLine="567"/>
      <w:textAlignment w:val="baseline"/>
    </w:pPr>
    <w:rPr>
      <w:rFonts w:ascii="长城仿宋" w:eastAsia="长城仿宋"/>
      <w:color w:val="000000"/>
      <w:kern w:val="0"/>
      <w:lang w:eastAsia="en-US" w:bidi="en-US"/>
    </w:rPr>
  </w:style>
  <w:style w:type="paragraph" w:customStyle="1" w:styleId="15">
    <w:name w:val="1"/>
    <w:basedOn w:val="1"/>
    <w:next w:val="5"/>
    <w:qFormat/>
    <w:uiPriority w:val="0"/>
    <w:rPr>
      <w:rFonts w:ascii="宋体" w:hAnsi="Courier New"/>
      <w:sz w:val="21"/>
    </w:rPr>
  </w:style>
  <w:style w:type="paragraph" w:styleId="16">
    <w:name w:val="List Paragraph"/>
    <w:basedOn w:val="1"/>
    <w:qFormat/>
    <w:uiPriority w:val="99"/>
    <w:pPr>
      <w:ind w:firstLine="420" w:firstLineChars="200"/>
    </w:pPr>
  </w:style>
  <w:style w:type="paragraph" w:customStyle="1" w:styleId="17">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沙区交委</Company>
  <Pages>33</Pages>
  <Words>2139</Words>
  <Characters>12195</Characters>
  <Lines>101</Lines>
  <Paragraphs>28</Paragraphs>
  <TotalTime>167</TotalTime>
  <ScaleCrop>false</ScaleCrop>
  <LinksUpToDate>false</LinksUpToDate>
  <CharactersWithSpaces>14306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2022-05-16T09:57:00Z</dcterms:created>
  <dc:creator>罗韦宁</dc:creator>
  <cp:lastModifiedBy>wangh</cp:lastModifiedBy>
  <cp:lastPrinted>2025-05-07T06:39:00Z</cp:lastPrinted>
  <dcterms:modified xsi:type="dcterms:W3CDTF">2025-05-14T08:14:18Z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F0C8C713858D4913A802B9F7DD340359_13</vt:lpwstr>
  </property>
</Properties>
</file>