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B3514">
      <w:pPr>
        <w:spacing w:line="594" w:lineRule="exact"/>
        <w:outlineLvl w:val="0"/>
        <w:rPr>
          <w:rFonts w:ascii="Times New Roman" w:hAnsi="Times New Roman" w:eastAsia="方正黑体_GBK"/>
          <w:sz w:val="32"/>
          <w:szCs w:val="32"/>
        </w:rPr>
      </w:pPr>
      <w:bookmarkStart w:id="3" w:name="_GoBack"/>
      <w:bookmarkEnd w:id="3"/>
      <w:r>
        <w:rPr>
          <w:rFonts w:ascii="Times New Roman" w:hAnsi="Times New Roman" w:eastAsia="方正黑体_GBK"/>
          <w:sz w:val="32"/>
          <w:szCs w:val="32"/>
        </w:rPr>
        <w:t>附件</w:t>
      </w:r>
      <w:r>
        <w:rPr>
          <w:rFonts w:hint="eastAsia" w:ascii="Times New Roman" w:hAnsi="Times New Roman" w:eastAsia="方正黑体_GBK"/>
          <w:sz w:val="32"/>
          <w:szCs w:val="32"/>
        </w:rPr>
        <w:t>2</w:t>
      </w:r>
    </w:p>
    <w:p w14:paraId="3DD8A7B3">
      <w:pPr>
        <w:spacing w:line="240" w:lineRule="auto"/>
        <w:rPr>
          <w:rFonts w:ascii="Times New Roman" w:hAnsi="Times New Roman" w:eastAsia="方正黑体_GBK"/>
          <w:sz w:val="32"/>
          <w:szCs w:val="32"/>
        </w:rPr>
      </w:pPr>
    </w:p>
    <w:p w14:paraId="616D2B6A">
      <w:pPr>
        <w:spacing w:line="580" w:lineRule="exact"/>
        <w:jc w:val="center"/>
        <w:rPr>
          <w:rFonts w:ascii="Times New Roman" w:hAnsi="Times New Roman" w:eastAsia="方正小标宋_GBK"/>
          <w:sz w:val="44"/>
          <w:szCs w:val="44"/>
        </w:rPr>
      </w:pPr>
      <w:r>
        <w:rPr>
          <w:rFonts w:ascii="Times New Roman" w:hAnsi="Times New Roman" w:eastAsia="方正小标宋_GBK"/>
          <w:sz w:val="44"/>
          <w:szCs w:val="44"/>
        </w:rPr>
        <w:t>限额以下自行采购综合评分标准</w:t>
      </w:r>
    </w:p>
    <w:p w14:paraId="5D5EF489">
      <w:pPr>
        <w:spacing w:line="580" w:lineRule="exact"/>
        <w:ind w:firstLine="640" w:firstLineChars="200"/>
        <w:rPr>
          <w:rFonts w:ascii="Times New Roman" w:hAnsi="Times New Roman" w:eastAsia="方正黑体_GBK"/>
          <w:sz w:val="32"/>
          <w:szCs w:val="32"/>
        </w:rPr>
      </w:pPr>
    </w:p>
    <w:p w14:paraId="2610FDDF">
      <w:pPr>
        <w:spacing w:line="58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一</w:t>
      </w:r>
      <w:r>
        <w:rPr>
          <w:rFonts w:ascii="Times New Roman" w:hAnsi="Times New Roman" w:eastAsia="方正黑体_GBK"/>
          <w:sz w:val="32"/>
          <w:szCs w:val="32"/>
        </w:rPr>
        <w:t>、供应商资格条件</w:t>
      </w:r>
    </w:p>
    <w:p w14:paraId="325CC661">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1.在中华人民共和国境内注册，具有独立法人资格。</w:t>
      </w:r>
    </w:p>
    <w:p w14:paraId="652BFC06">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2.参选单位三年内无重大违法记录、具备良好的商业信誉。经查</w:t>
      </w:r>
      <w:r>
        <w:rPr>
          <w:rFonts w:hint="eastAsia" w:ascii="Times New Roman" w:hAnsi="Times New Roman" w:eastAsia="方正仿宋_GBK"/>
          <w:sz w:val="32"/>
          <w:szCs w:val="32"/>
        </w:rPr>
        <w:t>“</w:t>
      </w:r>
      <w:r>
        <w:rPr>
          <w:rFonts w:ascii="Times New Roman" w:hAnsi="Times New Roman" w:eastAsia="方正仿宋_GBK"/>
          <w:sz w:val="32"/>
          <w:szCs w:val="32"/>
        </w:rPr>
        <w:t>信用中国</w:t>
      </w:r>
      <w:r>
        <w:rPr>
          <w:rFonts w:hint="eastAsia" w:ascii="Times New Roman" w:hAnsi="Times New Roman" w:eastAsia="方正仿宋_GBK"/>
          <w:sz w:val="32"/>
          <w:szCs w:val="32"/>
        </w:rPr>
        <w:t>”</w:t>
      </w:r>
      <w:r>
        <w:rPr>
          <w:rFonts w:ascii="Times New Roman" w:hAnsi="Times New Roman" w:eastAsia="方正仿宋_GBK"/>
          <w:sz w:val="32"/>
          <w:szCs w:val="32"/>
        </w:rPr>
        <w:t>网站、</w:t>
      </w:r>
      <w:r>
        <w:rPr>
          <w:rFonts w:hint="eastAsia" w:ascii="Times New Roman" w:hAnsi="Times New Roman" w:eastAsia="方正仿宋_GBK"/>
          <w:sz w:val="32"/>
          <w:szCs w:val="32"/>
        </w:rPr>
        <w:t>“</w:t>
      </w:r>
      <w:r>
        <w:rPr>
          <w:rFonts w:ascii="Times New Roman" w:hAnsi="Times New Roman" w:eastAsia="方正仿宋_GBK"/>
          <w:sz w:val="32"/>
          <w:szCs w:val="32"/>
        </w:rPr>
        <w:t>信用重庆</w:t>
      </w:r>
      <w:r>
        <w:rPr>
          <w:rFonts w:hint="eastAsia" w:ascii="Times New Roman" w:hAnsi="Times New Roman" w:eastAsia="方正仿宋_GBK"/>
          <w:sz w:val="32"/>
          <w:szCs w:val="32"/>
        </w:rPr>
        <w:t>”</w:t>
      </w:r>
      <w:r>
        <w:rPr>
          <w:rFonts w:ascii="Times New Roman" w:hAnsi="Times New Roman" w:eastAsia="方正仿宋_GBK"/>
          <w:sz w:val="32"/>
          <w:szCs w:val="32"/>
        </w:rPr>
        <w:t>网站，凡列入失信联合惩戒对象名单和重点关注对象名单的单位、项目负责人及团队成员不得参与本次项目。</w:t>
      </w:r>
    </w:p>
    <w:p w14:paraId="2EA79A66">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3.参与单位还应在人员、业绩等方面具有相应的能力，详见《项目比选评分参考标准》。</w:t>
      </w:r>
    </w:p>
    <w:p w14:paraId="0F2CD51F">
      <w:pPr>
        <w:spacing w:line="580" w:lineRule="exact"/>
        <w:ind w:firstLine="640" w:firstLineChars="200"/>
        <w:rPr>
          <w:rFonts w:ascii="Times New Roman" w:hAnsi="Times New Roman" w:eastAsia="方正黑体_GBK"/>
          <w:sz w:val="32"/>
          <w:szCs w:val="32"/>
        </w:rPr>
      </w:pPr>
      <w:bookmarkStart w:id="0" w:name="_Toc106030889"/>
      <w:bookmarkStart w:id="1" w:name="_Toc76462334"/>
      <w:bookmarkStart w:id="2" w:name="_Toc3111"/>
      <w:r>
        <w:rPr>
          <w:rFonts w:hint="eastAsia" w:ascii="Times New Roman" w:hAnsi="Times New Roman" w:eastAsia="方正黑体_GBK"/>
          <w:sz w:val="32"/>
          <w:szCs w:val="32"/>
        </w:rPr>
        <w:t>二</w:t>
      </w:r>
      <w:r>
        <w:rPr>
          <w:rFonts w:ascii="Times New Roman" w:hAnsi="Times New Roman" w:eastAsia="方正黑体_GBK"/>
          <w:sz w:val="32"/>
          <w:szCs w:val="32"/>
        </w:rPr>
        <w:t>、项目比选评</w:t>
      </w:r>
      <w:bookmarkEnd w:id="0"/>
      <w:bookmarkEnd w:id="1"/>
      <w:r>
        <w:rPr>
          <w:rFonts w:ascii="Times New Roman" w:hAnsi="Times New Roman" w:eastAsia="方正黑体_GBK"/>
          <w:sz w:val="32"/>
          <w:szCs w:val="32"/>
        </w:rPr>
        <w:t>分参考标准</w:t>
      </w:r>
      <w:bookmarkEnd w:id="2"/>
    </w:p>
    <w:tbl>
      <w:tblPr>
        <w:tblStyle w:val="8"/>
        <w:tblW w:w="525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6"/>
        <w:gridCol w:w="16"/>
        <w:gridCol w:w="1040"/>
        <w:gridCol w:w="509"/>
        <w:gridCol w:w="525"/>
        <w:gridCol w:w="5563"/>
        <w:gridCol w:w="1592"/>
      </w:tblGrid>
      <w:tr w14:paraId="08DEF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235"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049C59EF">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rPr>
              <w:t>序号</w:t>
            </w:r>
          </w:p>
        </w:tc>
        <w:tc>
          <w:tcPr>
            <w:tcW w:w="806" w:type="pct"/>
            <w:gridSpan w:val="3"/>
            <w:tcBorders>
              <w:top w:val="single" w:color="000000" w:sz="8" w:space="0"/>
              <w:left w:val="single" w:color="000000" w:sz="8" w:space="0"/>
              <w:bottom w:val="single" w:color="000000" w:sz="8" w:space="0"/>
              <w:right w:val="single" w:color="000000" w:sz="8" w:space="0"/>
              <w:tl2br w:val="nil"/>
              <w:tr2bl w:val="nil"/>
            </w:tcBorders>
            <w:noWrap w:val="0"/>
            <w:vAlign w:val="center"/>
          </w:tcPr>
          <w:p w14:paraId="753A2CD6">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rPr>
              <w:t>评分因素及权值</w:t>
            </w:r>
          </w:p>
        </w:tc>
        <w:tc>
          <w:tcPr>
            <w:tcW w:w="270"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0900D250">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rPr>
              <w:t>分值</w:t>
            </w:r>
          </w:p>
        </w:tc>
        <w:tc>
          <w:tcPr>
            <w:tcW w:w="2867"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17488346">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rPr>
              <w:t>评分标准</w:t>
            </w:r>
          </w:p>
        </w:tc>
        <w:tc>
          <w:tcPr>
            <w:tcW w:w="820"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04BFC0BC">
            <w:pPr>
              <w:widowControl/>
              <w:spacing w:beforeLines="0" w:afterLines="0"/>
              <w:jc w:val="center"/>
              <w:textAlignment w:val="center"/>
              <w:rPr>
                <w:rFonts w:hint="default" w:ascii="Times New Roman" w:hAnsi="Times New Roman" w:cs="Times New Roman"/>
                <w:b/>
                <w:color w:val="000000"/>
                <w:sz w:val="24"/>
                <w:szCs w:val="24"/>
              </w:rPr>
            </w:pPr>
            <w:r>
              <w:rPr>
                <w:rFonts w:hint="default" w:ascii="Times New Roman" w:hAnsi="Times New Roman" w:cs="Times New Roman"/>
                <w:b/>
                <w:color w:val="000000"/>
                <w:kern w:val="0"/>
                <w:sz w:val="24"/>
                <w:szCs w:val="24"/>
              </w:rPr>
              <w:t>说明</w:t>
            </w:r>
          </w:p>
        </w:tc>
      </w:tr>
      <w:tr w14:paraId="4A1BC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6" w:hRule="atLeast"/>
        </w:trPr>
        <w:tc>
          <w:tcPr>
            <w:tcW w:w="243" w:type="pct"/>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14:paraId="01B2A94D">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cs="Times New Roman"/>
                <w:b/>
                <w:color w:val="000000"/>
                <w:kern w:val="0"/>
                <w:sz w:val="24"/>
                <w:szCs w:val="24"/>
              </w:rPr>
            </w:pPr>
            <w:r>
              <w:rPr>
                <w:rFonts w:hint="default" w:ascii="Times New Roman" w:hAnsi="Times New Roman" w:cs="Times New Roman"/>
                <w:b w:val="0"/>
                <w:bCs/>
                <w:color w:val="000000"/>
                <w:kern w:val="0"/>
                <w:sz w:val="24"/>
                <w:szCs w:val="24"/>
              </w:rPr>
              <w:t>1</w:t>
            </w:r>
          </w:p>
        </w:tc>
        <w:tc>
          <w:tcPr>
            <w:tcW w:w="536"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1FB9B51E">
            <w:pPr>
              <w:keepNext w:val="0"/>
              <w:keepLines w:val="0"/>
              <w:pageBreakBefore w:val="0"/>
              <w:kinsoku/>
              <w:wordWrap/>
              <w:overflowPunct/>
              <w:topLinePunct w:val="0"/>
              <w:autoSpaceDE/>
              <w:autoSpaceDN/>
              <w:bidi w:val="0"/>
              <w:adjustRightInd/>
              <w:snapToGrid/>
              <w:spacing w:beforeLines="0" w:afterLines="0" w:line="300" w:lineRule="exact"/>
              <w:ind w:firstLine="28"/>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投标报价</w:t>
            </w:r>
          </w:p>
          <w:p w14:paraId="6CBC7C50">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b/>
                <w:color w:val="000000"/>
                <w:kern w:val="0"/>
                <w:sz w:val="24"/>
                <w:szCs w:val="24"/>
              </w:rPr>
            </w:pPr>
            <w:r>
              <w:rPr>
                <w:rFonts w:hint="default" w:ascii="Times New Roman" w:hAnsi="Times New Roman" w:eastAsia="方正仿宋_GBK" w:cs="Times New Roman"/>
                <w:color w:val="000000"/>
                <w:sz w:val="24"/>
                <w:szCs w:val="24"/>
              </w:rPr>
              <w:t>（10%）</w:t>
            </w:r>
          </w:p>
        </w:tc>
        <w:tc>
          <w:tcPr>
            <w:tcW w:w="262"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500A9A57">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价格</w:t>
            </w:r>
          </w:p>
        </w:tc>
        <w:tc>
          <w:tcPr>
            <w:tcW w:w="270"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23940EFC">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b/>
                <w:color w:val="000000"/>
                <w:kern w:val="0"/>
                <w:sz w:val="24"/>
                <w:szCs w:val="24"/>
              </w:rPr>
            </w:pPr>
            <w:r>
              <w:rPr>
                <w:rFonts w:hint="default" w:ascii="Times New Roman" w:hAnsi="Times New Roman" w:eastAsia="方正仿宋_GBK" w:cs="Times New Roman"/>
                <w:color w:val="000000"/>
                <w:sz w:val="24"/>
                <w:szCs w:val="24"/>
              </w:rPr>
              <w:t>10分</w:t>
            </w:r>
          </w:p>
        </w:tc>
        <w:tc>
          <w:tcPr>
            <w:tcW w:w="2867"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384450FB">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有效的投标报价中的最低价为评标基准价，按照下列公式计算每个投标人的投标价格得分。</w:t>
            </w:r>
          </w:p>
          <w:p w14:paraId="2265E629">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b/>
                <w:color w:val="000000"/>
                <w:kern w:val="0"/>
                <w:sz w:val="24"/>
                <w:szCs w:val="24"/>
              </w:rPr>
            </w:pPr>
            <w:r>
              <w:rPr>
                <w:rFonts w:hint="default" w:ascii="Times New Roman" w:hAnsi="Times New Roman" w:eastAsia="方正仿宋_GBK" w:cs="Times New Roman"/>
                <w:color w:val="000000"/>
                <w:sz w:val="24"/>
                <w:szCs w:val="24"/>
              </w:rPr>
              <w:t>投标报价得分＝（评标基准价/投标报价）×10%×100。</w:t>
            </w:r>
          </w:p>
        </w:tc>
        <w:tc>
          <w:tcPr>
            <w:tcW w:w="820" w:type="pct"/>
            <w:tcBorders>
              <w:top w:val="single" w:color="000000" w:sz="8" w:space="0"/>
              <w:left w:val="single" w:color="000000" w:sz="8" w:space="0"/>
              <w:bottom w:val="single" w:color="000000" w:sz="8" w:space="0"/>
              <w:right w:val="single" w:color="000000" w:sz="8" w:space="0"/>
              <w:tl2br w:val="nil"/>
              <w:tr2bl w:val="nil"/>
            </w:tcBorders>
            <w:noWrap w:val="0"/>
            <w:vAlign w:val="center"/>
          </w:tcPr>
          <w:p w14:paraId="2211030D">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b/>
                <w:color w:val="000000"/>
                <w:kern w:val="0"/>
                <w:sz w:val="24"/>
                <w:szCs w:val="24"/>
              </w:rPr>
            </w:pPr>
            <w:r>
              <w:rPr>
                <w:rFonts w:hint="default" w:ascii="Times New Roman" w:hAnsi="Times New Roman" w:eastAsia="方正仿宋_GBK" w:cs="Times New Roman"/>
                <w:color w:val="000000"/>
                <w:sz w:val="24"/>
                <w:szCs w:val="24"/>
              </w:rPr>
              <w:t>以供应商最终报价作为评审依据</w:t>
            </w:r>
          </w:p>
        </w:tc>
      </w:tr>
      <w:tr w14:paraId="566A7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35" w:type="pct"/>
            <w:vMerge w:val="restart"/>
            <w:tcBorders>
              <w:top w:val="nil"/>
              <w:left w:val="single" w:color="000000" w:sz="8" w:space="0"/>
              <w:bottom w:val="nil"/>
              <w:right w:val="single" w:color="000000" w:sz="4" w:space="0"/>
              <w:tl2br w:val="nil"/>
              <w:tr2bl w:val="nil"/>
            </w:tcBorders>
            <w:noWrap w:val="0"/>
            <w:vAlign w:val="center"/>
          </w:tcPr>
          <w:p w14:paraId="06D3B428">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kern w:val="0"/>
                <w:sz w:val="24"/>
                <w:szCs w:val="24"/>
              </w:rPr>
              <w:t>2</w:t>
            </w:r>
          </w:p>
        </w:tc>
        <w:tc>
          <w:tcPr>
            <w:tcW w:w="544" w:type="pct"/>
            <w:gridSpan w:val="2"/>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41F5E2">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技术评分（</w:t>
            </w:r>
            <w:r>
              <w:rPr>
                <w:rFonts w:hint="eastAsia" w:eastAsia="方正仿宋_GBK" w:cs="Times New Roman"/>
                <w:color w:val="000000"/>
                <w:kern w:val="0"/>
                <w:sz w:val="24"/>
                <w:szCs w:val="24"/>
                <w:lang w:val="en-US" w:eastAsia="zh-CN"/>
              </w:rPr>
              <w:t>70</w:t>
            </w:r>
            <w:r>
              <w:rPr>
                <w:rFonts w:hint="default" w:ascii="Times New Roman" w:hAnsi="Times New Roman" w:eastAsia="方正仿宋_GBK" w:cs="Times New Roman"/>
                <w:color w:val="000000"/>
                <w:kern w:val="0"/>
                <w:sz w:val="24"/>
                <w:szCs w:val="24"/>
              </w:rPr>
              <w:t>%）</w:t>
            </w:r>
          </w:p>
        </w:tc>
        <w:tc>
          <w:tcPr>
            <w:tcW w:w="262"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5041E11">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功能架构</w:t>
            </w:r>
          </w:p>
        </w:tc>
        <w:tc>
          <w:tcPr>
            <w:tcW w:w="270"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E582D0">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20分</w:t>
            </w:r>
          </w:p>
        </w:tc>
        <w:tc>
          <w:tcPr>
            <w:tcW w:w="2867"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E436BA">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根据所投产品的功能和技术参数响应情况进行打分：</w:t>
            </w:r>
            <w:r>
              <w:rPr>
                <w:rFonts w:hint="default" w:ascii="Times New Roman" w:hAnsi="Times New Roman" w:eastAsia="方正仿宋_GBK" w:cs="Times New Roman"/>
                <w:color w:val="auto"/>
                <w:kern w:val="0"/>
                <w:sz w:val="24"/>
                <w:szCs w:val="24"/>
              </w:rPr>
              <w:br w:type="textWrapping"/>
            </w:r>
            <w:r>
              <w:rPr>
                <w:rFonts w:hint="eastAsia" w:eastAsia="方正仿宋_GBK" w:cs="Times New Roman"/>
                <w:color w:val="auto"/>
                <w:kern w:val="0"/>
                <w:sz w:val="24"/>
                <w:szCs w:val="24"/>
                <w:lang w:val="en-US" w:eastAsia="zh-CN"/>
              </w:rPr>
              <w:t>在现有</w:t>
            </w:r>
            <w:r>
              <w:rPr>
                <w:rFonts w:hint="default" w:ascii="Times New Roman" w:hAnsi="Times New Roman" w:eastAsia="方正仿宋_GBK" w:cs="Times New Roman"/>
                <w:color w:val="auto"/>
                <w:kern w:val="0"/>
                <w:sz w:val="24"/>
                <w:szCs w:val="24"/>
              </w:rPr>
              <w:t>交易中心业务系统及场地系统的基础</w:t>
            </w:r>
            <w:r>
              <w:rPr>
                <w:rFonts w:hint="eastAsia" w:eastAsia="方正仿宋_GBK" w:cs="Times New Roman"/>
                <w:color w:val="auto"/>
                <w:kern w:val="0"/>
                <w:sz w:val="24"/>
                <w:szCs w:val="24"/>
                <w:lang w:eastAsia="zh-CN"/>
              </w:rPr>
              <w:t>、心跳检测、‌预约交易场地、‌保证金业务、‌保证金回调、政府采购模块、‌分散及限额以下采购模块、‌保证金管理模块、限额以下保证金管理模块</w:t>
            </w:r>
            <w:r>
              <w:rPr>
                <w:rFonts w:hint="eastAsia" w:eastAsia="方正仿宋_GBK" w:cs="Times New Roman"/>
                <w:color w:val="auto"/>
                <w:kern w:val="0"/>
                <w:sz w:val="24"/>
                <w:szCs w:val="24"/>
                <w:lang w:val="en-US" w:eastAsia="zh-CN"/>
              </w:rPr>
              <w:t>等全流程功能架构设计</w:t>
            </w:r>
            <w:r>
              <w:rPr>
                <w:rFonts w:hint="eastAsia"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，同时</w:t>
            </w:r>
            <w:r>
              <w:rPr>
                <w:rFonts w:hint="eastAsia" w:eastAsia="方正仿宋_GBK" w:cs="Times New Roman"/>
                <w:color w:val="auto"/>
                <w:kern w:val="0"/>
                <w:sz w:val="24"/>
                <w:szCs w:val="24"/>
                <w:lang w:val="en-US" w:eastAsia="zh-CN"/>
              </w:rPr>
              <w:t>满足</w:t>
            </w:r>
            <w:r>
              <w:rPr>
                <w:rFonts w:hint="default" w:ascii="Times New Roman" w:hAnsi="Times New Roman" w:eastAsia="方正仿宋_GBK" w:cs="Times New Roman"/>
                <w:color w:val="auto"/>
                <w:kern w:val="0"/>
                <w:sz w:val="24"/>
                <w:szCs w:val="24"/>
              </w:rPr>
              <w:t>与重庆政府采购交易管理系统、政府采购一件事应用作数据对接，所有数据必须存储在财政局服务器，完全符合要求没有负偏离的得20分；以此分值为基础，有负偏离的每项扣4分，扣完为止。</w:t>
            </w:r>
          </w:p>
        </w:tc>
        <w:tc>
          <w:tcPr>
            <w:tcW w:w="820" w:type="pct"/>
            <w:vMerge w:val="restart"/>
            <w:tcBorders>
              <w:top w:val="single" w:color="000000" w:sz="8" w:space="0"/>
              <w:left w:val="single" w:color="000000" w:sz="4" w:space="0"/>
              <w:bottom w:val="single" w:color="000000" w:sz="8" w:space="0"/>
              <w:right w:val="single" w:color="000000" w:sz="8" w:space="0"/>
              <w:tl2br w:val="nil"/>
              <w:tr2bl w:val="nil"/>
            </w:tcBorders>
            <w:noWrap w:val="0"/>
            <w:vAlign w:val="center"/>
          </w:tcPr>
          <w:p w14:paraId="73C8AE27">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提供技术方案，以满足需求条件为准。</w:t>
            </w:r>
          </w:p>
        </w:tc>
      </w:tr>
      <w:tr w14:paraId="019E4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35" w:type="pct"/>
            <w:vMerge w:val="continue"/>
            <w:tcBorders>
              <w:top w:val="nil"/>
              <w:left w:val="single" w:color="000000" w:sz="8" w:space="0"/>
              <w:bottom w:val="nil"/>
              <w:right w:val="single" w:color="000000" w:sz="4" w:space="0"/>
              <w:tl2br w:val="nil"/>
              <w:tr2bl w:val="nil"/>
            </w:tcBorders>
            <w:noWrap w:val="0"/>
            <w:vAlign w:val="center"/>
          </w:tcPr>
          <w:p w14:paraId="33DD8BE1">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cs="Times New Roman"/>
                <w:color w:val="000000"/>
                <w:sz w:val="24"/>
                <w:szCs w:val="24"/>
              </w:rPr>
            </w:pPr>
          </w:p>
        </w:tc>
        <w:tc>
          <w:tcPr>
            <w:tcW w:w="544" w:type="pct"/>
            <w:gridSpan w:val="2"/>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AC3408">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eastAsia="方正仿宋_GBK" w:cs="Times New Roman"/>
                <w:color w:val="000000"/>
                <w:sz w:val="24"/>
                <w:szCs w:val="24"/>
              </w:rPr>
            </w:pPr>
          </w:p>
        </w:tc>
        <w:tc>
          <w:tcPr>
            <w:tcW w:w="262" w:type="pct"/>
            <w:vMerge w:val="continue"/>
            <w:tcBorders>
              <w:top w:val="single" w:color="000000" w:sz="4" w:space="0"/>
              <w:left w:val="single" w:color="000000" w:sz="4" w:space="0"/>
              <w:bottom w:val="single" w:color="auto" w:sz="4" w:space="0"/>
              <w:right w:val="single" w:color="000000" w:sz="4" w:space="0"/>
              <w:tl2br w:val="nil"/>
              <w:tr2bl w:val="nil"/>
            </w:tcBorders>
            <w:noWrap w:val="0"/>
            <w:vAlign w:val="center"/>
          </w:tcPr>
          <w:p w14:paraId="1367517C">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p>
        </w:tc>
        <w:tc>
          <w:tcPr>
            <w:tcW w:w="270" w:type="pct"/>
            <w:vMerge w:val="continue"/>
            <w:tcBorders>
              <w:top w:val="single" w:color="000000" w:sz="4" w:space="0"/>
              <w:left w:val="single" w:color="000000" w:sz="4" w:space="0"/>
              <w:bottom w:val="single" w:color="auto" w:sz="4" w:space="0"/>
              <w:right w:val="single" w:color="000000" w:sz="4" w:space="0"/>
              <w:tl2br w:val="nil"/>
              <w:tr2bl w:val="nil"/>
            </w:tcBorders>
            <w:noWrap w:val="0"/>
            <w:vAlign w:val="center"/>
          </w:tcPr>
          <w:p w14:paraId="30591EAF">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eastAsia="方正仿宋_GBK" w:cs="Times New Roman"/>
                <w:color w:val="000000"/>
                <w:sz w:val="24"/>
                <w:szCs w:val="24"/>
              </w:rPr>
            </w:pPr>
          </w:p>
        </w:tc>
        <w:tc>
          <w:tcPr>
            <w:tcW w:w="2867" w:type="pct"/>
            <w:vMerge w:val="continue"/>
            <w:tcBorders>
              <w:top w:val="single" w:color="000000" w:sz="4" w:space="0"/>
              <w:left w:val="single" w:color="000000" w:sz="4" w:space="0"/>
              <w:bottom w:val="single" w:color="auto" w:sz="4" w:space="0"/>
              <w:right w:val="single" w:color="000000" w:sz="4" w:space="0"/>
              <w:tl2br w:val="nil"/>
              <w:tr2bl w:val="nil"/>
            </w:tcBorders>
            <w:noWrap w:val="0"/>
            <w:vAlign w:val="center"/>
          </w:tcPr>
          <w:p w14:paraId="0CF1DFB8">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p>
        </w:tc>
        <w:tc>
          <w:tcPr>
            <w:tcW w:w="820" w:type="pct"/>
            <w:vMerge w:val="continue"/>
            <w:tcBorders>
              <w:top w:val="single" w:color="000000" w:sz="8" w:space="0"/>
              <w:left w:val="single" w:color="000000" w:sz="4" w:space="0"/>
              <w:bottom w:val="single" w:color="auto" w:sz="4" w:space="0"/>
              <w:right w:val="single" w:color="000000" w:sz="8" w:space="0"/>
              <w:tl2br w:val="nil"/>
              <w:tr2bl w:val="nil"/>
            </w:tcBorders>
            <w:noWrap w:val="0"/>
            <w:vAlign w:val="center"/>
          </w:tcPr>
          <w:p w14:paraId="4D54AE2A">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p>
        </w:tc>
      </w:tr>
      <w:tr w14:paraId="48517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235" w:type="pct"/>
            <w:vMerge w:val="continue"/>
            <w:tcBorders>
              <w:top w:val="nil"/>
              <w:left w:val="single" w:color="000000" w:sz="8" w:space="0"/>
              <w:bottom w:val="nil"/>
              <w:right w:val="single" w:color="000000" w:sz="4" w:space="0"/>
              <w:tl2br w:val="nil"/>
              <w:tr2bl w:val="nil"/>
            </w:tcBorders>
            <w:noWrap w:val="0"/>
            <w:vAlign w:val="center"/>
          </w:tcPr>
          <w:p w14:paraId="24CC3621">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cs="Times New Roman"/>
                <w:color w:val="000000"/>
                <w:sz w:val="24"/>
                <w:szCs w:val="24"/>
              </w:rPr>
            </w:pPr>
          </w:p>
        </w:tc>
        <w:tc>
          <w:tcPr>
            <w:tcW w:w="544" w:type="pct"/>
            <w:gridSpan w:val="2"/>
            <w:vMerge w:val="continue"/>
            <w:tcBorders>
              <w:top w:val="single" w:color="000000" w:sz="4" w:space="0"/>
              <w:left w:val="single" w:color="000000" w:sz="4" w:space="0"/>
              <w:bottom w:val="single" w:color="000000" w:sz="4" w:space="0"/>
              <w:right w:val="single" w:color="auto" w:sz="4" w:space="0"/>
              <w:tl2br w:val="nil"/>
              <w:tr2bl w:val="nil"/>
            </w:tcBorders>
            <w:noWrap w:val="0"/>
            <w:vAlign w:val="center"/>
          </w:tcPr>
          <w:p w14:paraId="33741434">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eastAsia="方正仿宋_GBK" w:cs="Times New Roman"/>
                <w:color w:val="000000"/>
                <w:sz w:val="24"/>
                <w:szCs w:val="24"/>
              </w:rPr>
            </w:pPr>
          </w:p>
        </w:tc>
        <w:tc>
          <w:tcPr>
            <w:tcW w:w="262"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EF988ED">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技术设计</w:t>
            </w:r>
          </w:p>
        </w:tc>
        <w:tc>
          <w:tcPr>
            <w:tcW w:w="270"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DA02F78">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000000"/>
                <w:sz w:val="24"/>
                <w:szCs w:val="24"/>
              </w:rPr>
            </w:pPr>
            <w:r>
              <w:rPr>
                <w:rFonts w:hint="eastAsia" w:eastAsia="方正仿宋_GBK" w:cs="Times New Roman"/>
                <w:color w:val="000000"/>
                <w:kern w:val="0"/>
                <w:sz w:val="24"/>
                <w:szCs w:val="24"/>
                <w:lang w:val="en-US" w:eastAsia="zh-CN"/>
              </w:rPr>
              <w:t>30</w:t>
            </w:r>
            <w:r>
              <w:rPr>
                <w:rFonts w:hint="default" w:ascii="Times New Roman" w:hAnsi="Times New Roman" w:eastAsia="方正仿宋_GBK" w:cs="Times New Roman"/>
                <w:color w:val="000000"/>
                <w:kern w:val="0"/>
                <w:sz w:val="24"/>
                <w:szCs w:val="24"/>
              </w:rPr>
              <w:t>分</w:t>
            </w:r>
          </w:p>
        </w:tc>
        <w:tc>
          <w:tcPr>
            <w:tcW w:w="28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ADD54C">
            <w:pPr>
              <w:keepNext w:val="0"/>
              <w:keepLines w:val="0"/>
              <w:pageBreakBefore w:val="0"/>
              <w:widowControl/>
              <w:numPr>
                <w:ilvl w:val="0"/>
                <w:numId w:val="2"/>
              </w:numPr>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产品总体设计方案</w:t>
            </w:r>
            <w:r>
              <w:rPr>
                <w:rFonts w:hint="eastAsia" w:eastAsia="方正仿宋_GBK" w:cs="Times New Roman"/>
                <w:color w:val="000000"/>
                <w:kern w:val="0"/>
                <w:sz w:val="24"/>
                <w:szCs w:val="24"/>
                <w:lang w:val="en-US" w:eastAsia="zh-CN"/>
              </w:rPr>
              <w:t>10</w:t>
            </w:r>
            <w:r>
              <w:rPr>
                <w:rFonts w:hint="default" w:ascii="Times New Roman" w:hAnsi="Times New Roman" w:eastAsia="方正仿宋_GBK" w:cs="Times New Roman"/>
                <w:color w:val="000000"/>
                <w:kern w:val="0"/>
                <w:sz w:val="24"/>
                <w:szCs w:val="24"/>
              </w:rPr>
              <w:t>分：包括系统架构完整性、功能完善性、可持续发展等方面横向评比。</w:t>
            </w:r>
          </w:p>
          <w:p w14:paraId="63E69193">
            <w:pPr>
              <w:keepNext w:val="0"/>
              <w:keepLines w:val="0"/>
              <w:pageBreakBefore w:val="0"/>
              <w:widowControl/>
              <w:numPr>
                <w:ilvl w:val="0"/>
                <w:numId w:val="0"/>
              </w:numPr>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方案内容不存在瑕疵得</w:t>
            </w:r>
            <w:r>
              <w:rPr>
                <w:rFonts w:hint="eastAsia" w:eastAsia="方正仿宋_GBK" w:cs="Times New Roman"/>
                <w:color w:val="000000"/>
                <w:kern w:val="0"/>
                <w:sz w:val="24"/>
                <w:szCs w:val="24"/>
                <w:lang w:val="en-US" w:eastAsia="zh-CN"/>
              </w:rPr>
              <w:t>10</w:t>
            </w:r>
            <w:r>
              <w:rPr>
                <w:rFonts w:hint="default" w:ascii="Times New Roman" w:hAnsi="Times New Roman" w:eastAsia="方正仿宋_GBK" w:cs="Times New Roman"/>
                <w:color w:val="000000"/>
                <w:kern w:val="0"/>
                <w:sz w:val="24"/>
                <w:szCs w:val="24"/>
              </w:rPr>
              <w:t>分，</w:t>
            </w:r>
          </w:p>
          <w:p w14:paraId="03DFF8CD">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方案内容存在1处瑕疵得</w:t>
            </w:r>
            <w:r>
              <w:rPr>
                <w:rFonts w:hint="eastAsia" w:eastAsia="方正仿宋_GBK" w:cs="Times New Roman"/>
                <w:color w:val="000000"/>
                <w:kern w:val="0"/>
                <w:sz w:val="24"/>
                <w:szCs w:val="24"/>
                <w:lang w:val="en-US" w:eastAsia="zh-CN"/>
              </w:rPr>
              <w:t>7</w:t>
            </w:r>
            <w:r>
              <w:rPr>
                <w:rFonts w:hint="default" w:ascii="Times New Roman" w:hAnsi="Times New Roman" w:eastAsia="方正仿宋_GBK" w:cs="Times New Roman"/>
                <w:color w:val="000000"/>
                <w:kern w:val="0"/>
                <w:sz w:val="24"/>
                <w:szCs w:val="24"/>
              </w:rPr>
              <w:t>分，</w:t>
            </w:r>
          </w:p>
          <w:p w14:paraId="37097BA7">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方案内容存在2处瑕疵得</w:t>
            </w:r>
            <w:r>
              <w:rPr>
                <w:rFonts w:hint="eastAsia" w:eastAsia="方正仿宋_GBK" w:cs="Times New Roman"/>
                <w:color w:val="000000"/>
                <w:kern w:val="0"/>
                <w:sz w:val="24"/>
                <w:szCs w:val="24"/>
                <w:lang w:val="en-US" w:eastAsia="zh-CN"/>
              </w:rPr>
              <w:t>4</w:t>
            </w:r>
            <w:r>
              <w:rPr>
                <w:rFonts w:hint="default" w:ascii="Times New Roman" w:hAnsi="Times New Roman" w:eastAsia="方正仿宋_GBK" w:cs="Times New Roman"/>
                <w:color w:val="000000"/>
                <w:kern w:val="0"/>
                <w:sz w:val="24"/>
                <w:szCs w:val="24"/>
              </w:rPr>
              <w:t>分，</w:t>
            </w:r>
          </w:p>
          <w:p w14:paraId="4E602F0B">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方案内容存在3处瑕疵得1分，</w:t>
            </w:r>
          </w:p>
          <w:p w14:paraId="1164D15E">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方案内容存在4处瑕疵及以上瑕疵或未提供得0分。</w:t>
            </w:r>
          </w:p>
        </w:tc>
        <w:tc>
          <w:tcPr>
            <w:tcW w:w="820"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7E5A2B0">
            <w:pPr>
              <w:keepNext w:val="0"/>
              <w:keepLines w:val="0"/>
              <w:pageBreakBefore w:val="0"/>
              <w:kinsoku/>
              <w:wordWrap/>
              <w:overflowPunct/>
              <w:topLinePunct w:val="0"/>
              <w:autoSpaceDE/>
              <w:autoSpaceDN/>
              <w:bidi w:val="0"/>
              <w:adjustRightInd/>
              <w:snapToGrid/>
              <w:spacing w:beforeLines="0" w:afterLines="0" w:line="300" w:lineRule="exact"/>
              <w:ind w:left="-38"/>
              <w:rPr>
                <w:rFonts w:hint="default" w:ascii="Times New Roman" w:hAnsi="Times New Roman" w:eastAsia="方正仿宋_GBK" w:cs="Times New Roman"/>
                <w:sz w:val="24"/>
                <w:szCs w:val="24"/>
              </w:rPr>
            </w:pPr>
            <w:r>
              <w:rPr>
                <w:rFonts w:hint="default" w:ascii="Times New Roman" w:hAnsi="Times New Roman" w:eastAsia="方正仿宋_GBK" w:cs="Times New Roman"/>
                <w:color w:val="000000"/>
                <w:kern w:val="0"/>
                <w:sz w:val="24"/>
                <w:szCs w:val="24"/>
              </w:rPr>
              <w:t>提供详细方案。</w:t>
            </w:r>
            <w:r>
              <w:rPr>
                <w:rFonts w:hint="default" w:ascii="Times New Roman" w:hAnsi="Times New Roman" w:eastAsia="方正仿宋_GBK" w:cs="Times New Roman"/>
                <w:color w:val="000000"/>
                <w:kern w:val="0"/>
                <w:sz w:val="24"/>
                <w:szCs w:val="24"/>
              </w:rPr>
              <w:br w:type="textWrapping"/>
            </w:r>
            <w:r>
              <w:rPr>
                <w:rFonts w:hint="default" w:ascii="Times New Roman" w:hAnsi="Times New Roman" w:eastAsia="方正仿宋_GBK" w:cs="Times New Roman"/>
                <w:sz w:val="24"/>
                <w:szCs w:val="24"/>
                <w:lang w:bidi="ar"/>
              </w:rPr>
              <w:t>注：本项内容中所称的“瑕疵”指以下内容：</w:t>
            </w:r>
          </w:p>
          <w:p w14:paraId="522F2FED">
            <w:pPr>
              <w:keepNext w:val="0"/>
              <w:keepLines w:val="0"/>
              <w:pageBreakBefore w:val="0"/>
              <w:kinsoku/>
              <w:wordWrap/>
              <w:overflowPunct/>
              <w:topLinePunct w:val="0"/>
              <w:autoSpaceDE/>
              <w:autoSpaceDN/>
              <w:bidi w:val="0"/>
              <w:adjustRightInd/>
              <w:snapToGrid/>
              <w:spacing w:beforeLines="0" w:afterLines="0" w:line="300" w:lineRule="exact"/>
              <w:ind w:left="-3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bidi="ar"/>
              </w:rPr>
              <w:t>①方案内容表述不完整或描述过于简略；</w:t>
            </w:r>
          </w:p>
          <w:p w14:paraId="55C34501">
            <w:pPr>
              <w:keepNext w:val="0"/>
              <w:keepLines w:val="0"/>
              <w:pageBreakBefore w:val="0"/>
              <w:kinsoku/>
              <w:wordWrap/>
              <w:overflowPunct/>
              <w:topLinePunct w:val="0"/>
              <w:autoSpaceDE/>
              <w:autoSpaceDN/>
              <w:bidi w:val="0"/>
              <w:adjustRightInd/>
              <w:snapToGrid/>
              <w:spacing w:beforeLines="0" w:afterLines="0" w:line="300" w:lineRule="exact"/>
              <w:ind w:left="-3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bidi="ar"/>
              </w:rPr>
              <w:t>②方案不能满足项目要求、方案与实际情况不符、表述不清晰；</w:t>
            </w:r>
          </w:p>
          <w:p w14:paraId="0566540F">
            <w:pPr>
              <w:keepNext w:val="0"/>
              <w:keepLines w:val="0"/>
              <w:pageBreakBefore w:val="0"/>
              <w:kinsoku/>
              <w:wordWrap/>
              <w:overflowPunct/>
              <w:topLinePunct w:val="0"/>
              <w:autoSpaceDE/>
              <w:autoSpaceDN/>
              <w:bidi w:val="0"/>
              <w:adjustRightInd/>
              <w:snapToGrid/>
              <w:spacing w:beforeLines="0" w:afterLines="0" w:line="300" w:lineRule="exact"/>
              <w:ind w:left="-3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bidi="ar"/>
              </w:rPr>
              <w:t>③内容表述前后矛盾、无连贯性、内容存在逻辑漏洞、凭空编造、出现套用其他项目方案、内容出现前后不一致现象；</w:t>
            </w:r>
          </w:p>
          <w:p w14:paraId="2268B278">
            <w:pPr>
              <w:keepNext w:val="0"/>
              <w:keepLines w:val="0"/>
              <w:pageBreakBefore w:val="0"/>
              <w:kinsoku/>
              <w:wordWrap/>
              <w:overflowPunct/>
              <w:topLinePunct w:val="0"/>
              <w:autoSpaceDE/>
              <w:autoSpaceDN/>
              <w:bidi w:val="0"/>
              <w:adjustRightInd/>
              <w:snapToGrid/>
              <w:spacing w:beforeLines="0" w:afterLines="0" w:line="300" w:lineRule="exact"/>
              <w:ind w:left="-3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bidi="ar"/>
              </w:rPr>
              <w:t>④常识性错误；</w:t>
            </w:r>
          </w:p>
          <w:p w14:paraId="1E607B2B">
            <w:pPr>
              <w:keepNext w:val="0"/>
              <w:keepLines w:val="0"/>
              <w:pageBreakBefore w:val="0"/>
              <w:kinsoku/>
              <w:wordWrap/>
              <w:overflowPunct/>
              <w:topLinePunct w:val="0"/>
              <w:autoSpaceDE/>
              <w:autoSpaceDN/>
              <w:bidi w:val="0"/>
              <w:adjustRightInd/>
              <w:snapToGrid/>
              <w:spacing w:beforeLines="0" w:afterLines="0" w:line="300" w:lineRule="exact"/>
              <w:ind w:left="-3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bidi="ar"/>
              </w:rPr>
              <w:t>⑤涉及的规范及标准出现错误、不符合本项目的采购需求或不适用本项目特性或非专门针对本项目制定；</w:t>
            </w:r>
          </w:p>
          <w:p w14:paraId="0403E588">
            <w:pPr>
              <w:keepNext w:val="0"/>
              <w:keepLines w:val="0"/>
              <w:pageBreakBefore w:val="0"/>
              <w:kinsoku/>
              <w:wordWrap/>
              <w:overflowPunct/>
              <w:topLinePunct w:val="0"/>
              <w:autoSpaceDE/>
              <w:autoSpaceDN/>
              <w:bidi w:val="0"/>
              <w:adjustRightInd/>
              <w:snapToGrid/>
              <w:spacing w:beforeLines="0" w:afterLines="0" w:line="300" w:lineRule="exact"/>
              <w:ind w:left="-3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bidi="ar"/>
              </w:rPr>
              <w:t>⑥方案中提出的措施举措不利于本项目目标的实现；</w:t>
            </w:r>
          </w:p>
          <w:p w14:paraId="00397878">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sz w:val="24"/>
                <w:szCs w:val="24"/>
                <w:lang w:bidi="ar"/>
              </w:rPr>
            </w:pPr>
            <w:r>
              <w:rPr>
                <w:rFonts w:hint="default" w:ascii="Times New Roman" w:hAnsi="Times New Roman" w:eastAsia="方正仿宋_GBK" w:cs="Times New Roman"/>
                <w:sz w:val="24"/>
                <w:szCs w:val="24"/>
                <w:lang w:bidi="ar"/>
              </w:rPr>
              <w:t>上述任意一种情形为1处瑕疵。</w:t>
            </w:r>
          </w:p>
          <w:p w14:paraId="524A18C1">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kern w:val="0"/>
                <w:sz w:val="24"/>
                <w:szCs w:val="24"/>
              </w:rPr>
              <w:t>提供详细培训方案</w:t>
            </w:r>
            <w:r>
              <w:rPr>
                <w:rFonts w:hint="default" w:ascii="Times New Roman" w:hAnsi="Times New Roman" w:eastAsia="方正仿宋_GBK" w:cs="Times New Roman"/>
                <w:color w:val="000000"/>
                <w:kern w:val="0"/>
                <w:sz w:val="24"/>
                <w:szCs w:val="24"/>
                <w:lang w:eastAsia="zh-CN"/>
              </w:rPr>
              <w:t>。</w:t>
            </w:r>
          </w:p>
        </w:tc>
      </w:tr>
      <w:tr w14:paraId="0CD07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235" w:type="pct"/>
            <w:vMerge w:val="continue"/>
            <w:tcBorders>
              <w:top w:val="nil"/>
              <w:left w:val="single" w:color="000000" w:sz="8" w:space="0"/>
              <w:bottom w:val="nil"/>
              <w:right w:val="single" w:color="000000" w:sz="4" w:space="0"/>
              <w:tl2br w:val="nil"/>
              <w:tr2bl w:val="nil"/>
            </w:tcBorders>
            <w:noWrap w:val="0"/>
            <w:vAlign w:val="center"/>
          </w:tcPr>
          <w:p w14:paraId="36DAF9BA">
            <w:pPr>
              <w:keepNext w:val="0"/>
              <w:keepLines w:val="0"/>
              <w:pageBreakBefore w:val="0"/>
              <w:kinsoku/>
              <w:wordWrap/>
              <w:overflowPunct/>
              <w:topLinePunct w:val="0"/>
              <w:autoSpaceDE/>
              <w:autoSpaceDN/>
              <w:bidi w:val="0"/>
              <w:adjustRightInd/>
              <w:snapToGrid/>
              <w:spacing w:beforeLines="0" w:afterLines="0" w:line="300" w:lineRule="exact"/>
              <w:jc w:val="center"/>
              <w:rPr>
                <w:rFonts w:hint="eastAsia" w:ascii="宋体" w:hAnsi="宋体" w:cs="宋体"/>
                <w:color w:val="000000"/>
                <w:sz w:val="24"/>
                <w:szCs w:val="24"/>
              </w:rPr>
            </w:pPr>
          </w:p>
        </w:tc>
        <w:tc>
          <w:tcPr>
            <w:tcW w:w="544" w:type="pct"/>
            <w:gridSpan w:val="2"/>
            <w:vMerge w:val="continue"/>
            <w:tcBorders>
              <w:top w:val="single" w:color="000000" w:sz="4" w:space="0"/>
              <w:left w:val="single" w:color="000000" w:sz="4" w:space="0"/>
              <w:bottom w:val="single" w:color="000000" w:sz="4" w:space="0"/>
              <w:right w:val="single" w:color="auto" w:sz="4" w:space="0"/>
              <w:tl2br w:val="nil"/>
              <w:tr2bl w:val="nil"/>
            </w:tcBorders>
            <w:noWrap w:val="0"/>
            <w:vAlign w:val="center"/>
          </w:tcPr>
          <w:p w14:paraId="7224C4CD">
            <w:pPr>
              <w:keepNext w:val="0"/>
              <w:keepLines w:val="0"/>
              <w:pageBreakBefore w:val="0"/>
              <w:kinsoku/>
              <w:wordWrap/>
              <w:overflowPunct/>
              <w:topLinePunct w:val="0"/>
              <w:autoSpaceDE/>
              <w:autoSpaceDN/>
              <w:bidi w:val="0"/>
              <w:adjustRightInd/>
              <w:snapToGrid/>
              <w:spacing w:beforeLines="0" w:afterLines="0" w:line="300" w:lineRule="exact"/>
              <w:jc w:val="center"/>
              <w:rPr>
                <w:rFonts w:hint="eastAsia" w:ascii="宋体" w:hAnsi="宋体" w:cs="宋体"/>
                <w:color w:val="000000"/>
                <w:sz w:val="24"/>
                <w:szCs w:val="24"/>
              </w:rPr>
            </w:pPr>
          </w:p>
        </w:tc>
        <w:tc>
          <w:tcPr>
            <w:tcW w:w="262" w:type="pct"/>
            <w:vMerge w:val="continue"/>
            <w:tcBorders>
              <w:top w:val="single" w:color="auto" w:sz="4" w:space="0"/>
              <w:left w:val="single" w:color="auto" w:sz="4" w:space="0"/>
              <w:bottom w:val="single" w:color="000000" w:sz="4" w:space="0"/>
              <w:right w:val="single" w:color="000000" w:sz="4" w:space="0"/>
              <w:tl2br w:val="nil"/>
              <w:tr2bl w:val="nil"/>
            </w:tcBorders>
            <w:noWrap w:val="0"/>
            <w:vAlign w:val="center"/>
          </w:tcPr>
          <w:p w14:paraId="5748CF2E">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p>
        </w:tc>
        <w:tc>
          <w:tcPr>
            <w:tcW w:w="270" w:type="pct"/>
            <w:vMerge w:val="continue"/>
            <w:tcBorders>
              <w:top w:val="single" w:color="auto" w:sz="4" w:space="0"/>
              <w:left w:val="single" w:color="000000" w:sz="4" w:space="0"/>
              <w:bottom w:val="single" w:color="000000" w:sz="4" w:space="0"/>
              <w:right w:val="single" w:color="000000" w:sz="4" w:space="0"/>
              <w:tl2br w:val="nil"/>
              <w:tr2bl w:val="nil"/>
            </w:tcBorders>
            <w:noWrap w:val="0"/>
            <w:vAlign w:val="center"/>
          </w:tcPr>
          <w:p w14:paraId="108EF040">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eastAsia="方正仿宋_GBK" w:cs="Times New Roman"/>
                <w:color w:val="000000"/>
                <w:sz w:val="24"/>
                <w:szCs w:val="24"/>
              </w:rPr>
            </w:pPr>
          </w:p>
        </w:tc>
        <w:tc>
          <w:tcPr>
            <w:tcW w:w="2867" w:type="pct"/>
            <w:tcBorders>
              <w:top w:val="single" w:color="auto" w:sz="4" w:space="0"/>
              <w:left w:val="single" w:color="000000" w:sz="4" w:space="0"/>
              <w:bottom w:val="single" w:color="000000" w:sz="4" w:space="0"/>
              <w:right w:val="single" w:color="000000" w:sz="4" w:space="0"/>
              <w:tl2br w:val="nil"/>
              <w:tr2bl w:val="nil"/>
            </w:tcBorders>
            <w:noWrap w:val="0"/>
            <w:vAlign w:val="center"/>
          </w:tcPr>
          <w:p w14:paraId="52CE896A">
            <w:pPr>
              <w:keepNext w:val="0"/>
              <w:keepLines w:val="0"/>
              <w:pageBreakBefore w:val="0"/>
              <w:widowControl/>
              <w:numPr>
                <w:ilvl w:val="0"/>
                <w:numId w:val="0"/>
              </w:numPr>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2.技术方案</w:t>
            </w:r>
            <w:r>
              <w:rPr>
                <w:rFonts w:hint="eastAsia" w:eastAsia="方正仿宋_GBK" w:cs="Times New Roman"/>
                <w:color w:val="000000"/>
                <w:kern w:val="0"/>
                <w:sz w:val="24"/>
                <w:szCs w:val="24"/>
                <w:lang w:val="en-US" w:eastAsia="zh-CN"/>
              </w:rPr>
              <w:t>10</w:t>
            </w:r>
            <w:r>
              <w:rPr>
                <w:rFonts w:hint="default" w:ascii="Times New Roman" w:hAnsi="Times New Roman" w:eastAsia="方正仿宋_GBK" w:cs="Times New Roman"/>
                <w:color w:val="000000"/>
                <w:kern w:val="0"/>
                <w:sz w:val="24"/>
                <w:szCs w:val="24"/>
              </w:rPr>
              <w:t>分：从开发平台、开发手段及使用技术的先进性、针对本项目的技术创新等方面横向评比</w:t>
            </w:r>
            <w:r>
              <w:rPr>
                <w:rFonts w:hint="default" w:ascii="Times New Roman" w:hAnsi="Times New Roman" w:eastAsia="方正仿宋_GBK" w:cs="Times New Roman"/>
                <w:color w:val="000000"/>
                <w:kern w:val="0"/>
                <w:sz w:val="24"/>
                <w:szCs w:val="24"/>
                <w:lang w:eastAsia="zh-CN"/>
              </w:rPr>
              <w:t>。</w:t>
            </w:r>
            <w:r>
              <w:rPr>
                <w:rFonts w:hint="default" w:ascii="Times New Roman" w:hAnsi="Times New Roman" w:eastAsia="方正仿宋_GBK" w:cs="Times New Roman"/>
                <w:color w:val="000000"/>
                <w:kern w:val="0"/>
                <w:sz w:val="24"/>
                <w:szCs w:val="24"/>
              </w:rPr>
              <w:br w:type="textWrapping"/>
            </w:r>
            <w:r>
              <w:rPr>
                <w:rFonts w:hint="default" w:ascii="Times New Roman" w:hAnsi="Times New Roman" w:eastAsia="方正仿宋_GBK" w:cs="Times New Roman"/>
                <w:color w:val="000000"/>
                <w:kern w:val="0"/>
                <w:sz w:val="24"/>
                <w:szCs w:val="24"/>
              </w:rPr>
              <w:t>方案内容不存在瑕疵得</w:t>
            </w:r>
            <w:r>
              <w:rPr>
                <w:rFonts w:hint="eastAsia" w:eastAsia="方正仿宋_GBK" w:cs="Times New Roman"/>
                <w:color w:val="000000"/>
                <w:kern w:val="0"/>
                <w:sz w:val="24"/>
                <w:szCs w:val="24"/>
                <w:lang w:val="en-US" w:eastAsia="zh-CN"/>
              </w:rPr>
              <w:t>10</w:t>
            </w:r>
            <w:r>
              <w:rPr>
                <w:rFonts w:hint="default" w:ascii="Times New Roman" w:hAnsi="Times New Roman" w:eastAsia="方正仿宋_GBK" w:cs="Times New Roman"/>
                <w:color w:val="000000"/>
                <w:kern w:val="0"/>
                <w:sz w:val="24"/>
                <w:szCs w:val="24"/>
              </w:rPr>
              <w:t>分，</w:t>
            </w:r>
          </w:p>
          <w:p w14:paraId="48380343">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方案内容存在1处瑕疵得</w:t>
            </w:r>
            <w:r>
              <w:rPr>
                <w:rFonts w:hint="eastAsia" w:eastAsia="方正仿宋_GBK" w:cs="Times New Roman"/>
                <w:color w:val="000000"/>
                <w:kern w:val="0"/>
                <w:sz w:val="24"/>
                <w:szCs w:val="24"/>
                <w:lang w:val="en-US" w:eastAsia="zh-CN"/>
              </w:rPr>
              <w:t>7</w:t>
            </w:r>
            <w:r>
              <w:rPr>
                <w:rFonts w:hint="default" w:ascii="Times New Roman" w:hAnsi="Times New Roman" w:eastAsia="方正仿宋_GBK" w:cs="Times New Roman"/>
                <w:color w:val="000000"/>
                <w:kern w:val="0"/>
                <w:sz w:val="24"/>
                <w:szCs w:val="24"/>
              </w:rPr>
              <w:t>分，</w:t>
            </w:r>
          </w:p>
          <w:p w14:paraId="27E19875">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方案内容存在2处瑕疵得</w:t>
            </w:r>
            <w:r>
              <w:rPr>
                <w:rFonts w:hint="eastAsia" w:eastAsia="方正仿宋_GBK" w:cs="Times New Roman"/>
                <w:color w:val="000000"/>
                <w:kern w:val="0"/>
                <w:sz w:val="24"/>
                <w:szCs w:val="24"/>
                <w:lang w:val="en-US" w:eastAsia="zh-CN"/>
              </w:rPr>
              <w:t>4</w:t>
            </w:r>
            <w:r>
              <w:rPr>
                <w:rFonts w:hint="default" w:ascii="Times New Roman" w:hAnsi="Times New Roman" w:eastAsia="方正仿宋_GBK" w:cs="Times New Roman"/>
                <w:color w:val="000000"/>
                <w:kern w:val="0"/>
                <w:sz w:val="24"/>
                <w:szCs w:val="24"/>
              </w:rPr>
              <w:t>分，</w:t>
            </w:r>
          </w:p>
          <w:p w14:paraId="5F33481B">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方案内容存在3处瑕疵得1分，</w:t>
            </w:r>
          </w:p>
          <w:p w14:paraId="28EBFB98">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方案内容存在4处瑕疵及以上瑕疵或未提供得0分。</w:t>
            </w:r>
          </w:p>
        </w:tc>
        <w:tc>
          <w:tcPr>
            <w:tcW w:w="820" w:type="pct"/>
            <w:vMerge w:val="continue"/>
            <w:tcBorders>
              <w:top w:val="single" w:color="auto" w:sz="4" w:space="0"/>
              <w:left w:val="single" w:color="000000" w:sz="4" w:space="0"/>
              <w:bottom w:val="nil"/>
              <w:right w:val="single" w:color="auto" w:sz="4" w:space="0"/>
              <w:tl2br w:val="nil"/>
              <w:tr2bl w:val="nil"/>
            </w:tcBorders>
            <w:noWrap w:val="0"/>
            <w:vAlign w:val="center"/>
          </w:tcPr>
          <w:p w14:paraId="0D79EBD4">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p>
        </w:tc>
      </w:tr>
      <w:tr w14:paraId="6D15E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235" w:type="pct"/>
            <w:vMerge w:val="continue"/>
            <w:tcBorders>
              <w:top w:val="nil"/>
              <w:left w:val="single" w:color="000000" w:sz="8" w:space="0"/>
              <w:bottom w:val="nil"/>
              <w:right w:val="single" w:color="000000" w:sz="4" w:space="0"/>
              <w:tl2br w:val="nil"/>
              <w:tr2bl w:val="nil"/>
            </w:tcBorders>
            <w:noWrap w:val="0"/>
            <w:vAlign w:val="center"/>
          </w:tcPr>
          <w:p w14:paraId="63EF19B0">
            <w:pPr>
              <w:keepNext w:val="0"/>
              <w:keepLines w:val="0"/>
              <w:pageBreakBefore w:val="0"/>
              <w:kinsoku/>
              <w:wordWrap/>
              <w:overflowPunct/>
              <w:topLinePunct w:val="0"/>
              <w:autoSpaceDE/>
              <w:autoSpaceDN/>
              <w:bidi w:val="0"/>
              <w:adjustRightInd/>
              <w:snapToGrid/>
              <w:spacing w:beforeLines="0" w:afterLines="0" w:line="300" w:lineRule="exact"/>
              <w:jc w:val="center"/>
              <w:rPr>
                <w:rFonts w:hint="eastAsia" w:ascii="宋体" w:hAnsi="宋体" w:cs="宋体"/>
                <w:color w:val="000000"/>
                <w:sz w:val="24"/>
                <w:szCs w:val="24"/>
              </w:rPr>
            </w:pPr>
          </w:p>
        </w:tc>
        <w:tc>
          <w:tcPr>
            <w:tcW w:w="544" w:type="pct"/>
            <w:gridSpan w:val="2"/>
            <w:vMerge w:val="continue"/>
            <w:tcBorders>
              <w:top w:val="single" w:color="000000" w:sz="4" w:space="0"/>
              <w:left w:val="single" w:color="000000" w:sz="4" w:space="0"/>
              <w:bottom w:val="single" w:color="000000" w:sz="4" w:space="0"/>
              <w:right w:val="single" w:color="auto" w:sz="4" w:space="0"/>
              <w:tl2br w:val="nil"/>
              <w:tr2bl w:val="nil"/>
            </w:tcBorders>
            <w:noWrap w:val="0"/>
            <w:vAlign w:val="center"/>
          </w:tcPr>
          <w:p w14:paraId="7A676B97">
            <w:pPr>
              <w:keepNext w:val="0"/>
              <w:keepLines w:val="0"/>
              <w:pageBreakBefore w:val="0"/>
              <w:kinsoku/>
              <w:wordWrap/>
              <w:overflowPunct/>
              <w:topLinePunct w:val="0"/>
              <w:autoSpaceDE/>
              <w:autoSpaceDN/>
              <w:bidi w:val="0"/>
              <w:adjustRightInd/>
              <w:snapToGrid/>
              <w:spacing w:beforeLines="0" w:afterLines="0" w:line="300" w:lineRule="exact"/>
              <w:jc w:val="center"/>
              <w:rPr>
                <w:rFonts w:hint="eastAsia" w:ascii="宋体" w:hAnsi="宋体" w:cs="宋体"/>
                <w:color w:val="000000"/>
                <w:sz w:val="24"/>
                <w:szCs w:val="24"/>
              </w:rPr>
            </w:pPr>
          </w:p>
        </w:tc>
        <w:tc>
          <w:tcPr>
            <w:tcW w:w="262" w:type="pct"/>
            <w:vMerge w:val="continue"/>
            <w:tcBorders>
              <w:top w:val="single" w:color="000000" w:sz="4" w:space="0"/>
              <w:left w:val="single" w:color="auto" w:sz="4" w:space="0"/>
              <w:bottom w:val="single" w:color="000000" w:sz="4" w:space="0"/>
              <w:right w:val="single" w:color="000000" w:sz="4" w:space="0"/>
              <w:tl2br w:val="nil"/>
              <w:tr2bl w:val="nil"/>
            </w:tcBorders>
            <w:noWrap w:val="0"/>
            <w:vAlign w:val="center"/>
          </w:tcPr>
          <w:p w14:paraId="334BE835">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p>
        </w:tc>
        <w:tc>
          <w:tcPr>
            <w:tcW w:w="270"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197981F">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eastAsia="方正仿宋_GBK" w:cs="Times New Roman"/>
                <w:color w:val="000000"/>
                <w:sz w:val="24"/>
                <w:szCs w:val="24"/>
              </w:rPr>
            </w:pPr>
          </w:p>
        </w:tc>
        <w:tc>
          <w:tcPr>
            <w:tcW w:w="28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D00307">
            <w:pPr>
              <w:keepNext w:val="0"/>
              <w:keepLines w:val="0"/>
              <w:pageBreakBefore w:val="0"/>
              <w:widowControl/>
              <w:numPr>
                <w:ilvl w:val="0"/>
                <w:numId w:val="0"/>
              </w:numPr>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3.计划实施方案</w:t>
            </w:r>
            <w:r>
              <w:rPr>
                <w:rFonts w:hint="eastAsia" w:eastAsia="方正仿宋_GBK" w:cs="Times New Roman"/>
                <w:color w:val="000000"/>
                <w:kern w:val="0"/>
                <w:sz w:val="24"/>
                <w:szCs w:val="24"/>
                <w:lang w:val="en-US" w:eastAsia="zh-CN"/>
              </w:rPr>
              <w:t>10</w:t>
            </w:r>
            <w:r>
              <w:rPr>
                <w:rFonts w:hint="default" w:ascii="Times New Roman" w:hAnsi="Times New Roman" w:eastAsia="方正仿宋_GBK" w:cs="Times New Roman"/>
                <w:color w:val="000000"/>
                <w:kern w:val="0"/>
                <w:sz w:val="24"/>
                <w:szCs w:val="24"/>
              </w:rPr>
              <w:t>分：根据项目实施的合理性、风险控制、质量管理等方面横向评比。</w:t>
            </w:r>
            <w:r>
              <w:rPr>
                <w:rFonts w:hint="default" w:ascii="Times New Roman" w:hAnsi="Times New Roman" w:eastAsia="方正仿宋_GBK" w:cs="Times New Roman"/>
                <w:color w:val="000000"/>
                <w:kern w:val="0"/>
                <w:sz w:val="24"/>
                <w:szCs w:val="24"/>
              </w:rPr>
              <w:br w:type="textWrapping"/>
            </w:r>
            <w:r>
              <w:rPr>
                <w:rFonts w:hint="default" w:ascii="Times New Roman" w:hAnsi="Times New Roman" w:eastAsia="方正仿宋_GBK" w:cs="Times New Roman"/>
                <w:color w:val="000000"/>
                <w:kern w:val="0"/>
                <w:sz w:val="24"/>
                <w:szCs w:val="24"/>
              </w:rPr>
              <w:t>方案内容不存在瑕疵得</w:t>
            </w:r>
            <w:r>
              <w:rPr>
                <w:rFonts w:hint="eastAsia" w:eastAsia="方正仿宋_GBK" w:cs="Times New Roman"/>
                <w:color w:val="000000"/>
                <w:kern w:val="0"/>
                <w:sz w:val="24"/>
                <w:szCs w:val="24"/>
                <w:lang w:val="en-US" w:eastAsia="zh-CN"/>
              </w:rPr>
              <w:t>10</w:t>
            </w:r>
            <w:r>
              <w:rPr>
                <w:rFonts w:hint="default" w:ascii="Times New Roman" w:hAnsi="Times New Roman" w:eastAsia="方正仿宋_GBK" w:cs="Times New Roman"/>
                <w:color w:val="000000"/>
                <w:kern w:val="0"/>
                <w:sz w:val="24"/>
                <w:szCs w:val="24"/>
              </w:rPr>
              <w:t>分，</w:t>
            </w:r>
          </w:p>
          <w:p w14:paraId="5F6BDD35">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方案内容存在1处瑕疵得</w:t>
            </w:r>
            <w:r>
              <w:rPr>
                <w:rFonts w:hint="eastAsia" w:eastAsia="方正仿宋_GBK" w:cs="Times New Roman"/>
                <w:color w:val="000000"/>
                <w:kern w:val="0"/>
                <w:sz w:val="24"/>
                <w:szCs w:val="24"/>
                <w:lang w:val="en-US" w:eastAsia="zh-CN"/>
              </w:rPr>
              <w:t>7</w:t>
            </w:r>
            <w:r>
              <w:rPr>
                <w:rFonts w:hint="default" w:ascii="Times New Roman" w:hAnsi="Times New Roman" w:eastAsia="方正仿宋_GBK" w:cs="Times New Roman"/>
                <w:color w:val="000000"/>
                <w:kern w:val="0"/>
                <w:sz w:val="24"/>
                <w:szCs w:val="24"/>
              </w:rPr>
              <w:t>分，</w:t>
            </w:r>
          </w:p>
          <w:p w14:paraId="699847EF">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方案内容存在2处瑕疵得</w:t>
            </w:r>
            <w:r>
              <w:rPr>
                <w:rFonts w:hint="eastAsia" w:eastAsia="方正仿宋_GBK" w:cs="Times New Roman"/>
                <w:color w:val="000000"/>
                <w:kern w:val="0"/>
                <w:sz w:val="24"/>
                <w:szCs w:val="24"/>
                <w:lang w:val="en-US" w:eastAsia="zh-CN"/>
              </w:rPr>
              <w:t>4</w:t>
            </w:r>
            <w:r>
              <w:rPr>
                <w:rFonts w:hint="default" w:ascii="Times New Roman" w:hAnsi="Times New Roman" w:eastAsia="方正仿宋_GBK" w:cs="Times New Roman"/>
                <w:color w:val="000000"/>
                <w:kern w:val="0"/>
                <w:sz w:val="24"/>
                <w:szCs w:val="24"/>
              </w:rPr>
              <w:t>分，</w:t>
            </w:r>
          </w:p>
          <w:p w14:paraId="2FEE2D02">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方案内容存在3处瑕疵得1分，</w:t>
            </w:r>
          </w:p>
          <w:p w14:paraId="693DD20C">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方案内容存在4处瑕疵及以上瑕疵或未提供得0分。</w:t>
            </w:r>
          </w:p>
        </w:tc>
        <w:tc>
          <w:tcPr>
            <w:tcW w:w="820" w:type="pct"/>
            <w:vMerge w:val="continue"/>
            <w:tcBorders>
              <w:top w:val="nil"/>
              <w:left w:val="single" w:color="000000" w:sz="4" w:space="0"/>
              <w:bottom w:val="nil"/>
              <w:right w:val="single" w:color="auto" w:sz="4" w:space="0"/>
              <w:tl2br w:val="nil"/>
              <w:tr2bl w:val="nil"/>
            </w:tcBorders>
            <w:noWrap w:val="0"/>
            <w:vAlign w:val="center"/>
          </w:tcPr>
          <w:p w14:paraId="196AADB3">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p>
        </w:tc>
      </w:tr>
      <w:tr w14:paraId="139DA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trPr>
        <w:tc>
          <w:tcPr>
            <w:tcW w:w="235" w:type="pct"/>
            <w:vMerge w:val="continue"/>
            <w:tcBorders>
              <w:top w:val="nil"/>
              <w:left w:val="single" w:color="000000" w:sz="8" w:space="0"/>
              <w:bottom w:val="nil"/>
              <w:right w:val="single" w:color="000000" w:sz="4" w:space="0"/>
              <w:tl2br w:val="nil"/>
              <w:tr2bl w:val="nil"/>
            </w:tcBorders>
            <w:noWrap w:val="0"/>
            <w:vAlign w:val="center"/>
          </w:tcPr>
          <w:p w14:paraId="02196425">
            <w:pPr>
              <w:keepNext w:val="0"/>
              <w:keepLines w:val="0"/>
              <w:pageBreakBefore w:val="0"/>
              <w:kinsoku/>
              <w:wordWrap/>
              <w:overflowPunct/>
              <w:topLinePunct w:val="0"/>
              <w:autoSpaceDE/>
              <w:autoSpaceDN/>
              <w:bidi w:val="0"/>
              <w:adjustRightInd/>
              <w:snapToGrid/>
              <w:spacing w:beforeLines="0" w:afterLines="0" w:line="300" w:lineRule="exact"/>
              <w:jc w:val="center"/>
              <w:rPr>
                <w:rFonts w:hint="eastAsia" w:ascii="宋体" w:hAnsi="宋体" w:cs="宋体"/>
                <w:color w:val="000000"/>
                <w:sz w:val="24"/>
                <w:szCs w:val="24"/>
              </w:rPr>
            </w:pPr>
          </w:p>
        </w:tc>
        <w:tc>
          <w:tcPr>
            <w:tcW w:w="544" w:type="pct"/>
            <w:gridSpan w:val="2"/>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B25009">
            <w:pPr>
              <w:keepNext w:val="0"/>
              <w:keepLines w:val="0"/>
              <w:pageBreakBefore w:val="0"/>
              <w:kinsoku/>
              <w:wordWrap/>
              <w:overflowPunct/>
              <w:topLinePunct w:val="0"/>
              <w:autoSpaceDE/>
              <w:autoSpaceDN/>
              <w:bidi w:val="0"/>
              <w:adjustRightInd/>
              <w:snapToGrid/>
              <w:spacing w:beforeLines="0" w:afterLines="0" w:line="300" w:lineRule="exact"/>
              <w:jc w:val="center"/>
              <w:rPr>
                <w:rFonts w:hint="eastAsia" w:ascii="宋体" w:hAnsi="宋体" w:cs="宋体"/>
                <w:color w:val="000000"/>
                <w:sz w:val="24"/>
                <w:szCs w:val="24"/>
              </w:rPr>
            </w:pPr>
          </w:p>
        </w:tc>
        <w:tc>
          <w:tcPr>
            <w:tcW w:w="26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BD3916">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系统安全</w:t>
            </w:r>
          </w:p>
        </w:tc>
        <w:tc>
          <w:tcPr>
            <w:tcW w:w="270"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BCB524">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10分</w:t>
            </w:r>
          </w:p>
        </w:tc>
        <w:tc>
          <w:tcPr>
            <w:tcW w:w="2867"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2C55BE">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系统安全性、稳定性10分：技术方案中是否有完善的安全策略及方案（硬件安全、数据安全、网络安全等），系统整体稳定性、容错性（需提供稳定性、容错性承诺书）等方面横向评比</w:t>
            </w:r>
            <w:r>
              <w:rPr>
                <w:rFonts w:hint="default" w:ascii="Times New Roman" w:hAnsi="Times New Roman" w:eastAsia="方正仿宋_GBK" w:cs="Times New Roman"/>
                <w:color w:val="000000"/>
                <w:kern w:val="0"/>
                <w:sz w:val="24"/>
                <w:szCs w:val="24"/>
                <w:lang w:eastAsia="zh-CN"/>
              </w:rPr>
              <w:t>。</w:t>
            </w:r>
            <w:r>
              <w:rPr>
                <w:rFonts w:hint="default" w:ascii="Times New Roman" w:hAnsi="Times New Roman" w:eastAsia="方正仿宋_GBK" w:cs="Times New Roman"/>
                <w:color w:val="000000"/>
                <w:kern w:val="0"/>
                <w:sz w:val="24"/>
                <w:szCs w:val="24"/>
              </w:rPr>
              <w:br w:type="textWrapping"/>
            </w:r>
            <w:r>
              <w:rPr>
                <w:rFonts w:hint="default" w:ascii="Times New Roman" w:hAnsi="Times New Roman" w:eastAsia="方正仿宋_GBK" w:cs="Times New Roman"/>
                <w:color w:val="000000"/>
                <w:kern w:val="0"/>
                <w:sz w:val="24"/>
                <w:szCs w:val="24"/>
                <w:lang w:bidi="ar"/>
              </w:rPr>
              <w:t>方案内容不存在瑕疵得10分，</w:t>
            </w:r>
          </w:p>
          <w:p w14:paraId="1EAF5C30">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方案内容存在1处瑕疵得7分，</w:t>
            </w:r>
          </w:p>
          <w:p w14:paraId="15B1B31D">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方案内容存在2处瑕疵得4分，</w:t>
            </w:r>
          </w:p>
          <w:p w14:paraId="3A7A883F">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方案内容存在3处瑕疵得1分，</w:t>
            </w:r>
          </w:p>
          <w:p w14:paraId="5CF45AF8">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lang w:bidi="ar"/>
              </w:rPr>
              <w:t>方案内容存在4处瑕疵及以上瑕疵或未提供得0分。</w:t>
            </w:r>
          </w:p>
        </w:tc>
        <w:tc>
          <w:tcPr>
            <w:tcW w:w="820" w:type="pct"/>
            <w:vMerge w:val="continue"/>
            <w:tcBorders>
              <w:top w:val="nil"/>
              <w:left w:val="single" w:color="000000" w:sz="4" w:space="0"/>
              <w:bottom w:val="nil"/>
              <w:right w:val="single" w:color="auto" w:sz="4" w:space="0"/>
              <w:tl2br w:val="nil"/>
              <w:tr2bl w:val="nil"/>
            </w:tcBorders>
            <w:noWrap w:val="0"/>
            <w:vAlign w:val="center"/>
          </w:tcPr>
          <w:p w14:paraId="1E08B85E">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000000"/>
                <w:sz w:val="24"/>
                <w:szCs w:val="24"/>
              </w:rPr>
            </w:pPr>
          </w:p>
        </w:tc>
      </w:tr>
      <w:tr w14:paraId="26A85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35" w:type="pct"/>
            <w:vMerge w:val="continue"/>
            <w:tcBorders>
              <w:top w:val="nil"/>
              <w:left w:val="single" w:color="000000" w:sz="8" w:space="0"/>
              <w:bottom w:val="nil"/>
              <w:right w:val="single" w:color="000000" w:sz="4" w:space="0"/>
              <w:tl2br w:val="nil"/>
              <w:tr2bl w:val="nil"/>
            </w:tcBorders>
            <w:noWrap w:val="0"/>
            <w:vAlign w:val="center"/>
          </w:tcPr>
          <w:p w14:paraId="0354F2FF">
            <w:pPr>
              <w:keepNext w:val="0"/>
              <w:keepLines w:val="0"/>
              <w:pageBreakBefore w:val="0"/>
              <w:kinsoku/>
              <w:wordWrap/>
              <w:overflowPunct/>
              <w:topLinePunct w:val="0"/>
              <w:autoSpaceDE/>
              <w:autoSpaceDN/>
              <w:bidi w:val="0"/>
              <w:adjustRightInd/>
              <w:snapToGrid/>
              <w:spacing w:beforeLines="0" w:afterLines="0" w:line="300" w:lineRule="exact"/>
              <w:jc w:val="center"/>
              <w:rPr>
                <w:rFonts w:hint="eastAsia" w:ascii="宋体" w:hAnsi="宋体" w:cs="宋体"/>
                <w:color w:val="000000"/>
                <w:sz w:val="24"/>
                <w:szCs w:val="24"/>
              </w:rPr>
            </w:pPr>
          </w:p>
        </w:tc>
        <w:tc>
          <w:tcPr>
            <w:tcW w:w="544" w:type="pct"/>
            <w:gridSpan w:val="2"/>
            <w:vMerge w:val="continue"/>
            <w:tcBorders>
              <w:top w:val="single" w:color="000000" w:sz="4" w:space="0"/>
              <w:left w:val="single" w:color="000000" w:sz="4" w:space="0"/>
              <w:bottom w:val="single" w:color="auto" w:sz="4" w:space="0"/>
              <w:right w:val="single" w:color="000000" w:sz="8" w:space="0"/>
              <w:tl2br w:val="nil"/>
              <w:tr2bl w:val="nil"/>
            </w:tcBorders>
            <w:noWrap w:val="0"/>
            <w:vAlign w:val="center"/>
          </w:tcPr>
          <w:p w14:paraId="7232BAA0">
            <w:pPr>
              <w:keepNext w:val="0"/>
              <w:keepLines w:val="0"/>
              <w:pageBreakBefore w:val="0"/>
              <w:kinsoku/>
              <w:wordWrap/>
              <w:overflowPunct/>
              <w:topLinePunct w:val="0"/>
              <w:autoSpaceDE/>
              <w:autoSpaceDN/>
              <w:bidi w:val="0"/>
              <w:adjustRightInd/>
              <w:snapToGrid/>
              <w:spacing w:beforeLines="0" w:afterLines="0" w:line="300" w:lineRule="exact"/>
              <w:jc w:val="center"/>
              <w:rPr>
                <w:rFonts w:hint="eastAsia" w:ascii="宋体" w:hAnsi="宋体" w:cs="宋体"/>
                <w:color w:val="000000"/>
                <w:sz w:val="24"/>
                <w:szCs w:val="24"/>
              </w:rPr>
            </w:pPr>
          </w:p>
        </w:tc>
        <w:tc>
          <w:tcPr>
            <w:tcW w:w="262" w:type="pct"/>
            <w:tcBorders>
              <w:top w:val="single" w:color="000000" w:sz="4" w:space="0"/>
              <w:left w:val="single" w:color="000000" w:sz="8" w:space="0"/>
              <w:bottom w:val="single" w:color="auto" w:sz="4" w:space="0"/>
              <w:right w:val="single" w:color="000000" w:sz="8" w:space="0"/>
              <w:tl2br w:val="nil"/>
              <w:tr2bl w:val="nil"/>
            </w:tcBorders>
            <w:noWrap w:val="0"/>
            <w:vAlign w:val="center"/>
          </w:tcPr>
          <w:p w14:paraId="79AC665E">
            <w:pPr>
              <w:keepNext w:val="0"/>
              <w:keepLines w:val="0"/>
              <w:pageBreakBefore w:val="0"/>
              <w:widowControl/>
              <w:kinsoku/>
              <w:wordWrap/>
              <w:overflowPunct/>
              <w:topLinePunct w:val="0"/>
              <w:autoSpaceDE/>
              <w:autoSpaceDN/>
              <w:bidi w:val="0"/>
              <w:adjustRightInd/>
              <w:snapToGrid/>
              <w:spacing w:beforeLines="0" w:afterLines="0" w:line="300" w:lineRule="exact"/>
              <w:jc w:val="left"/>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培训服务</w:t>
            </w:r>
          </w:p>
        </w:tc>
        <w:tc>
          <w:tcPr>
            <w:tcW w:w="270" w:type="pct"/>
            <w:tcBorders>
              <w:top w:val="single" w:color="000000" w:sz="4" w:space="0"/>
              <w:left w:val="single" w:color="000000" w:sz="8" w:space="0"/>
              <w:bottom w:val="single" w:color="auto" w:sz="4" w:space="0"/>
              <w:right w:val="single" w:color="000000" w:sz="8" w:space="0"/>
              <w:tl2br w:val="nil"/>
              <w:tr2bl w:val="nil"/>
            </w:tcBorders>
            <w:noWrap w:val="0"/>
            <w:vAlign w:val="center"/>
          </w:tcPr>
          <w:p w14:paraId="4F8BFED8">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000000"/>
                <w:sz w:val="24"/>
                <w:szCs w:val="24"/>
              </w:rPr>
            </w:pPr>
            <w:r>
              <w:rPr>
                <w:rFonts w:hint="eastAsia" w:eastAsia="方正仿宋_GBK" w:cs="Times New Roman"/>
                <w:color w:val="000000"/>
                <w:kern w:val="0"/>
                <w:sz w:val="24"/>
                <w:szCs w:val="24"/>
                <w:lang w:val="en-US" w:eastAsia="zh-CN"/>
              </w:rPr>
              <w:t>10</w:t>
            </w:r>
            <w:r>
              <w:rPr>
                <w:rFonts w:hint="default" w:ascii="Times New Roman" w:hAnsi="Times New Roman" w:eastAsia="方正仿宋_GBK" w:cs="Times New Roman"/>
                <w:color w:val="000000"/>
                <w:kern w:val="0"/>
                <w:sz w:val="24"/>
                <w:szCs w:val="24"/>
              </w:rPr>
              <w:t>分</w:t>
            </w:r>
          </w:p>
        </w:tc>
        <w:tc>
          <w:tcPr>
            <w:tcW w:w="2867" w:type="pct"/>
            <w:tcBorders>
              <w:top w:val="single" w:color="000000" w:sz="4" w:space="0"/>
              <w:left w:val="single" w:color="000000" w:sz="8" w:space="0"/>
              <w:bottom w:val="single" w:color="auto" w:sz="4" w:space="0"/>
              <w:right w:val="single" w:color="000000" w:sz="8" w:space="0"/>
              <w:tl2br w:val="nil"/>
              <w:tr2bl w:val="nil"/>
            </w:tcBorders>
            <w:noWrap w:val="0"/>
            <w:vAlign w:val="center"/>
          </w:tcPr>
          <w:p w14:paraId="5C1FA66D">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rPr>
              <w:t>针对本项目提供培训方案，方案内容包括但不限于①培训讲师：具有</w:t>
            </w:r>
            <w:r>
              <w:rPr>
                <w:rFonts w:hint="default" w:ascii="Times New Roman" w:hAnsi="Times New Roman" w:eastAsia="方正仿宋_GBK" w:cs="Times New Roman"/>
                <w:color w:val="000000"/>
                <w:kern w:val="0"/>
                <w:sz w:val="24"/>
                <w:szCs w:val="24"/>
                <w:highlight w:val="none"/>
              </w:rPr>
              <w:t>丰富政府采购</w:t>
            </w:r>
            <w:r>
              <w:rPr>
                <w:rFonts w:hint="default" w:ascii="Times New Roman" w:hAnsi="Times New Roman" w:eastAsia="方正仿宋_GBK" w:cs="Times New Roman"/>
                <w:color w:val="000000"/>
                <w:kern w:val="0"/>
                <w:sz w:val="24"/>
                <w:szCs w:val="24"/>
              </w:rPr>
              <w:t>培训经验②培训资料：包括但不限于视频教材、WORD和PDF用户手册、培训PPT③培训方式：线上+线下。</w:t>
            </w:r>
            <w:r>
              <w:rPr>
                <w:rFonts w:hint="default" w:ascii="Times New Roman" w:hAnsi="Times New Roman" w:eastAsia="方正仿宋_GBK" w:cs="Times New Roman"/>
                <w:color w:val="000000"/>
                <w:kern w:val="0"/>
                <w:sz w:val="24"/>
                <w:szCs w:val="24"/>
              </w:rPr>
              <w:br w:type="textWrapping"/>
            </w:r>
            <w:r>
              <w:rPr>
                <w:rFonts w:hint="default" w:ascii="Times New Roman" w:hAnsi="Times New Roman" w:eastAsia="方正仿宋_GBK" w:cs="Times New Roman"/>
                <w:color w:val="000000"/>
                <w:kern w:val="0"/>
                <w:sz w:val="24"/>
                <w:szCs w:val="24"/>
                <w:lang w:bidi="ar"/>
              </w:rPr>
              <w:t>方案内容不存在瑕疵得10分，</w:t>
            </w:r>
          </w:p>
          <w:p w14:paraId="0AD4B9A1">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方案内容存在1处瑕疵得7分，</w:t>
            </w:r>
          </w:p>
          <w:p w14:paraId="48DB5C4E">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方案内容存在2处瑕疵得4分，</w:t>
            </w:r>
          </w:p>
          <w:p w14:paraId="32BAE644">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default" w:ascii="Times New Roman" w:hAnsi="Times New Roman" w:eastAsia="方正仿宋_GBK" w:cs="Times New Roman"/>
                <w:color w:val="000000"/>
                <w:kern w:val="0"/>
                <w:sz w:val="24"/>
                <w:szCs w:val="24"/>
              </w:rPr>
            </w:pPr>
            <w:r>
              <w:rPr>
                <w:rFonts w:hint="default" w:ascii="Times New Roman" w:hAnsi="Times New Roman" w:eastAsia="方正仿宋_GBK" w:cs="Times New Roman"/>
                <w:color w:val="000000"/>
                <w:kern w:val="0"/>
                <w:sz w:val="24"/>
                <w:szCs w:val="24"/>
                <w:lang w:bidi="ar"/>
              </w:rPr>
              <w:t>方案内容存在3处瑕疵得1分，</w:t>
            </w:r>
          </w:p>
          <w:p w14:paraId="6D0D6B62">
            <w:pPr>
              <w:keepNext w:val="0"/>
              <w:keepLines w:val="0"/>
              <w:pageBreakBefore w:val="0"/>
              <w:widowControl/>
              <w:kinsoku/>
              <w:wordWrap/>
              <w:overflowPunct/>
              <w:topLinePunct w:val="0"/>
              <w:autoSpaceDE/>
              <w:autoSpaceDN/>
              <w:bidi w:val="0"/>
              <w:adjustRightInd/>
              <w:snapToGrid/>
              <w:spacing w:beforeLines="0" w:afterLines="0" w:line="300" w:lineRule="exact"/>
              <w:jc w:val="left"/>
              <w:rPr>
                <w:rFonts w:hint="eastAsia"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kern w:val="0"/>
                <w:sz w:val="24"/>
                <w:szCs w:val="24"/>
                <w:lang w:bidi="ar"/>
              </w:rPr>
              <w:t>方案内容存在4处瑕疵及以上瑕疵或未提供得0分</w:t>
            </w:r>
            <w:r>
              <w:rPr>
                <w:rFonts w:hint="eastAsia" w:eastAsia="方正仿宋_GBK" w:cs="Times New Roman"/>
                <w:color w:val="000000"/>
                <w:kern w:val="0"/>
                <w:sz w:val="24"/>
                <w:szCs w:val="24"/>
                <w:lang w:eastAsia="zh-CN" w:bidi="ar"/>
              </w:rPr>
              <w:t>。</w:t>
            </w:r>
          </w:p>
        </w:tc>
        <w:tc>
          <w:tcPr>
            <w:tcW w:w="820" w:type="pct"/>
            <w:vMerge w:val="continue"/>
            <w:tcBorders>
              <w:top w:val="nil"/>
              <w:left w:val="single" w:color="000000" w:sz="4" w:space="0"/>
              <w:bottom w:val="single" w:color="000000" w:sz="8" w:space="0"/>
              <w:right w:val="single" w:color="auto" w:sz="4" w:space="0"/>
              <w:tl2br w:val="nil"/>
              <w:tr2bl w:val="nil"/>
            </w:tcBorders>
            <w:noWrap w:val="0"/>
            <w:vAlign w:val="center"/>
          </w:tcPr>
          <w:p w14:paraId="2F3C94D1">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sz w:val="24"/>
                <w:szCs w:val="24"/>
              </w:rPr>
            </w:pPr>
          </w:p>
        </w:tc>
      </w:tr>
      <w:tr w14:paraId="3086B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235" w:type="pct"/>
            <w:vMerge w:val="restart"/>
            <w:tcBorders>
              <w:top w:val="single" w:color="000000" w:sz="8" w:space="0"/>
              <w:left w:val="single" w:color="000000" w:sz="8" w:space="0"/>
              <w:bottom w:val="single" w:color="000000" w:sz="8" w:space="0"/>
              <w:right w:val="single" w:color="auto" w:sz="4" w:space="0"/>
              <w:tl2br w:val="nil"/>
              <w:tr2bl w:val="nil"/>
            </w:tcBorders>
            <w:noWrap w:val="0"/>
            <w:vAlign w:val="center"/>
          </w:tcPr>
          <w:p w14:paraId="219A43C3">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kern w:val="0"/>
                <w:sz w:val="24"/>
                <w:szCs w:val="24"/>
                <w:lang w:val="en-US" w:eastAsia="zh-CN"/>
              </w:rPr>
              <w:t>3</w:t>
            </w:r>
          </w:p>
        </w:tc>
        <w:tc>
          <w:tcPr>
            <w:tcW w:w="544" w:type="pct"/>
            <w:gridSpan w:val="2"/>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9293476">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商务部分（</w:t>
            </w:r>
            <w:r>
              <w:rPr>
                <w:rFonts w:hint="eastAsia" w:eastAsia="方正仿宋_GBK" w:cs="Times New Roman"/>
                <w:color w:val="000000"/>
                <w:kern w:val="0"/>
                <w:sz w:val="24"/>
                <w:szCs w:val="24"/>
                <w:lang w:val="en-US" w:eastAsia="zh-CN"/>
              </w:rPr>
              <w:t>20</w:t>
            </w:r>
            <w:r>
              <w:rPr>
                <w:rFonts w:hint="default" w:ascii="Times New Roman" w:hAnsi="Times New Roman" w:eastAsia="方正仿宋_GBK" w:cs="Times New Roman"/>
                <w:color w:val="000000"/>
                <w:kern w:val="0"/>
                <w:sz w:val="24"/>
                <w:szCs w:val="24"/>
              </w:rPr>
              <w:t>%）</w:t>
            </w:r>
          </w:p>
        </w:tc>
        <w:tc>
          <w:tcPr>
            <w:tcW w:w="2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08C108">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业绩证明</w:t>
            </w:r>
          </w:p>
        </w:tc>
        <w:tc>
          <w:tcPr>
            <w:tcW w:w="27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351705">
            <w:pPr>
              <w:keepNext w:val="0"/>
              <w:keepLines w:val="0"/>
              <w:pageBreakBefore w:val="0"/>
              <w:widowControl/>
              <w:kinsoku/>
              <w:wordWrap/>
              <w:overflowPunct/>
              <w:topLinePunct w:val="0"/>
              <w:autoSpaceDE/>
              <w:autoSpaceDN/>
              <w:bidi w:val="0"/>
              <w:adjustRightInd/>
              <w:snapToGrid/>
              <w:spacing w:beforeLines="0" w:afterLines="0" w:line="300" w:lineRule="exact"/>
              <w:jc w:val="center"/>
              <w:textAlignment w:val="center"/>
              <w:rPr>
                <w:rFonts w:hint="default" w:ascii="Times New Roman" w:hAnsi="Times New Roman" w:eastAsia="方正仿宋_GBK" w:cs="Times New Roman"/>
                <w:color w:val="auto"/>
                <w:sz w:val="24"/>
                <w:szCs w:val="24"/>
              </w:rPr>
            </w:pPr>
            <w:r>
              <w:rPr>
                <w:rFonts w:hint="eastAsia" w:eastAsia="方正仿宋_GBK" w:cs="Times New Roman"/>
                <w:color w:val="auto"/>
                <w:kern w:val="0"/>
                <w:sz w:val="24"/>
                <w:szCs w:val="24"/>
                <w:lang w:val="en-US" w:eastAsia="zh-CN"/>
              </w:rPr>
              <w:t>6</w:t>
            </w:r>
            <w:r>
              <w:rPr>
                <w:rFonts w:hint="default" w:ascii="Times New Roman" w:hAnsi="Times New Roman" w:eastAsia="方正仿宋_GBK" w:cs="Times New Roman"/>
                <w:color w:val="auto"/>
                <w:kern w:val="0"/>
                <w:sz w:val="24"/>
                <w:szCs w:val="24"/>
              </w:rPr>
              <w:t>分</w:t>
            </w:r>
          </w:p>
        </w:tc>
        <w:tc>
          <w:tcPr>
            <w:tcW w:w="286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FE2771">
            <w:pPr>
              <w:keepNext w:val="0"/>
              <w:keepLines w:val="0"/>
              <w:pageBreakBefore w:val="0"/>
              <w:widowControl/>
              <w:numPr>
                <w:ilvl w:val="0"/>
                <w:numId w:val="0"/>
              </w:numPr>
              <w:kinsoku/>
              <w:wordWrap/>
              <w:overflowPunct/>
              <w:topLinePunct w:val="0"/>
              <w:autoSpaceDE/>
              <w:autoSpaceDN/>
              <w:bidi w:val="0"/>
              <w:adjustRightInd/>
              <w:snapToGrid/>
              <w:spacing w:beforeLines="0" w:afterLines="0" w:line="300" w:lineRule="exact"/>
              <w:textAlignment w:val="center"/>
              <w:rPr>
                <w:rFonts w:hint="eastAsia"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highlight w:val="none"/>
              </w:rPr>
              <w:t>服务商需提供202</w:t>
            </w:r>
            <w:r>
              <w:rPr>
                <w:rFonts w:hint="eastAsia" w:eastAsia="方正仿宋_GBK" w:cs="Times New Roman"/>
                <w:color w:val="auto"/>
                <w:kern w:val="0"/>
                <w:sz w:val="24"/>
                <w:szCs w:val="24"/>
                <w:highlight w:val="none"/>
                <w:lang w:val="en-US" w:eastAsia="zh-CN"/>
              </w:rPr>
              <w:t>6</w:t>
            </w:r>
            <w:r>
              <w:rPr>
                <w:rFonts w:hint="default" w:ascii="Times New Roman" w:hAnsi="Times New Roman" w:eastAsia="方正仿宋_GBK" w:cs="Times New Roman"/>
                <w:color w:val="auto"/>
                <w:kern w:val="0"/>
                <w:sz w:val="24"/>
                <w:szCs w:val="24"/>
                <w:highlight w:val="none"/>
              </w:rPr>
              <w:t>年1月1日以来</w:t>
            </w:r>
            <w:r>
              <w:rPr>
                <w:rFonts w:hint="default" w:ascii="Times New Roman" w:hAnsi="Times New Roman" w:eastAsia="方正仿宋_GBK" w:cs="Times New Roman"/>
                <w:color w:val="auto"/>
                <w:kern w:val="0"/>
                <w:sz w:val="24"/>
                <w:szCs w:val="24"/>
                <w:highlight w:val="none"/>
                <w:lang w:val="en-US" w:eastAsia="zh-CN"/>
              </w:rPr>
              <w:t>与本项目类似业绩，</w:t>
            </w:r>
            <w:r>
              <w:rPr>
                <w:rFonts w:hint="default" w:ascii="Times New Roman" w:hAnsi="Times New Roman" w:eastAsia="方正仿宋_GBK" w:cs="Times New Roman"/>
                <w:color w:val="auto"/>
                <w:kern w:val="0"/>
                <w:sz w:val="24"/>
                <w:szCs w:val="24"/>
                <w:highlight w:val="none"/>
              </w:rPr>
              <w:t>提供一个得</w:t>
            </w:r>
            <w:r>
              <w:rPr>
                <w:rFonts w:hint="eastAsia" w:eastAsia="方正仿宋_GBK" w:cs="Times New Roman"/>
                <w:color w:val="auto"/>
                <w:kern w:val="0"/>
                <w:sz w:val="24"/>
                <w:szCs w:val="24"/>
                <w:highlight w:val="none"/>
                <w:lang w:val="en-US" w:eastAsia="zh-CN"/>
              </w:rPr>
              <w:t>3</w:t>
            </w:r>
            <w:r>
              <w:rPr>
                <w:rFonts w:hint="default" w:ascii="Times New Roman" w:hAnsi="Times New Roman" w:eastAsia="方正仿宋_GBK" w:cs="Times New Roman"/>
                <w:color w:val="auto"/>
                <w:kern w:val="0"/>
                <w:sz w:val="24"/>
                <w:szCs w:val="24"/>
                <w:highlight w:val="none"/>
              </w:rPr>
              <w:t>分，最高得</w:t>
            </w:r>
            <w:r>
              <w:rPr>
                <w:rFonts w:hint="eastAsia" w:eastAsia="方正仿宋_GBK" w:cs="Times New Roman"/>
                <w:color w:val="auto"/>
                <w:kern w:val="0"/>
                <w:sz w:val="24"/>
                <w:szCs w:val="24"/>
                <w:highlight w:val="none"/>
                <w:lang w:val="en-US" w:eastAsia="zh-CN"/>
              </w:rPr>
              <w:t>6</w:t>
            </w:r>
            <w:r>
              <w:rPr>
                <w:rFonts w:hint="default" w:ascii="Times New Roman" w:hAnsi="Times New Roman" w:eastAsia="方正仿宋_GBK" w:cs="Times New Roman"/>
                <w:color w:val="auto"/>
                <w:kern w:val="0"/>
                <w:sz w:val="24"/>
                <w:szCs w:val="24"/>
                <w:highlight w:val="none"/>
              </w:rPr>
              <w:t>分</w:t>
            </w:r>
            <w:r>
              <w:rPr>
                <w:rFonts w:hint="eastAsia" w:eastAsia="方正仿宋_GBK" w:cs="Times New Roman"/>
                <w:color w:val="auto"/>
                <w:kern w:val="0"/>
                <w:sz w:val="24"/>
                <w:szCs w:val="24"/>
                <w:highlight w:val="none"/>
                <w:lang w:eastAsia="zh-CN"/>
              </w:rPr>
              <w:t>。</w:t>
            </w:r>
          </w:p>
        </w:tc>
        <w:tc>
          <w:tcPr>
            <w:tcW w:w="820" w:type="pct"/>
            <w:tcBorders>
              <w:top w:val="single" w:color="000000" w:sz="8" w:space="0"/>
              <w:left w:val="single" w:color="auto" w:sz="4" w:space="0"/>
              <w:bottom w:val="single" w:color="000000" w:sz="8" w:space="0"/>
              <w:right w:val="single" w:color="000000" w:sz="8" w:space="0"/>
              <w:tl2br w:val="nil"/>
              <w:tr2bl w:val="nil"/>
            </w:tcBorders>
            <w:noWrap w:val="0"/>
            <w:vAlign w:val="center"/>
          </w:tcPr>
          <w:p w14:paraId="07DEB3FC">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kern w:val="0"/>
                <w:sz w:val="24"/>
                <w:szCs w:val="24"/>
              </w:rPr>
              <w:t>提供合同扫描件加盖服务商鲜章</w:t>
            </w:r>
            <w:r>
              <w:rPr>
                <w:rFonts w:hint="default" w:ascii="Times New Roman" w:hAnsi="Times New Roman" w:eastAsia="方正仿宋_GBK" w:cs="Times New Roman"/>
                <w:color w:val="auto"/>
                <w:kern w:val="0"/>
                <w:sz w:val="24"/>
                <w:szCs w:val="24"/>
                <w:lang w:eastAsia="zh-CN"/>
              </w:rPr>
              <w:t>。</w:t>
            </w:r>
          </w:p>
        </w:tc>
      </w:tr>
      <w:tr w14:paraId="67038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235" w:type="pct"/>
            <w:vMerge w:val="continue"/>
            <w:tcBorders>
              <w:top w:val="single" w:color="000000" w:sz="8" w:space="0"/>
              <w:left w:val="single" w:color="000000" w:sz="8" w:space="0"/>
              <w:bottom w:val="single" w:color="000000" w:sz="8" w:space="0"/>
              <w:right w:val="single" w:color="auto" w:sz="4" w:space="0"/>
              <w:tl2br w:val="nil"/>
              <w:tr2bl w:val="nil"/>
            </w:tcBorders>
            <w:noWrap w:val="0"/>
            <w:vAlign w:val="center"/>
          </w:tcPr>
          <w:p w14:paraId="1A3563C1">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eastAsia="方正仿宋_GBK" w:cs="Times New Roman"/>
                <w:color w:val="000000"/>
                <w:sz w:val="24"/>
                <w:szCs w:val="24"/>
              </w:rPr>
            </w:pPr>
          </w:p>
        </w:tc>
        <w:tc>
          <w:tcPr>
            <w:tcW w:w="544" w:type="pct"/>
            <w:gridSpan w:val="2"/>
            <w:vMerge w:val="continue"/>
            <w:tcBorders>
              <w:top w:val="single" w:color="000000" w:sz="8" w:space="0"/>
              <w:left w:val="single" w:color="auto" w:sz="4" w:space="0"/>
              <w:bottom w:val="single" w:color="000000" w:sz="8" w:space="0"/>
              <w:right w:val="single" w:color="000000" w:sz="8" w:space="0"/>
              <w:tl2br w:val="nil"/>
              <w:tr2bl w:val="nil"/>
            </w:tcBorders>
            <w:noWrap w:val="0"/>
            <w:vAlign w:val="center"/>
          </w:tcPr>
          <w:p w14:paraId="105D3C28">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eastAsia="方正仿宋_GBK" w:cs="Times New Roman"/>
                <w:color w:val="000000"/>
                <w:sz w:val="24"/>
                <w:szCs w:val="24"/>
              </w:rPr>
            </w:pPr>
          </w:p>
        </w:tc>
        <w:tc>
          <w:tcPr>
            <w:tcW w:w="262" w:type="pct"/>
            <w:tcBorders>
              <w:top w:val="nil"/>
              <w:left w:val="nil"/>
              <w:bottom w:val="single" w:color="000000" w:sz="8" w:space="0"/>
              <w:right w:val="single" w:color="000000" w:sz="8" w:space="0"/>
              <w:tl2br w:val="nil"/>
              <w:tr2bl w:val="nil"/>
            </w:tcBorders>
            <w:noWrap w:val="0"/>
            <w:vAlign w:val="center"/>
          </w:tcPr>
          <w:p w14:paraId="50FAC3AE">
            <w:pPr>
              <w:keepNext w:val="0"/>
              <w:keepLines w:val="0"/>
              <w:pageBreakBefore w:val="0"/>
              <w:kinsoku/>
              <w:wordWrap/>
              <w:overflowPunct/>
              <w:topLinePunct w:val="0"/>
              <w:autoSpaceDE/>
              <w:autoSpaceDN/>
              <w:bidi w:val="0"/>
              <w:adjustRightInd/>
              <w:snapToGrid/>
              <w:spacing w:beforeLines="0" w:afterLines="0" w:line="300" w:lineRule="exac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售后服务</w:t>
            </w:r>
          </w:p>
        </w:tc>
        <w:tc>
          <w:tcPr>
            <w:tcW w:w="270" w:type="pct"/>
            <w:tcBorders>
              <w:top w:val="nil"/>
              <w:left w:val="single" w:color="000000" w:sz="8" w:space="0"/>
              <w:bottom w:val="single" w:color="000000" w:sz="8" w:space="0"/>
              <w:right w:val="single" w:color="000000" w:sz="8" w:space="0"/>
              <w:tl2br w:val="nil"/>
              <w:tr2bl w:val="nil"/>
            </w:tcBorders>
            <w:noWrap w:val="0"/>
            <w:vAlign w:val="center"/>
          </w:tcPr>
          <w:p w14:paraId="311EE840">
            <w:pPr>
              <w:keepNext w:val="0"/>
              <w:keepLines w:val="0"/>
              <w:pageBreakBefore w:val="0"/>
              <w:kinsoku/>
              <w:wordWrap/>
              <w:overflowPunct/>
              <w:topLinePunct w:val="0"/>
              <w:autoSpaceDE/>
              <w:autoSpaceDN/>
              <w:bidi w:val="0"/>
              <w:adjustRightInd/>
              <w:snapToGrid/>
              <w:spacing w:beforeLines="0" w:afterLines="0" w:line="300" w:lineRule="exact"/>
              <w:jc w:val="center"/>
              <w:rPr>
                <w:rFonts w:hint="default" w:ascii="Times New Roman" w:hAnsi="Times New Roman" w:eastAsia="方正仿宋_GBK" w:cs="Times New Roman"/>
                <w:color w:val="auto"/>
                <w:sz w:val="24"/>
                <w:szCs w:val="24"/>
                <w:lang w:val="en-US" w:eastAsia="zh-CN"/>
              </w:rPr>
            </w:pPr>
            <w:r>
              <w:rPr>
                <w:rFonts w:hint="eastAsia" w:eastAsia="方正仿宋_GBK" w:cs="Times New Roman"/>
                <w:color w:val="auto"/>
                <w:sz w:val="24"/>
                <w:szCs w:val="24"/>
                <w:lang w:val="en-US" w:eastAsia="zh-CN"/>
              </w:rPr>
              <w:t>14</w:t>
            </w:r>
            <w:r>
              <w:rPr>
                <w:rFonts w:hint="default" w:ascii="Times New Roman" w:hAnsi="Times New Roman" w:eastAsia="方正仿宋_GBK" w:cs="Times New Roman"/>
                <w:color w:val="auto"/>
                <w:kern w:val="0"/>
                <w:sz w:val="24"/>
                <w:szCs w:val="24"/>
              </w:rPr>
              <w:t>分</w:t>
            </w:r>
          </w:p>
        </w:tc>
        <w:tc>
          <w:tcPr>
            <w:tcW w:w="2867" w:type="pct"/>
            <w:tcBorders>
              <w:top w:val="nil"/>
              <w:left w:val="single" w:color="000000" w:sz="8" w:space="0"/>
              <w:bottom w:val="single" w:color="000000" w:sz="8" w:space="0"/>
              <w:right w:val="single" w:color="000000" w:sz="8" w:space="0"/>
              <w:tl2br w:val="nil"/>
              <w:tr2bl w:val="nil"/>
            </w:tcBorders>
            <w:noWrap w:val="0"/>
            <w:vAlign w:val="center"/>
          </w:tcPr>
          <w:p w14:paraId="31C80545">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kern w:val="0"/>
                <w:sz w:val="24"/>
                <w:szCs w:val="24"/>
              </w:rPr>
              <w:t>本项目承诺7*24小时服务响应，1小时内响应咨询、4小时内到场处置突发问题，得</w:t>
            </w:r>
            <w:r>
              <w:rPr>
                <w:rFonts w:hint="eastAsia" w:eastAsia="方正仿宋_GBK" w:cs="Times New Roman"/>
                <w:color w:val="auto"/>
                <w:kern w:val="0"/>
                <w:sz w:val="24"/>
                <w:szCs w:val="24"/>
                <w:lang w:val="en-US" w:eastAsia="zh-CN"/>
              </w:rPr>
              <w:t>14</w:t>
            </w:r>
            <w:r>
              <w:rPr>
                <w:rFonts w:hint="default" w:ascii="Times New Roman" w:hAnsi="Times New Roman" w:eastAsia="方正仿宋_GBK" w:cs="Times New Roman"/>
                <w:color w:val="auto"/>
                <w:kern w:val="0"/>
                <w:sz w:val="24"/>
                <w:szCs w:val="24"/>
              </w:rPr>
              <w:t>分。</w:t>
            </w:r>
          </w:p>
        </w:tc>
        <w:tc>
          <w:tcPr>
            <w:tcW w:w="820" w:type="pct"/>
            <w:tcBorders>
              <w:top w:val="nil"/>
              <w:left w:val="single" w:color="000000" w:sz="8" w:space="0"/>
              <w:bottom w:val="single" w:color="000000" w:sz="8" w:space="0"/>
              <w:right w:val="single" w:color="000000" w:sz="8" w:space="0"/>
              <w:tl2br w:val="nil"/>
              <w:tr2bl w:val="nil"/>
            </w:tcBorders>
            <w:noWrap w:val="0"/>
            <w:vAlign w:val="center"/>
          </w:tcPr>
          <w:p w14:paraId="305073B0">
            <w:pPr>
              <w:keepNext w:val="0"/>
              <w:keepLines w:val="0"/>
              <w:pageBreakBefore w:val="0"/>
              <w:widowControl/>
              <w:kinsoku/>
              <w:wordWrap/>
              <w:overflowPunct/>
              <w:topLinePunct w:val="0"/>
              <w:autoSpaceDE/>
              <w:autoSpaceDN/>
              <w:bidi w:val="0"/>
              <w:adjustRightInd/>
              <w:snapToGrid/>
              <w:spacing w:beforeLines="0" w:afterLines="0" w:line="300" w:lineRule="exact"/>
              <w:textAlignment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kern w:val="0"/>
                <w:sz w:val="24"/>
                <w:szCs w:val="24"/>
              </w:rPr>
              <w:t>提供售后服务承诺函，加盖服务商公章。</w:t>
            </w:r>
          </w:p>
        </w:tc>
      </w:tr>
    </w:tbl>
    <w:p w14:paraId="3ECCE137">
      <w:pPr>
        <w:spacing w:line="240" w:lineRule="auto"/>
        <w:ind w:firstLine="320" w:firstLineChars="1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三、报价要</w:t>
      </w:r>
      <w:r>
        <w:rPr>
          <w:rFonts w:ascii="Times New Roman" w:hAnsi="Times New Roman" w:eastAsia="方正黑体_GBK" w:cs="Times New Roman"/>
          <w:sz w:val="32"/>
          <w:szCs w:val="32"/>
        </w:rPr>
        <w:t>求</w:t>
      </w:r>
    </w:p>
    <w:p w14:paraId="390A01E0">
      <w:pPr>
        <w:spacing w:line="54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lang w:val="zh-CN"/>
        </w:rPr>
        <w:t>（</w:t>
      </w:r>
      <w:r>
        <w:rPr>
          <w:rFonts w:ascii="Times New Roman" w:hAnsi="Times New Roman" w:eastAsia="方正仿宋_GBK"/>
          <w:sz w:val="32"/>
          <w:szCs w:val="32"/>
        </w:rPr>
        <w:t>一）本项目采用一次性报价，</w:t>
      </w:r>
      <w:r>
        <w:rPr>
          <w:rFonts w:ascii="Times New Roman" w:hAnsi="Times New Roman" w:eastAsia="方正仿宋_GBK"/>
          <w:sz w:val="32"/>
          <w:szCs w:val="32"/>
          <w:lang w:val="zh-CN"/>
        </w:rPr>
        <w:t>供应商的报价不得超过采购预算金额，且</w:t>
      </w:r>
      <w:r>
        <w:rPr>
          <w:rFonts w:ascii="Times New Roman" w:hAnsi="Times New Roman" w:eastAsia="方正仿宋_GBK"/>
          <w:sz w:val="32"/>
          <w:szCs w:val="32"/>
        </w:rPr>
        <w:t>只能有一个有效报价，不得提交选择性报价。</w:t>
      </w:r>
    </w:p>
    <w:p w14:paraId="45A70627">
      <w:pPr>
        <w:spacing w:line="540" w:lineRule="exact"/>
        <w:ind w:firstLine="640" w:firstLineChars="200"/>
        <w:rPr>
          <w:rFonts w:hint="default"/>
          <w:lang w:val="en-US" w:eastAsia="zh-CN"/>
        </w:rPr>
      </w:pPr>
      <w:r>
        <w:rPr>
          <w:rFonts w:ascii="Times New Roman" w:hAnsi="Times New Roman" w:eastAsia="方正仿宋_GBK"/>
          <w:sz w:val="32"/>
          <w:szCs w:val="32"/>
          <w:lang w:val="zh-CN"/>
        </w:rPr>
        <w:t>（二）</w:t>
      </w:r>
      <w:r>
        <w:rPr>
          <w:rFonts w:hint="eastAsia" w:ascii="Times New Roman" w:hAnsi="Times New Roman" w:eastAsia="方正仿宋_GBK"/>
          <w:sz w:val="32"/>
          <w:szCs w:val="32"/>
          <w:lang w:val="zh-CN"/>
        </w:rPr>
        <w:t>报价为人民币报价，包括但不限于：人员工资、各类加班费、劳保福利、国家规定的各类保险费用（养老保险、医疗保险、工伤保险、生育保险、失业保险等）、意外伤害保险、教育培训费、安全生产事故处置费、水电费、劳动工具及维修费、安全文明生产装备费、服装费、作业设备维修费、企业应缴税金、应得利润和管理、应急费等在内的所有费用。供应商因自身原因造成漏报、少报皆由其自行承担责任，采购人不再补偿。</w:t>
      </w:r>
    </w:p>
    <w:sectPr>
      <w:headerReference r:id="rId5" w:type="default"/>
      <w:footerReference r:id="rId6" w:type="default"/>
      <w:footerReference r:id="rId7" w:type="even"/>
      <w:pgSz w:w="11906" w:h="16838"/>
      <w:pgMar w:top="1984" w:right="1446" w:bottom="1644" w:left="1446" w:header="851" w:footer="1474" w:gutter="0"/>
      <w:pgNumType w:fmt="decimal"/>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F9074">
    <w:pPr>
      <w:pStyle w:val="2"/>
      <w:numPr>
        <w:ilvl w:val="0"/>
        <w:numId w:val="0"/>
      </w:numPr>
      <w:wordWrap w:val="0"/>
      <w:ind w:left="420" w:leftChars="0" w:right="365" w:rightChars="114"/>
      <w:jc w:val="both"/>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FDAA3B">
                          <w:pPr>
                            <w:pStyle w:val="2"/>
                            <w:numPr>
                              <w:ilvl w:val="0"/>
                              <w:numId w:val="0"/>
                            </w:numPr>
                            <w:wordWrap w:val="0"/>
                            <w:ind w:left="420" w:leftChars="0" w:right="365" w:rightChars="114"/>
                            <w:jc w:val="both"/>
                          </w:pPr>
                          <w:r>
                            <w:rPr>
                              <w:rStyle w:val="10"/>
                              <w:rFonts w:hint="eastAsia"/>
                              <w:sz w:val="28"/>
                              <w:szCs w:val="28"/>
                            </w:rPr>
                            <w:t>—</w:t>
                          </w:r>
                          <w:r>
                            <w:rPr>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1</w:t>
                          </w:r>
                          <w:r>
                            <w:rPr>
                              <w:sz w:val="28"/>
                              <w:szCs w:val="28"/>
                            </w:rPr>
                            <w:fldChar w:fldCharType="end"/>
                          </w:r>
                          <w:r>
                            <w:rPr>
                              <w:rStyle w:val="10"/>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FDAA3B">
                    <w:pPr>
                      <w:pStyle w:val="2"/>
                      <w:numPr>
                        <w:ilvl w:val="0"/>
                        <w:numId w:val="0"/>
                      </w:numPr>
                      <w:wordWrap w:val="0"/>
                      <w:ind w:left="420" w:leftChars="0" w:right="365" w:rightChars="114"/>
                      <w:jc w:val="both"/>
                    </w:pPr>
                    <w:r>
                      <w:rPr>
                        <w:rStyle w:val="10"/>
                        <w:rFonts w:hint="eastAsia"/>
                        <w:sz w:val="28"/>
                        <w:szCs w:val="28"/>
                      </w:rPr>
                      <w:t>—</w:t>
                    </w:r>
                    <w:r>
                      <w:rPr>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1</w:t>
                    </w:r>
                    <w:r>
                      <w:rPr>
                        <w:sz w:val="28"/>
                        <w:szCs w:val="28"/>
                      </w:rPr>
                      <w:fldChar w:fldCharType="end"/>
                    </w:r>
                    <w:r>
                      <w:rPr>
                        <w:rStyle w:val="10"/>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AF904">
    <w:pPr>
      <w:pStyle w:val="2"/>
      <w:numPr>
        <w:ilvl w:val="0"/>
        <w:numId w:val="1"/>
      </w:numPr>
      <w:ind w:left="567" w:hanging="283"/>
      <w:rPr>
        <w:sz w:val="28"/>
        <w:szCs w:val="28"/>
      </w:rPr>
    </w:pPr>
    <w:r>
      <w:rPr>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2</w:t>
    </w:r>
    <w:r>
      <w:rPr>
        <w:sz w:val="28"/>
        <w:szCs w:val="28"/>
      </w:rPr>
      <w:fldChar w:fldCharType="end"/>
    </w:r>
    <w:r>
      <w:rPr>
        <w:rStyle w:val="10"/>
        <w:rFonts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EF283">
    <w:pPr>
      <w:tabs>
        <w:tab w:val="center" w:pos="4153"/>
        <w:tab w:val="right" w:pos="8306"/>
      </w:tabs>
      <w:snapToGrid w:val="0"/>
      <w:spacing w:line="240" w:lineRule="atLeast"/>
      <w:ind w:firstLine="360" w:firstLineChars="200"/>
      <w:jc w:val="center"/>
      <w:rPr>
        <w:rFonts w:ascii="Times New Roman" w:hAnsi="Times New Roman" w:eastAsia="方正仿宋_GBK"/>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E70306"/>
    <w:multiLevelType w:val="multilevel"/>
    <w:tmpl w:val="37E70306"/>
    <w:lvl w:ilvl="0" w:tentative="0">
      <w:start w:val="1"/>
      <w:numFmt w:val="decimal"/>
      <w:lvlText w:val="%1."/>
      <w:lvlJc w:val="left"/>
      <w:pPr>
        <w:tabs>
          <w:tab w:val="left" w:pos="312"/>
        </w:tabs>
      </w:p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419943CA"/>
    <w:multiLevelType w:val="multilevel"/>
    <w:tmpl w:val="419943CA"/>
    <w:lvl w:ilvl="0" w:tentative="0">
      <w:start w:val="0"/>
      <w:numFmt w:val="bullet"/>
      <w:lvlText w:val="—"/>
      <w:lvlJc w:val="left"/>
      <w:pPr>
        <w:ind w:left="780" w:hanging="360"/>
      </w:pPr>
      <w:rPr>
        <w:rFonts w:hint="eastAsia" w:ascii="仿宋_GB2312" w:hAnsi="Times New Roman" w:eastAsia="仿宋_GB2312" w:cs="Times New Roman"/>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Formatting/>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jdiMTAxNmI3YzRkMjE3NDVjMDZhYWEyODU1ZGQifQ=="/>
  </w:docVars>
  <w:rsids>
    <w:rsidRoot w:val="002B71F4"/>
    <w:rsid w:val="00000D54"/>
    <w:rsid w:val="00043B16"/>
    <w:rsid w:val="00071183"/>
    <w:rsid w:val="0008161E"/>
    <w:rsid w:val="000A6DA9"/>
    <w:rsid w:val="000B6C9B"/>
    <w:rsid w:val="000D7A68"/>
    <w:rsid w:val="000E320E"/>
    <w:rsid w:val="001064AA"/>
    <w:rsid w:val="00125DE0"/>
    <w:rsid w:val="00140955"/>
    <w:rsid w:val="001513C2"/>
    <w:rsid w:val="00163CA6"/>
    <w:rsid w:val="001A2683"/>
    <w:rsid w:val="001B00F8"/>
    <w:rsid w:val="001B41EE"/>
    <w:rsid w:val="001D76FE"/>
    <w:rsid w:val="001E4E32"/>
    <w:rsid w:val="002179C5"/>
    <w:rsid w:val="00233F1F"/>
    <w:rsid w:val="002523FD"/>
    <w:rsid w:val="00262216"/>
    <w:rsid w:val="002A2828"/>
    <w:rsid w:val="002B5FAC"/>
    <w:rsid w:val="002B71F4"/>
    <w:rsid w:val="002F613E"/>
    <w:rsid w:val="003512CB"/>
    <w:rsid w:val="00365AB2"/>
    <w:rsid w:val="00376976"/>
    <w:rsid w:val="003E59CD"/>
    <w:rsid w:val="00407CE6"/>
    <w:rsid w:val="004528D1"/>
    <w:rsid w:val="004554B0"/>
    <w:rsid w:val="004560D0"/>
    <w:rsid w:val="00457FCD"/>
    <w:rsid w:val="00472095"/>
    <w:rsid w:val="004B2D68"/>
    <w:rsid w:val="004B61F4"/>
    <w:rsid w:val="004C6A91"/>
    <w:rsid w:val="004E0848"/>
    <w:rsid w:val="004E4364"/>
    <w:rsid w:val="00504F85"/>
    <w:rsid w:val="00507E90"/>
    <w:rsid w:val="00542F8C"/>
    <w:rsid w:val="005475BA"/>
    <w:rsid w:val="005D209E"/>
    <w:rsid w:val="005E18AE"/>
    <w:rsid w:val="005F16B8"/>
    <w:rsid w:val="00623F6D"/>
    <w:rsid w:val="0063349E"/>
    <w:rsid w:val="00634997"/>
    <w:rsid w:val="00655736"/>
    <w:rsid w:val="00695AE5"/>
    <w:rsid w:val="006B29BD"/>
    <w:rsid w:val="006B750C"/>
    <w:rsid w:val="006C59D7"/>
    <w:rsid w:val="006C62D5"/>
    <w:rsid w:val="006F753D"/>
    <w:rsid w:val="00731631"/>
    <w:rsid w:val="00736F6B"/>
    <w:rsid w:val="00745661"/>
    <w:rsid w:val="007457BC"/>
    <w:rsid w:val="00751E82"/>
    <w:rsid w:val="007642A4"/>
    <w:rsid w:val="0077126B"/>
    <w:rsid w:val="00781513"/>
    <w:rsid w:val="00794D62"/>
    <w:rsid w:val="00800790"/>
    <w:rsid w:val="00825E0C"/>
    <w:rsid w:val="008B3B2E"/>
    <w:rsid w:val="008B4DBE"/>
    <w:rsid w:val="008D630C"/>
    <w:rsid w:val="008E37A9"/>
    <w:rsid w:val="008F1D48"/>
    <w:rsid w:val="00902512"/>
    <w:rsid w:val="00936996"/>
    <w:rsid w:val="00936ADE"/>
    <w:rsid w:val="00966CB1"/>
    <w:rsid w:val="00973863"/>
    <w:rsid w:val="00974FB1"/>
    <w:rsid w:val="009821B3"/>
    <w:rsid w:val="009A0EBC"/>
    <w:rsid w:val="009C6BEC"/>
    <w:rsid w:val="009F1718"/>
    <w:rsid w:val="009F1817"/>
    <w:rsid w:val="00A00A68"/>
    <w:rsid w:val="00A02F50"/>
    <w:rsid w:val="00A115D4"/>
    <w:rsid w:val="00A30052"/>
    <w:rsid w:val="00A76BB3"/>
    <w:rsid w:val="00A9080C"/>
    <w:rsid w:val="00AB5766"/>
    <w:rsid w:val="00AE5842"/>
    <w:rsid w:val="00B21C53"/>
    <w:rsid w:val="00B4504A"/>
    <w:rsid w:val="00BB10B9"/>
    <w:rsid w:val="00BD4614"/>
    <w:rsid w:val="00BE0180"/>
    <w:rsid w:val="00BE5B83"/>
    <w:rsid w:val="00C6001E"/>
    <w:rsid w:val="00C728C5"/>
    <w:rsid w:val="00C7773A"/>
    <w:rsid w:val="00CD0F06"/>
    <w:rsid w:val="00CD1B41"/>
    <w:rsid w:val="00CF79F9"/>
    <w:rsid w:val="00D027CE"/>
    <w:rsid w:val="00D0413B"/>
    <w:rsid w:val="00D04BC8"/>
    <w:rsid w:val="00D07E72"/>
    <w:rsid w:val="00D429EB"/>
    <w:rsid w:val="00D4573E"/>
    <w:rsid w:val="00D5757A"/>
    <w:rsid w:val="00D6402A"/>
    <w:rsid w:val="00D75F13"/>
    <w:rsid w:val="00D76EC0"/>
    <w:rsid w:val="00D87B17"/>
    <w:rsid w:val="00D92C13"/>
    <w:rsid w:val="00D94277"/>
    <w:rsid w:val="00DB264A"/>
    <w:rsid w:val="00DE532C"/>
    <w:rsid w:val="00DE6289"/>
    <w:rsid w:val="00E002BE"/>
    <w:rsid w:val="00E1221E"/>
    <w:rsid w:val="00E14D6F"/>
    <w:rsid w:val="00E16644"/>
    <w:rsid w:val="00E622F8"/>
    <w:rsid w:val="00F52FCE"/>
    <w:rsid w:val="00F6250D"/>
    <w:rsid w:val="00F77D35"/>
    <w:rsid w:val="00FB1262"/>
    <w:rsid w:val="00FC55A6"/>
    <w:rsid w:val="00FD44D7"/>
    <w:rsid w:val="00FF757D"/>
    <w:rsid w:val="01CC33F3"/>
    <w:rsid w:val="04C44BA7"/>
    <w:rsid w:val="04C815CB"/>
    <w:rsid w:val="068E5C21"/>
    <w:rsid w:val="08746E89"/>
    <w:rsid w:val="0D9B477E"/>
    <w:rsid w:val="11ED1F1C"/>
    <w:rsid w:val="14F70FF5"/>
    <w:rsid w:val="15A20F39"/>
    <w:rsid w:val="15DB1BB4"/>
    <w:rsid w:val="19225DEC"/>
    <w:rsid w:val="19C45B5C"/>
    <w:rsid w:val="1B9A36AF"/>
    <w:rsid w:val="1F8D23B7"/>
    <w:rsid w:val="22001BEB"/>
    <w:rsid w:val="24D142DE"/>
    <w:rsid w:val="26DD3ED6"/>
    <w:rsid w:val="2BC617CC"/>
    <w:rsid w:val="2FBB557C"/>
    <w:rsid w:val="31AA0C0A"/>
    <w:rsid w:val="320B4A97"/>
    <w:rsid w:val="33223640"/>
    <w:rsid w:val="33300C09"/>
    <w:rsid w:val="352E6330"/>
    <w:rsid w:val="394B7F87"/>
    <w:rsid w:val="3D2832C7"/>
    <w:rsid w:val="3DCF7980"/>
    <w:rsid w:val="43C348B8"/>
    <w:rsid w:val="443219EA"/>
    <w:rsid w:val="46CD2AD9"/>
    <w:rsid w:val="47F070DC"/>
    <w:rsid w:val="4AD6220D"/>
    <w:rsid w:val="4C94376D"/>
    <w:rsid w:val="4FBE21EE"/>
    <w:rsid w:val="5055125D"/>
    <w:rsid w:val="511B754A"/>
    <w:rsid w:val="55A802C0"/>
    <w:rsid w:val="585E2B2B"/>
    <w:rsid w:val="58BE77A6"/>
    <w:rsid w:val="5E3269D5"/>
    <w:rsid w:val="613E1F42"/>
    <w:rsid w:val="655F3E18"/>
    <w:rsid w:val="66A2312E"/>
    <w:rsid w:val="66F51A97"/>
    <w:rsid w:val="6ABD4C21"/>
    <w:rsid w:val="6BE43380"/>
    <w:rsid w:val="6FA974BD"/>
    <w:rsid w:val="735D3E92"/>
    <w:rsid w:val="76380431"/>
    <w:rsid w:val="764E34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12"/>
    <w:unhideWhenUsed/>
    <w:qFormat/>
    <w:uiPriority w:val="0"/>
    <w:pPr>
      <w:tabs>
        <w:tab w:val="center" w:pos="4153"/>
        <w:tab w:val="right" w:pos="8306"/>
      </w:tabs>
      <w:snapToGrid w:val="0"/>
      <w:spacing w:line="240" w:lineRule="atLeast"/>
      <w:jc w:val="left"/>
    </w:pPr>
    <w:rPr>
      <w:sz w:val="18"/>
      <w:szCs w:val="18"/>
    </w:rPr>
  </w:style>
  <w:style w:type="paragraph" w:styleId="3">
    <w:name w:val="Body Text"/>
    <w:basedOn w:val="1"/>
    <w:next w:val="1"/>
    <w:unhideWhenUsed/>
    <w:qFormat/>
    <w:uiPriority w:val="99"/>
    <w:rPr>
      <w:rFonts w:ascii="仿宋_GB2312" w:eastAsia="仿宋_GB2312"/>
      <w:kern w:val="2"/>
      <w:sz w:val="32"/>
    </w:rPr>
  </w:style>
  <w:style w:type="paragraph" w:styleId="4">
    <w:name w:val="Balloon Text"/>
    <w:basedOn w:val="1"/>
    <w:link w:val="13"/>
    <w:semiHidden/>
    <w:unhideWhenUsed/>
    <w:qFormat/>
    <w:uiPriority w:val="99"/>
    <w:pPr>
      <w:spacing w:line="240" w:lineRule="auto"/>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toc 1"/>
    <w:basedOn w:val="1"/>
    <w:next w:val="1"/>
    <w:unhideWhenUsed/>
    <w:qFormat/>
    <w:uiPriority w:val="99"/>
    <w:pPr>
      <w:spacing w:line="240" w:lineRule="auto"/>
    </w:pPr>
    <w:rPr>
      <w:rFonts w:ascii="Calibri" w:hAnsi="Calibri" w:eastAsia="宋体"/>
      <w:sz w:val="21"/>
      <w:szCs w:val="21"/>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0">
    <w:name w:val="page number"/>
    <w:basedOn w:val="9"/>
    <w:qFormat/>
    <w:uiPriority w:val="0"/>
  </w:style>
  <w:style w:type="character" w:customStyle="1" w:styleId="11">
    <w:name w:val="页眉 Char"/>
    <w:basedOn w:val="9"/>
    <w:link w:val="5"/>
    <w:qFormat/>
    <w:uiPriority w:val="99"/>
    <w:rPr>
      <w:rFonts w:ascii="Times New Roman" w:hAnsi="Times New Roman" w:eastAsia="仿宋_GB2312" w:cs="Times New Roman"/>
      <w:sz w:val="18"/>
      <w:szCs w:val="18"/>
    </w:rPr>
  </w:style>
  <w:style w:type="character" w:customStyle="1" w:styleId="12">
    <w:name w:val="页脚 Char"/>
    <w:basedOn w:val="9"/>
    <w:link w:val="2"/>
    <w:qFormat/>
    <w:uiPriority w:val="99"/>
    <w:rPr>
      <w:rFonts w:ascii="Times New Roman" w:hAnsi="Times New Roman" w:eastAsia="仿宋_GB2312" w:cs="Times New Roman"/>
      <w:sz w:val="18"/>
      <w:szCs w:val="18"/>
    </w:rPr>
  </w:style>
  <w:style w:type="character" w:customStyle="1" w:styleId="13">
    <w:name w:val="批注框文本 Char"/>
    <w:basedOn w:val="9"/>
    <w:link w:val="4"/>
    <w:semiHidden/>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040552-5EF1-4724-B7B9-E87AA7FF95E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5843</Words>
  <Characters>5990</Characters>
  <Lines>4</Lines>
  <Paragraphs>1</Paragraphs>
  <TotalTime>6</TotalTime>
  <ScaleCrop>false</ScaleCrop>
  <LinksUpToDate>false</LinksUpToDate>
  <CharactersWithSpaces>6128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2020-06-15T05:11:00Z</dcterms:created>
  <dc:creator>国土局普通用户</dc:creator>
  <cp:lastModifiedBy>咕噜咕噜才怪啊</cp:lastModifiedBy>
  <cp:lastPrinted>2026-07-27T09:15:00Z</cp:lastPrinted>
  <dcterms:modified xsi:type="dcterms:W3CDTF">2026-07-29T06:13:00Z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B8AA1EA30C5A45E6A3A8CC889575C267_13</vt:lpwstr>
  </property>
  <property fmtid="{D5CDD505-2E9C-101B-9397-08002B2CF9AE}" pid="4" name="KSOTemplateDocerSaveRecord">
    <vt:lpwstr>eyJoZGlkIjoiZTJjM2RhYjFlZjhjODk1MGI2YzE4MjYyYzhjMzMzYjciLCJ1c2VySWQiOiI0MTM2MzAxMzgifQ==</vt:lpwstr>
  </property>
</Properties>
</file>