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19050" t="12700" r="13335" b="15875"/>
                <wp:wrapNone/>
                <wp:docPr id="1" name="Line 5"/>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2225">
                          <a:solidFill>
                            <a:srgbClr val="FF0000"/>
                          </a:solidFill>
                          <a:round/>
                        </a:ln>
                      </wps:spPr>
                      <wps:bodyPr/>
                    </wps:wsp>
                  </a:graphicData>
                </a:graphic>
              </wp:anchor>
            </w:drawing>
          </mc:Choice>
          <mc:Fallback>
            <w:pict>
              <v:line id="Line 5"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gvbntdYAAAAIAQAADwAAAAAAAAABACAAAAA4AAAAZHJzL2Rvd25y&#10;ZXYueG1sUEsBAhQAFAAAAAgAh07iQEHkHq6xAQAAVQMAAA4AAAAAAAAAAQAgAAAAOwEAAGRycy9l&#10;Mm9Eb2MueG1sUEsFBgAAAAAGAAYAWQEAAF4FAAAAAA==&#10;">
                <v:fill on="f" focussize="0,0"/>
                <v:stroke weight="1.75pt" color="#FF0000" joinstyle="round"/>
                <v:imagedata o:title=""/>
                <o:lock v:ext="edit" aspectratio="f"/>
              </v:line>
            </w:pict>
          </mc:Fallback>
        </mc:AlternateContent>
      </w:r>
      <w:r>
        <w:rPr>
          <w:rFonts w:ascii="Times New Roman" w:hAnsi="Times New Roman" w:eastAsia="方正小标宋_GBK"/>
          <w:sz w:val="44"/>
          <w:szCs w:val="44"/>
        </w:rPr>
        <w:pict>
          <v:shape id="_x0000_s1027" o:spid="_x0000_s1027" o:spt="136" type="#_x0000_t136" style="position:absolute;left:0pt;margin-top:99.25pt;height:90.75pt;width:410.7pt;mso-position-horizontal:center;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政务督查" style="font-family:方正魏碑_GBK;font-size:80pt;v-text-align:center;"/>
          </v:shape>
        </w:pict>
      </w:r>
    </w:p>
    <w:p>
      <w:pPr>
        <w:spacing w:line="560" w:lineRule="exact"/>
        <w:jc w:val="center"/>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p>
    <w:p>
      <w:pPr>
        <w:spacing w:line="360" w:lineRule="exact"/>
        <w:rPr>
          <w:rFonts w:ascii="Times New Roman" w:hAnsi="Times New Roman" w:eastAsia="方正小标宋_GBK"/>
          <w:sz w:val="44"/>
          <w:szCs w:val="44"/>
        </w:rPr>
      </w:pPr>
    </w:p>
    <w:p>
      <w:pPr>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rPr>
        <w:t>15</w:t>
      </w:r>
      <w:r>
        <w:rPr>
          <w:rFonts w:ascii="Times New Roman" w:hAnsi="Times New Roman" w:eastAsia="方正仿宋_GBK"/>
          <w:sz w:val="32"/>
          <w:szCs w:val="32"/>
        </w:rPr>
        <w:t>期)</w:t>
      </w:r>
    </w:p>
    <w:p>
      <w:pPr>
        <w:spacing w:line="560" w:lineRule="atLeast"/>
        <w:jc w:val="center"/>
        <w:rPr>
          <w:rFonts w:ascii="Times New Roman" w:hAnsi="Times New Roman" w:eastAsia="方正仿宋_GBK"/>
          <w:sz w:val="32"/>
          <w:szCs w:val="32"/>
        </w:rPr>
      </w:pPr>
      <w:r>
        <w:rPr>
          <w:rFonts w:ascii="Times New Roman" w:hAnsi="Times New Roman" w:eastAsia="方正仿宋_GBK"/>
          <w:sz w:val="32"/>
          <w:szCs w:val="32"/>
        </w:rPr>
        <w:t>重庆市沙坪坝区人民政府督查办     202</w:t>
      </w:r>
      <w:r>
        <w:rPr>
          <w:rFonts w:hint="eastAsia" w:ascii="Times New Roman" w:hAnsi="Times New Roman" w:eastAsia="方正仿宋_GBK"/>
          <w:sz w:val="32"/>
          <w:szCs w:val="32"/>
        </w:rPr>
        <w:t>1</w:t>
      </w:r>
      <w:r>
        <w:rPr>
          <w:rFonts w:ascii="Times New Roman" w:hAnsi="Times New Roman" w:eastAsia="方正仿宋_GBK"/>
          <w:sz w:val="32"/>
          <w:szCs w:val="32"/>
        </w:rPr>
        <w:t>年4月</w:t>
      </w:r>
      <w:r>
        <w:rPr>
          <w:rFonts w:hint="eastAsia" w:ascii="Times New Roman" w:hAnsi="Times New Roman" w:eastAsia="方正仿宋_GBK"/>
          <w:sz w:val="32"/>
          <w:szCs w:val="32"/>
        </w:rPr>
        <w:t>8</w:t>
      </w:r>
      <w:r>
        <w:rPr>
          <w:rFonts w:ascii="Times New Roman" w:hAnsi="Times New Roman" w:eastAsia="方正仿宋_GBK"/>
          <w:sz w:val="32"/>
          <w:szCs w:val="32"/>
        </w:rPr>
        <w:t>日</w:t>
      </w:r>
    </w:p>
    <w:p>
      <w:pPr>
        <w:spacing w:line="56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重庆市沙坪坝区人民政府督查办</w:t>
      </w:r>
    </w:p>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关于202</w:t>
      </w:r>
      <w:r>
        <w:rPr>
          <w:rFonts w:hint="eastAsia" w:ascii="Times New Roman" w:hAnsi="Times New Roman" w:eastAsia="方正小标宋_GBK"/>
          <w:sz w:val="44"/>
          <w:szCs w:val="36"/>
        </w:rPr>
        <w:t>1</w:t>
      </w:r>
      <w:r>
        <w:rPr>
          <w:rFonts w:ascii="Times New Roman" w:hAnsi="Times New Roman" w:eastAsia="方正小标宋_GBK"/>
          <w:sz w:val="44"/>
          <w:szCs w:val="36"/>
        </w:rPr>
        <w:t>年区政府工作报告重点任务一季度推进情况的报告</w:t>
      </w:r>
    </w:p>
    <w:p>
      <w:pPr>
        <w:spacing w:line="600" w:lineRule="exact"/>
        <w:rPr>
          <w:rFonts w:ascii="Times New Roman" w:hAnsi="Times New Roman" w:eastAsia="方正小标宋_GBK"/>
          <w:sz w:val="36"/>
          <w:szCs w:val="36"/>
        </w:rPr>
      </w:pPr>
    </w:p>
    <w:p>
      <w:pPr>
        <w:spacing w:line="620" w:lineRule="exact"/>
        <w:rPr>
          <w:rFonts w:ascii="Times New Roman" w:hAnsi="Times New Roman" w:eastAsia="方正仿宋_GBK"/>
          <w:sz w:val="36"/>
          <w:szCs w:val="36"/>
        </w:rPr>
      </w:pPr>
      <w:r>
        <w:rPr>
          <w:rFonts w:ascii="Times New Roman" w:hAnsi="Times New Roman" w:eastAsia="方正仿宋_GBK"/>
          <w:sz w:val="36"/>
          <w:szCs w:val="36"/>
        </w:rPr>
        <w:t>区政府：</w:t>
      </w:r>
    </w:p>
    <w:p>
      <w:pPr>
        <w:spacing w:line="620" w:lineRule="exact"/>
        <w:ind w:firstLine="720" w:firstLineChars="200"/>
        <w:rPr>
          <w:rFonts w:ascii="Times New Roman" w:hAnsi="Times New Roman" w:eastAsia="方正仿宋_GBK"/>
          <w:sz w:val="36"/>
          <w:szCs w:val="36"/>
        </w:rPr>
      </w:pPr>
      <w:r>
        <w:rPr>
          <w:rFonts w:ascii="Times New Roman" w:hAnsi="Times New Roman" w:eastAsia="方正仿宋_GBK"/>
          <w:sz w:val="36"/>
          <w:szCs w:val="36"/>
        </w:rPr>
        <w:t>按照区政府工作安排，区政府督查办对202</w:t>
      </w:r>
      <w:r>
        <w:rPr>
          <w:rFonts w:hint="eastAsia" w:ascii="Times New Roman" w:hAnsi="Times New Roman" w:eastAsia="方正仿宋_GBK"/>
          <w:sz w:val="36"/>
          <w:szCs w:val="36"/>
        </w:rPr>
        <w:t>1</w:t>
      </w:r>
      <w:r>
        <w:rPr>
          <w:rFonts w:ascii="Times New Roman" w:hAnsi="Times New Roman" w:eastAsia="方正仿宋_GBK"/>
          <w:sz w:val="36"/>
          <w:szCs w:val="36"/>
        </w:rPr>
        <w:t>年政府工作报告重点工作任务一季度推进情况进行了汇总，现将具体情况报告如下。</w:t>
      </w:r>
    </w:p>
    <w:p>
      <w:pPr>
        <w:spacing w:line="620" w:lineRule="exact"/>
        <w:ind w:firstLine="720" w:firstLineChars="200"/>
        <w:rPr>
          <w:rFonts w:ascii="Times New Roman" w:hAnsi="Times New Roman" w:eastAsia="方正黑体_GBK"/>
          <w:sz w:val="36"/>
          <w:szCs w:val="36"/>
        </w:rPr>
      </w:pPr>
      <w:r>
        <w:rPr>
          <w:rFonts w:ascii="Times New Roman" w:hAnsi="Times New Roman" w:eastAsia="方正黑体_GBK"/>
          <w:sz w:val="36"/>
          <w:szCs w:val="36"/>
        </w:rPr>
        <w:t>一、10项经济社会发展预期目标情况</w:t>
      </w:r>
    </w:p>
    <w:p>
      <w:pPr>
        <w:spacing w:line="620" w:lineRule="exact"/>
        <w:ind w:firstLine="720" w:firstLineChars="200"/>
        <w:rPr>
          <w:rFonts w:ascii="Times New Roman" w:hAnsi="Times New Roman" w:eastAsia="方正仿宋_GBK"/>
          <w:sz w:val="36"/>
          <w:szCs w:val="36"/>
        </w:rPr>
      </w:pPr>
      <w:r>
        <w:rPr>
          <w:rFonts w:hint="eastAsia" w:ascii="Times New Roman" w:hAnsi="Times New Roman" w:eastAsia="方正仿宋_GBK"/>
          <w:sz w:val="36"/>
          <w:szCs w:val="36"/>
        </w:rPr>
        <w:t>因去年</w:t>
      </w:r>
      <w:r>
        <w:rPr>
          <w:rFonts w:ascii="Times New Roman" w:hAnsi="Times New Roman" w:eastAsia="方正仿宋_GBK"/>
          <w:sz w:val="36"/>
          <w:szCs w:val="36"/>
        </w:rPr>
        <w:t>受疫情影响</w:t>
      </w:r>
      <w:r>
        <w:rPr>
          <w:rFonts w:hint="eastAsia" w:ascii="Times New Roman" w:hAnsi="Times New Roman" w:eastAsia="方正仿宋_GBK"/>
          <w:sz w:val="36"/>
          <w:szCs w:val="36"/>
        </w:rPr>
        <w:t>，基数较低</w:t>
      </w:r>
      <w:r>
        <w:rPr>
          <w:rFonts w:ascii="Times New Roman" w:hAnsi="Times New Roman" w:eastAsia="方正仿宋_GBK"/>
          <w:sz w:val="36"/>
          <w:szCs w:val="36"/>
        </w:rPr>
        <w:t>，</w:t>
      </w:r>
      <w:r>
        <w:rPr>
          <w:rFonts w:hint="eastAsia" w:ascii="Times New Roman" w:hAnsi="Times New Roman" w:eastAsia="方正仿宋_GBK"/>
          <w:sz w:val="36"/>
          <w:szCs w:val="36"/>
        </w:rPr>
        <w:t>今年</w:t>
      </w:r>
      <w:r>
        <w:rPr>
          <w:rFonts w:hint="eastAsia" w:ascii="Times New Roman" w:hAnsi="Times New Roman" w:eastAsia="方正仿宋_GBK"/>
          <w:b/>
          <w:sz w:val="36"/>
          <w:szCs w:val="36"/>
        </w:rPr>
        <w:t>10</w:t>
      </w:r>
      <w:r>
        <w:rPr>
          <w:rFonts w:ascii="Times New Roman" w:hAnsi="Times New Roman" w:eastAsia="方正仿宋_GBK"/>
          <w:b/>
          <w:sz w:val="36"/>
          <w:szCs w:val="36"/>
        </w:rPr>
        <w:t>项指标</w:t>
      </w:r>
      <w:r>
        <w:rPr>
          <w:rFonts w:hint="eastAsia" w:ascii="Times New Roman" w:hAnsi="Times New Roman" w:eastAsia="方正仿宋_GBK"/>
          <w:sz w:val="36"/>
          <w:szCs w:val="36"/>
        </w:rPr>
        <w:t>均</w:t>
      </w:r>
      <w:r>
        <w:rPr>
          <w:rFonts w:ascii="Times New Roman" w:hAnsi="Times New Roman" w:eastAsia="方正仿宋_GBK"/>
          <w:sz w:val="36"/>
          <w:szCs w:val="36"/>
        </w:rPr>
        <w:t>符合预期目标，</w:t>
      </w:r>
      <w:r>
        <w:rPr>
          <w:rFonts w:hint="eastAsia" w:ascii="Times New Roman" w:hAnsi="Times New Roman" w:eastAsia="方正仿宋_GBK"/>
          <w:sz w:val="36"/>
          <w:szCs w:val="36"/>
        </w:rPr>
        <w:t>其中，</w:t>
      </w:r>
      <w:r>
        <w:rPr>
          <w:rFonts w:ascii="Times New Roman" w:hAnsi="Times New Roman" w:eastAsia="方正仿宋_GBK"/>
          <w:b/>
          <w:sz w:val="36"/>
          <w:szCs w:val="36"/>
        </w:rPr>
        <w:t>地区生产总值</w:t>
      </w:r>
      <w:r>
        <w:rPr>
          <w:rFonts w:hint="eastAsia" w:ascii="Times New Roman" w:hAnsi="Times New Roman" w:eastAsia="方正仿宋_GBK"/>
          <w:b/>
          <w:sz w:val="36"/>
          <w:szCs w:val="36"/>
        </w:rPr>
        <w:t>、固定资产投资总额</w:t>
      </w:r>
      <w:r>
        <w:rPr>
          <w:rFonts w:hint="eastAsia" w:ascii="Times New Roman" w:hAnsi="Times New Roman" w:eastAsia="方正仿宋_GBK"/>
          <w:sz w:val="36"/>
          <w:szCs w:val="36"/>
        </w:rPr>
        <w:t>2项指标增长率均预计在20%左右，</w:t>
      </w:r>
      <w:r>
        <w:rPr>
          <w:rFonts w:hint="eastAsia" w:ascii="Times New Roman" w:hAnsi="Times New Roman" w:eastAsia="方正仿宋_GBK"/>
          <w:b/>
          <w:sz w:val="36"/>
          <w:szCs w:val="36"/>
        </w:rPr>
        <w:t>工业增加值、进出口总额、一般公共预算收入、税收收入</w:t>
      </w:r>
      <w:r>
        <w:rPr>
          <w:rFonts w:hint="eastAsia" w:ascii="Times New Roman" w:hAnsi="Times New Roman" w:eastAsia="方正仿宋_GBK"/>
          <w:sz w:val="36"/>
          <w:szCs w:val="36"/>
        </w:rPr>
        <w:t>等4项指标增长率均预计在30%左右，</w:t>
      </w:r>
      <w:r>
        <w:rPr>
          <w:rFonts w:hint="eastAsia" w:ascii="Times New Roman" w:hAnsi="Times New Roman" w:eastAsia="方正仿宋_GBK"/>
          <w:b/>
          <w:sz w:val="36"/>
          <w:szCs w:val="36"/>
        </w:rPr>
        <w:t>社会消费品零售总额</w:t>
      </w:r>
      <w:r>
        <w:rPr>
          <w:rFonts w:hint="eastAsia" w:ascii="Times New Roman" w:hAnsi="Times New Roman" w:eastAsia="方正仿宋_GBK"/>
          <w:sz w:val="36"/>
          <w:szCs w:val="36"/>
        </w:rPr>
        <w:t>同比增长78.1%，</w:t>
      </w:r>
      <w:r>
        <w:rPr>
          <w:rFonts w:hint="eastAsia" w:ascii="Times New Roman" w:hAnsi="Times New Roman" w:eastAsia="方正仿宋_GBK"/>
          <w:b/>
          <w:sz w:val="36"/>
          <w:szCs w:val="36"/>
        </w:rPr>
        <w:t>居民收入增长与经济增长基本同步、空气质量、节能减排降碳</w:t>
      </w:r>
      <w:r>
        <w:rPr>
          <w:rFonts w:hint="eastAsia" w:ascii="Times New Roman" w:hAnsi="Times New Roman" w:eastAsia="方正仿宋_GBK"/>
          <w:sz w:val="36"/>
          <w:szCs w:val="36"/>
        </w:rPr>
        <w:t>等3项任务一季度进展符合时间节点要求，预计能够完成年度目标任务</w:t>
      </w:r>
      <w:r>
        <w:rPr>
          <w:rFonts w:ascii="Times New Roman" w:hAnsi="Times New Roman" w:eastAsia="方正仿宋_GBK"/>
          <w:sz w:val="36"/>
          <w:szCs w:val="36"/>
        </w:rPr>
        <w:t>。</w:t>
      </w:r>
    </w:p>
    <w:p>
      <w:pPr>
        <w:spacing w:line="620" w:lineRule="exact"/>
        <w:ind w:firstLine="720" w:firstLineChars="200"/>
        <w:rPr>
          <w:rFonts w:ascii="Times New Roman" w:hAnsi="Times New Roman" w:eastAsia="方正黑体_GBK"/>
          <w:sz w:val="36"/>
          <w:szCs w:val="36"/>
        </w:rPr>
      </w:pPr>
      <w:r>
        <w:rPr>
          <w:rFonts w:ascii="Times New Roman" w:hAnsi="Times New Roman" w:eastAsia="方正黑体_GBK"/>
          <w:sz w:val="36"/>
          <w:szCs w:val="36"/>
        </w:rPr>
        <w:t>二、10项区级重点民生实事任务进展情况</w:t>
      </w:r>
    </w:p>
    <w:p>
      <w:pPr>
        <w:spacing w:line="620" w:lineRule="exact"/>
        <w:ind w:firstLine="645"/>
        <w:rPr>
          <w:rFonts w:ascii="Times New Roman" w:hAnsi="Times New Roman" w:eastAsia="方正仿宋_GBK"/>
          <w:sz w:val="36"/>
          <w:szCs w:val="36"/>
        </w:rPr>
      </w:pPr>
      <w:r>
        <w:rPr>
          <w:rFonts w:ascii="Times New Roman" w:hAnsi="Times New Roman" w:eastAsia="方正仿宋_GBK"/>
          <w:sz w:val="36"/>
          <w:szCs w:val="36"/>
        </w:rPr>
        <w:t>10项区级重点民生实事任务一季度正常推进（详见附件2）。其中，</w:t>
      </w:r>
      <w:r>
        <w:rPr>
          <w:rFonts w:hint="eastAsia" w:ascii="Times New Roman" w:hAnsi="Times New Roman" w:eastAsia="方正仿宋_GBK"/>
          <w:sz w:val="36"/>
          <w:szCs w:val="36"/>
        </w:rPr>
        <w:t>老旧小区改造、公共停车设施建设、“清水绿岸”治理</w:t>
      </w:r>
      <w:r>
        <w:rPr>
          <w:rFonts w:ascii="Times New Roman" w:hAnsi="Times New Roman" w:eastAsia="方正仿宋_GBK"/>
          <w:sz w:val="36"/>
          <w:szCs w:val="36"/>
        </w:rPr>
        <w:t>等</w:t>
      </w:r>
      <w:r>
        <w:rPr>
          <w:rFonts w:hint="eastAsia" w:ascii="Times New Roman" w:hAnsi="Times New Roman" w:eastAsia="方正仿宋_GBK"/>
          <w:sz w:val="36"/>
          <w:szCs w:val="36"/>
        </w:rPr>
        <w:t>8</w:t>
      </w:r>
      <w:r>
        <w:rPr>
          <w:rFonts w:ascii="Times New Roman" w:hAnsi="Times New Roman" w:eastAsia="方正仿宋_GBK"/>
          <w:sz w:val="36"/>
          <w:szCs w:val="36"/>
        </w:rPr>
        <w:t>项民生实事已进场施工。</w:t>
      </w:r>
    </w:p>
    <w:p>
      <w:pPr>
        <w:spacing w:line="620" w:lineRule="exact"/>
        <w:ind w:firstLine="645"/>
        <w:rPr>
          <w:rFonts w:ascii="Times New Roman" w:hAnsi="Times New Roman" w:eastAsia="方正仿宋_GBK"/>
          <w:sz w:val="36"/>
          <w:szCs w:val="36"/>
        </w:rPr>
      </w:pPr>
      <w:r>
        <w:rPr>
          <w:rFonts w:ascii="Times New Roman" w:hAnsi="Times New Roman" w:eastAsia="方正仿宋_GBK"/>
          <w:sz w:val="36"/>
          <w:szCs w:val="36"/>
        </w:rPr>
        <w:t>剩余</w:t>
      </w:r>
      <w:r>
        <w:rPr>
          <w:rFonts w:hint="eastAsia" w:ascii="Times New Roman" w:hAnsi="Times New Roman" w:eastAsia="方正仿宋_GBK"/>
          <w:sz w:val="36"/>
          <w:szCs w:val="36"/>
        </w:rPr>
        <w:t>农村饮水安全工程、老旧电梯改造2</w:t>
      </w:r>
      <w:r>
        <w:rPr>
          <w:rFonts w:ascii="Times New Roman" w:hAnsi="Times New Roman" w:eastAsia="方正仿宋_GBK"/>
          <w:sz w:val="36"/>
          <w:szCs w:val="36"/>
        </w:rPr>
        <w:t>项</w:t>
      </w:r>
      <w:r>
        <w:rPr>
          <w:rFonts w:hint="eastAsia" w:ascii="Times New Roman" w:hAnsi="Times New Roman" w:eastAsia="方正仿宋_GBK"/>
          <w:sz w:val="36"/>
          <w:szCs w:val="36"/>
        </w:rPr>
        <w:t>任务</w:t>
      </w:r>
      <w:r>
        <w:rPr>
          <w:rFonts w:ascii="Times New Roman" w:hAnsi="Times New Roman" w:eastAsia="方正仿宋_GBK"/>
          <w:sz w:val="36"/>
          <w:szCs w:val="36"/>
        </w:rPr>
        <w:t>暂未启动施工。</w:t>
      </w:r>
      <w:r>
        <w:rPr>
          <w:rFonts w:hint="eastAsia" w:ascii="Times New Roman" w:hAnsi="Times New Roman" w:eastAsia="方正仿宋_GBK"/>
          <w:sz w:val="36"/>
          <w:szCs w:val="36"/>
        </w:rPr>
        <w:t>其中，</w:t>
      </w:r>
      <w:r>
        <w:rPr>
          <w:rFonts w:ascii="Times New Roman" w:hAnsi="Times New Roman" w:eastAsia="方正仿宋_GBK"/>
          <w:sz w:val="36"/>
          <w:szCs w:val="36"/>
        </w:rPr>
        <w:t>目前，</w:t>
      </w:r>
      <w:r>
        <w:rPr>
          <w:rFonts w:hint="eastAsia" w:ascii="Times New Roman" w:hAnsi="Times New Roman" w:eastAsia="方正仿宋_GBK"/>
          <w:sz w:val="36"/>
          <w:szCs w:val="36"/>
        </w:rPr>
        <w:t>农村饮水安全工程，大学城水务公司正在向上级单位申请立项，并同步编制实施方案及施工图等；老旧电梯改造，已完成方案设计，拟于4月中旬组织需求摸底。</w:t>
      </w:r>
    </w:p>
    <w:p>
      <w:pPr>
        <w:spacing w:line="620" w:lineRule="exact"/>
        <w:ind w:firstLine="720" w:firstLineChars="200"/>
        <w:rPr>
          <w:rFonts w:ascii="Times New Roman" w:hAnsi="Times New Roman" w:eastAsia="方正黑体_GBK"/>
          <w:sz w:val="36"/>
          <w:szCs w:val="36"/>
        </w:rPr>
      </w:pPr>
      <w:r>
        <w:rPr>
          <w:rFonts w:ascii="Times New Roman" w:hAnsi="Times New Roman" w:eastAsia="方正黑体_GBK"/>
          <w:sz w:val="36"/>
          <w:szCs w:val="36"/>
        </w:rPr>
        <w:t>三、</w:t>
      </w:r>
      <w:r>
        <w:rPr>
          <w:rFonts w:hint="eastAsia" w:ascii="Times New Roman" w:hAnsi="Times New Roman" w:eastAsia="方正黑体_GBK"/>
          <w:sz w:val="36"/>
          <w:szCs w:val="36"/>
        </w:rPr>
        <w:t>137</w:t>
      </w:r>
      <w:r>
        <w:rPr>
          <w:rFonts w:ascii="Times New Roman" w:hAnsi="Times New Roman" w:eastAsia="方正黑体_GBK"/>
          <w:sz w:val="36"/>
          <w:szCs w:val="36"/>
        </w:rPr>
        <w:t>项重点工作任务进展情况</w:t>
      </w:r>
    </w:p>
    <w:p>
      <w:pPr>
        <w:spacing w:line="620" w:lineRule="exact"/>
        <w:ind w:firstLine="720" w:firstLineChars="200"/>
        <w:rPr>
          <w:rFonts w:ascii="Times New Roman" w:hAnsi="Times New Roman" w:eastAsia="方正仿宋_GBK"/>
          <w:sz w:val="36"/>
          <w:szCs w:val="36"/>
        </w:rPr>
      </w:pPr>
      <w:r>
        <w:rPr>
          <w:rFonts w:ascii="Times New Roman" w:hAnsi="Times New Roman" w:eastAsia="方正仿宋_GBK"/>
          <w:sz w:val="36"/>
          <w:szCs w:val="36"/>
        </w:rPr>
        <w:t>重点工作任务中，1</w:t>
      </w:r>
      <w:r>
        <w:rPr>
          <w:rFonts w:hint="eastAsia" w:ascii="Times New Roman" w:hAnsi="Times New Roman" w:eastAsia="方正仿宋_GBK"/>
          <w:sz w:val="36"/>
          <w:szCs w:val="36"/>
        </w:rPr>
        <w:t>37</w:t>
      </w:r>
      <w:r>
        <w:rPr>
          <w:rFonts w:ascii="Times New Roman" w:hAnsi="Times New Roman" w:eastAsia="方正仿宋_GBK"/>
          <w:sz w:val="36"/>
          <w:szCs w:val="36"/>
        </w:rPr>
        <w:t>项任务</w:t>
      </w:r>
      <w:r>
        <w:rPr>
          <w:rFonts w:hint="eastAsia" w:ascii="Times New Roman" w:hAnsi="Times New Roman" w:eastAsia="方正仿宋_GBK"/>
          <w:sz w:val="36"/>
          <w:szCs w:val="36"/>
        </w:rPr>
        <w:t>均</w:t>
      </w:r>
      <w:r>
        <w:rPr>
          <w:rFonts w:ascii="Times New Roman" w:hAnsi="Times New Roman" w:eastAsia="方正仿宋_GBK"/>
          <w:sz w:val="36"/>
          <w:szCs w:val="36"/>
        </w:rPr>
        <w:t>正常推进，预计能够完成年度任务（详见附件3）。</w:t>
      </w:r>
    </w:p>
    <w:p>
      <w:pPr>
        <w:spacing w:line="620" w:lineRule="exact"/>
        <w:ind w:firstLine="720" w:firstLineChars="200"/>
        <w:rPr>
          <w:rFonts w:ascii="Times New Roman" w:hAnsi="Times New Roman" w:eastAsia="方正仿宋_GBK"/>
          <w:sz w:val="36"/>
          <w:szCs w:val="36"/>
        </w:rPr>
      </w:pPr>
    </w:p>
    <w:p>
      <w:pPr>
        <w:spacing w:line="620" w:lineRule="exact"/>
        <w:ind w:firstLine="720" w:firstLineChars="200"/>
        <w:rPr>
          <w:rFonts w:ascii="Times New Roman" w:hAnsi="Times New Roman" w:eastAsia="方正仿宋_GBK"/>
          <w:sz w:val="36"/>
          <w:szCs w:val="36"/>
        </w:rPr>
      </w:pPr>
      <w:r>
        <w:rPr>
          <w:rFonts w:ascii="Times New Roman" w:hAnsi="Times New Roman" w:eastAsia="方正仿宋_GBK"/>
          <w:sz w:val="36"/>
          <w:szCs w:val="36"/>
        </w:rPr>
        <w:t>附件：1.</w:t>
      </w:r>
      <w:r>
        <w:rPr>
          <w:rFonts w:hint="eastAsia" w:ascii="Times New Roman" w:hAnsi="Times New Roman" w:eastAsia="方正仿宋_GBK"/>
          <w:spacing w:val="-20"/>
          <w:sz w:val="36"/>
          <w:szCs w:val="36"/>
        </w:rPr>
        <w:t>经济社会发展</w:t>
      </w:r>
      <w:r>
        <w:rPr>
          <w:rFonts w:ascii="Times New Roman" w:hAnsi="Times New Roman" w:eastAsia="方正仿宋_GBK"/>
          <w:spacing w:val="-20"/>
          <w:sz w:val="36"/>
          <w:szCs w:val="36"/>
        </w:rPr>
        <w:t>10项预期目标任务进展情况表</w:t>
      </w:r>
    </w:p>
    <w:p>
      <w:pPr>
        <w:spacing w:line="620" w:lineRule="exact"/>
        <w:ind w:firstLine="1800" w:firstLineChars="500"/>
        <w:rPr>
          <w:rFonts w:ascii="Times New Roman" w:hAnsi="Times New Roman" w:eastAsia="方正仿宋_GBK"/>
          <w:sz w:val="36"/>
          <w:szCs w:val="36"/>
        </w:rPr>
      </w:pPr>
      <w:r>
        <w:rPr>
          <w:rFonts w:ascii="Times New Roman" w:hAnsi="Times New Roman" w:eastAsia="方正仿宋_GBK"/>
          <w:sz w:val="36"/>
          <w:szCs w:val="36"/>
        </w:rPr>
        <w:t>2.区级重点民生实事任务</w:t>
      </w:r>
      <w:r>
        <w:rPr>
          <w:rFonts w:hint="eastAsia" w:ascii="Times New Roman" w:hAnsi="Times New Roman" w:eastAsia="方正仿宋_GBK"/>
          <w:sz w:val="36"/>
          <w:szCs w:val="36"/>
        </w:rPr>
        <w:t>进展</w:t>
      </w:r>
      <w:r>
        <w:rPr>
          <w:rFonts w:ascii="Times New Roman" w:hAnsi="Times New Roman" w:eastAsia="方正仿宋_GBK"/>
          <w:sz w:val="36"/>
          <w:szCs w:val="36"/>
        </w:rPr>
        <w:t>情况表</w:t>
      </w:r>
    </w:p>
    <w:p>
      <w:pPr>
        <w:spacing w:line="620" w:lineRule="exact"/>
        <w:ind w:firstLine="1800" w:firstLineChars="500"/>
        <w:rPr>
          <w:rFonts w:ascii="Times New Roman" w:hAnsi="Times New Roman" w:eastAsia="方正仿宋_GBK"/>
          <w:sz w:val="36"/>
          <w:szCs w:val="36"/>
        </w:rPr>
      </w:pPr>
      <w:r>
        <w:rPr>
          <w:rFonts w:ascii="Times New Roman" w:hAnsi="Times New Roman" w:eastAsia="方正仿宋_GBK"/>
          <w:sz w:val="36"/>
          <w:szCs w:val="36"/>
        </w:rPr>
        <w:t xml:space="preserve">3. </w:t>
      </w:r>
      <w:r>
        <w:rPr>
          <w:rFonts w:hint="eastAsia" w:ascii="Times New Roman" w:hAnsi="Times New Roman" w:eastAsia="方正仿宋_GBK"/>
          <w:sz w:val="36"/>
          <w:szCs w:val="36"/>
        </w:rPr>
        <w:t>137</w:t>
      </w:r>
      <w:r>
        <w:rPr>
          <w:rFonts w:ascii="Times New Roman" w:hAnsi="Times New Roman" w:eastAsia="方正仿宋_GBK"/>
          <w:sz w:val="36"/>
          <w:szCs w:val="36"/>
        </w:rPr>
        <w:t>项重点工作任务进展情况表</w:t>
      </w:r>
    </w:p>
    <w:p>
      <w:pPr>
        <w:snapToGrid w:val="0"/>
        <w:spacing w:line="620" w:lineRule="exact"/>
        <w:rPr>
          <w:rFonts w:ascii="Times New Roman" w:hAnsi="Times New Roman" w:eastAsia="方正仿宋_GBK"/>
          <w:sz w:val="36"/>
          <w:szCs w:val="36"/>
        </w:rPr>
      </w:pPr>
    </w:p>
    <w:p>
      <w:pPr>
        <w:snapToGrid w:val="0"/>
        <w:spacing w:line="620" w:lineRule="exact"/>
        <w:rPr>
          <w:rFonts w:ascii="Times New Roman" w:hAnsi="Times New Roman" w:eastAsia="方正仿宋_GBK"/>
          <w:sz w:val="36"/>
          <w:szCs w:val="36"/>
        </w:rPr>
      </w:pPr>
    </w:p>
    <w:p>
      <w:pPr>
        <w:snapToGrid w:val="0"/>
        <w:spacing w:line="620" w:lineRule="exact"/>
        <w:rPr>
          <w:rFonts w:ascii="Times New Roman" w:hAnsi="Times New Roman" w:eastAsia="方正仿宋_GBK"/>
          <w:sz w:val="36"/>
          <w:szCs w:val="36"/>
        </w:rPr>
      </w:pPr>
    </w:p>
    <w:p>
      <w:pPr>
        <w:snapToGrid w:val="0"/>
        <w:spacing w:line="620" w:lineRule="exact"/>
        <w:ind w:firstLine="3240" w:firstLineChars="900"/>
        <w:rPr>
          <w:rFonts w:ascii="Times New Roman" w:hAnsi="Times New Roman" w:eastAsia="方正仿宋_GBK"/>
          <w:sz w:val="36"/>
          <w:szCs w:val="36"/>
        </w:rPr>
      </w:pPr>
      <w:r>
        <w:rPr>
          <w:rFonts w:ascii="Times New Roman" w:hAnsi="Times New Roman" w:eastAsia="方正仿宋_GBK"/>
          <w:sz w:val="36"/>
          <w:szCs w:val="36"/>
        </w:rPr>
        <w:t>重庆市沙坪坝区人民政府督查办</w:t>
      </w:r>
    </w:p>
    <w:p>
      <w:pPr>
        <w:snapToGrid w:val="0"/>
        <w:spacing w:line="620" w:lineRule="exact"/>
        <w:ind w:firstLine="4320" w:firstLineChars="1200"/>
        <w:rPr>
          <w:rFonts w:ascii="Times New Roman" w:hAnsi="Times New Roman" w:eastAsia="方正仿宋_GBK"/>
          <w:sz w:val="36"/>
          <w:szCs w:val="36"/>
        </w:rPr>
        <w:sectPr>
          <w:footerReference r:id="rId3" w:type="default"/>
          <w:footerReference r:id="rId4" w:type="even"/>
          <w:pgSz w:w="11906" w:h="16838"/>
          <w:pgMar w:top="2098" w:right="1474" w:bottom="1985" w:left="1588" w:header="851" w:footer="992" w:gutter="0"/>
          <w:cols w:space="720" w:num="1"/>
          <w:docGrid w:type="lines" w:linePitch="312" w:charSpace="0"/>
        </w:sectPr>
      </w:pPr>
      <w:r>
        <w:rPr>
          <w:rFonts w:ascii="Times New Roman" w:hAnsi="Times New Roman" w:eastAsia="方正仿宋_GBK"/>
          <w:sz w:val="36"/>
          <w:szCs w:val="36"/>
        </w:rPr>
        <w:t>202</w:t>
      </w:r>
      <w:r>
        <w:rPr>
          <w:rFonts w:hint="eastAsia" w:ascii="Times New Roman" w:hAnsi="Times New Roman" w:eastAsia="方正仿宋_GBK"/>
          <w:sz w:val="36"/>
          <w:szCs w:val="36"/>
        </w:rPr>
        <w:t>1</w:t>
      </w:r>
      <w:r>
        <w:rPr>
          <w:rFonts w:ascii="Times New Roman" w:hAnsi="Times New Roman" w:eastAsia="方正仿宋_GBK"/>
          <w:sz w:val="36"/>
          <w:szCs w:val="36"/>
        </w:rPr>
        <w:t>年4月</w:t>
      </w:r>
      <w:r>
        <w:rPr>
          <w:rFonts w:hint="eastAsia" w:ascii="Times New Roman" w:hAnsi="Times New Roman" w:eastAsia="方正仿宋_GBK"/>
          <w:sz w:val="36"/>
          <w:szCs w:val="36"/>
        </w:rPr>
        <w:t>8</w:t>
      </w:r>
      <w:r>
        <w:rPr>
          <w:rFonts w:ascii="Times New Roman" w:hAnsi="Times New Roman" w:eastAsia="方正仿宋_GBK"/>
          <w:sz w:val="36"/>
          <w:szCs w:val="36"/>
        </w:rPr>
        <w:t>日</w:t>
      </w:r>
    </w:p>
    <w:p>
      <w:pPr>
        <w:spacing w:line="560" w:lineRule="exact"/>
        <w:rPr>
          <w:rFonts w:ascii="Times New Roman" w:hAnsi="Times New Roman" w:eastAsia="方正黑体_GBK"/>
          <w:sz w:val="44"/>
          <w:szCs w:val="44"/>
        </w:rPr>
      </w:pPr>
      <w:r>
        <w:rPr>
          <w:rFonts w:ascii="Times New Roman" w:hAnsi="Times New Roman" w:eastAsia="方正黑体_GBK"/>
          <w:sz w:val="32"/>
          <w:szCs w:val="32"/>
        </w:rPr>
        <w:t>附件1</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经济社会发展10项预期目标任务进展情况表</w:t>
      </w:r>
    </w:p>
    <w:tbl>
      <w:tblPr>
        <w:tblStyle w:val="8"/>
        <w:tblW w:w="1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4860"/>
        <w:gridCol w:w="2853"/>
        <w:gridCol w:w="10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blHeader/>
          <w:jc w:val="center"/>
        </w:trPr>
        <w:tc>
          <w:tcPr>
            <w:tcW w:w="276" w:type="pct"/>
            <w:shd w:val="clear" w:color="auto" w:fill="auto"/>
            <w:vAlign w:val="center"/>
          </w:tcPr>
          <w:p>
            <w:pPr>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1271" w:type="pct"/>
            <w:shd w:val="clear" w:color="auto" w:fill="auto"/>
            <w:vAlign w:val="center"/>
          </w:tcPr>
          <w:p>
            <w:pPr>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预期目标</w:t>
            </w:r>
          </w:p>
        </w:tc>
        <w:tc>
          <w:tcPr>
            <w:tcW w:w="746" w:type="pct"/>
            <w:shd w:val="clear" w:color="auto" w:fill="auto"/>
            <w:vAlign w:val="center"/>
          </w:tcPr>
          <w:p>
            <w:pPr>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责任单位</w:t>
            </w:r>
          </w:p>
        </w:tc>
        <w:tc>
          <w:tcPr>
            <w:tcW w:w="2705" w:type="pct"/>
            <w:vAlign w:val="center"/>
          </w:tcPr>
          <w:p>
            <w:pPr>
              <w:spacing w:line="400" w:lineRule="exact"/>
              <w:jc w:val="center"/>
              <w:rPr>
                <w:rFonts w:ascii="Times New Roman" w:hAnsi="Times New Roman" w:eastAsia="方正黑体_GBK"/>
                <w:sz w:val="28"/>
                <w:szCs w:val="28"/>
              </w:rPr>
            </w:pPr>
            <w:r>
              <w:rPr>
                <w:rFonts w:hint="eastAsia" w:ascii="Times New Roman" w:hAnsi="Times New Roman" w:eastAsia="方正黑体_GBK"/>
                <w:sz w:val="28"/>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地区生产总值增长6%以上</w:t>
            </w:r>
          </w:p>
        </w:tc>
        <w:tc>
          <w:tcPr>
            <w:tcW w:w="74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2705"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预计一季度GDP增长20%左右。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固定资产投资总额增长8%</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区发展改革委</w:t>
            </w:r>
          </w:p>
        </w:tc>
        <w:tc>
          <w:tcPr>
            <w:tcW w:w="2705"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预计一季度投资增速20%左右。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工业增加值增长8%</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区经济信息委</w:t>
            </w:r>
          </w:p>
        </w:tc>
        <w:tc>
          <w:tcPr>
            <w:tcW w:w="2705"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预计一季度增长30%左右，全市排名中等偏下。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社会消费品零售总额增长7%</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商务委</w:t>
            </w:r>
          </w:p>
        </w:tc>
        <w:tc>
          <w:tcPr>
            <w:tcW w:w="2705"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预计一季度限上法人零售额21.5亿元，同比增长57.2%（不含高新区）；全区限上社会消费品零售总额同比增长78.1%。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进出口总额增长2%</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商务委</w:t>
            </w:r>
          </w:p>
        </w:tc>
        <w:tc>
          <w:tcPr>
            <w:tcW w:w="2705"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预计一季度外贸进出口总额700亿元左右，同比增长29%。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76" w:type="pct"/>
            <w:shd w:val="clear" w:color="auto" w:fill="auto"/>
            <w:vAlign w:val="center"/>
          </w:tcPr>
          <w:p>
            <w:pPr>
              <w:adjustRightInd w:val="0"/>
              <w:snapToGrid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6</w:t>
            </w:r>
          </w:p>
        </w:tc>
        <w:tc>
          <w:tcPr>
            <w:tcW w:w="1271" w:type="pct"/>
            <w:shd w:val="clear" w:color="auto" w:fill="auto"/>
            <w:vAlign w:val="center"/>
          </w:tcPr>
          <w:p>
            <w:pPr>
              <w:adjustRightInd w:val="0"/>
              <w:snapToGrid w:val="0"/>
              <w:spacing w:line="560" w:lineRule="exact"/>
              <w:rPr>
                <w:rFonts w:ascii="Times New Roman" w:hAnsi="Times New Roman" w:eastAsia="方正仿宋_GBK"/>
                <w:sz w:val="28"/>
                <w:szCs w:val="28"/>
              </w:rPr>
            </w:pPr>
            <w:r>
              <w:rPr>
                <w:rFonts w:ascii="Times New Roman" w:hAnsi="Times New Roman" w:eastAsia="方正仿宋_GBK"/>
                <w:sz w:val="28"/>
                <w:szCs w:val="28"/>
              </w:rPr>
              <w:t>一般公共预算收入增长3%</w:t>
            </w:r>
          </w:p>
        </w:tc>
        <w:tc>
          <w:tcPr>
            <w:tcW w:w="746" w:type="pct"/>
            <w:shd w:val="clear" w:color="auto" w:fill="auto"/>
            <w:vAlign w:val="center"/>
          </w:tcPr>
          <w:p>
            <w:pPr>
              <w:adjustRightInd w:val="0"/>
              <w:snapToGrid w:val="0"/>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财政局</w:t>
            </w:r>
          </w:p>
        </w:tc>
        <w:tc>
          <w:tcPr>
            <w:tcW w:w="2705" w:type="pct"/>
            <w:vAlign w:val="center"/>
          </w:tcPr>
          <w:p>
            <w:pPr>
              <w:adjustRightInd w:val="0"/>
              <w:snapToGrid w:val="0"/>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预计一季度一般公共预算收入100037万元，同比增长35.2%。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税收收入增长5%</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区税务局</w:t>
            </w:r>
          </w:p>
        </w:tc>
        <w:tc>
          <w:tcPr>
            <w:tcW w:w="2705" w:type="pct"/>
            <w:vAlign w:val="center"/>
          </w:tcPr>
          <w:p>
            <w:pPr>
              <w:spacing w:line="560" w:lineRule="exact"/>
              <w:rPr>
                <w:rFonts w:ascii="Times New Roman" w:hAnsi="Times New Roman" w:eastAsia="方正仿宋_GBK"/>
                <w:sz w:val="28"/>
                <w:szCs w:val="28"/>
              </w:rPr>
            </w:pPr>
            <w:r>
              <w:rPr>
                <w:rFonts w:hint="eastAsia" w:ascii="Times New Roman" w:hAnsi="Times New Roman" w:eastAsia="方正仿宋_GBK"/>
                <w:sz w:val="28"/>
                <w:szCs w:val="28"/>
              </w:rPr>
              <w:t>一季度税收入库8.23亿元，同比增长30.31%。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居民收入增长与经济增长基本同步</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区人力社保局</w:t>
            </w:r>
          </w:p>
        </w:tc>
        <w:tc>
          <w:tcPr>
            <w:tcW w:w="2705" w:type="pct"/>
            <w:vAlign w:val="center"/>
          </w:tcPr>
          <w:p>
            <w:pPr>
              <w:spacing w:line="560" w:lineRule="exact"/>
              <w:rPr>
                <w:rFonts w:ascii="Times New Roman" w:hAnsi="Times New Roman" w:eastAsia="方正仿宋_GBK"/>
                <w:sz w:val="28"/>
                <w:szCs w:val="28"/>
              </w:rPr>
            </w:pPr>
            <w:r>
              <w:rPr>
                <w:rFonts w:hint="eastAsia" w:ascii="Times New Roman" w:hAnsi="Times New Roman" w:eastAsia="方正仿宋_GBK"/>
                <w:sz w:val="28"/>
                <w:szCs w:val="28"/>
              </w:rPr>
              <w:t>预计能够完成年度目标。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9</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空气质量完成年度目标任务</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生态环境局</w:t>
            </w:r>
          </w:p>
        </w:tc>
        <w:tc>
          <w:tcPr>
            <w:tcW w:w="2705"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一季度空气质量优良天数82天，完成年度任务的27.3%。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76"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10</w:t>
            </w:r>
          </w:p>
        </w:tc>
        <w:tc>
          <w:tcPr>
            <w:tcW w:w="1271"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节能减排降碳完成年度目标任务</w:t>
            </w:r>
          </w:p>
        </w:tc>
        <w:tc>
          <w:tcPr>
            <w:tcW w:w="746"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区发展改革委</w:t>
            </w:r>
          </w:p>
        </w:tc>
        <w:tc>
          <w:tcPr>
            <w:tcW w:w="2705"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sz w:val="28"/>
                <w:szCs w:val="28"/>
              </w:rPr>
              <w:t>预计能够完成年度目标。</w:t>
            </w:r>
          </w:p>
        </w:tc>
      </w:tr>
    </w:tbl>
    <w:p>
      <w:pPr>
        <w:rPr>
          <w:rFonts w:ascii="Times New Roman" w:hAnsi="Times New Roman" w:eastAsia="方正仿宋_GBK"/>
          <w:sz w:val="24"/>
          <w:szCs w:val="24"/>
        </w:rPr>
        <w:sectPr>
          <w:footerReference r:id="rId5" w:type="default"/>
          <w:footerReference r:id="rId6" w:type="even"/>
          <w:pgSz w:w="23814" w:h="16840" w:orient="landscape"/>
          <w:pgMar w:top="1134" w:right="1134" w:bottom="1134" w:left="1134" w:header="851" w:footer="992" w:gutter="0"/>
          <w:cols w:space="425" w:num="1"/>
          <w:docGrid w:linePitch="312" w:charSpace="0"/>
        </w:sectPr>
      </w:pPr>
    </w:p>
    <w:p>
      <w:pPr>
        <w:rPr>
          <w:rFonts w:ascii="Times New Roman" w:hAnsi="Times New Roman" w:eastAsia="方正黑体_GBK"/>
          <w:sz w:val="32"/>
          <w:szCs w:val="32"/>
        </w:rPr>
      </w:pPr>
      <w:r>
        <w:rPr>
          <w:rFonts w:ascii="Times New Roman" w:hAnsi="Times New Roman" w:eastAsia="方正黑体_GBK"/>
          <w:sz w:val="32"/>
          <w:szCs w:val="32"/>
        </w:rPr>
        <w:t>附件</w:t>
      </w:r>
      <w:r>
        <w:rPr>
          <w:rFonts w:hint="eastAsia" w:ascii="Times New Roman" w:hAnsi="Times New Roman" w:eastAsia="方正黑体_GBK"/>
          <w:sz w:val="32"/>
          <w:szCs w:val="32"/>
        </w:rPr>
        <w:t>2</w:t>
      </w:r>
    </w:p>
    <w:p>
      <w:pPr>
        <w:adjustRightInd w:val="0"/>
        <w:snapToGrid w:val="0"/>
        <w:spacing w:after="120" w:afterLines="50" w:line="560" w:lineRule="exact"/>
        <w:jc w:val="center"/>
        <w:rPr>
          <w:rFonts w:ascii="Times New Roman" w:hAnsi="Times New Roman" w:eastAsia="方正小标宋_GBK"/>
          <w:color w:val="000000"/>
          <w:sz w:val="44"/>
          <w:szCs w:val="36"/>
        </w:rPr>
      </w:pPr>
      <w:r>
        <w:rPr>
          <w:rFonts w:ascii="Times New Roman" w:hAnsi="Times New Roman" w:eastAsia="方正小标宋_GBK"/>
          <w:color w:val="000000"/>
          <w:sz w:val="44"/>
          <w:szCs w:val="36"/>
        </w:rPr>
        <w:t>区级重点民生实事任务情况表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118"/>
        <w:gridCol w:w="4820"/>
        <w:gridCol w:w="2126"/>
        <w:gridCol w:w="8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59"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3118"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项目名称</w:t>
            </w:r>
          </w:p>
        </w:tc>
        <w:tc>
          <w:tcPr>
            <w:tcW w:w="4820"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202</w:t>
            </w:r>
            <w:r>
              <w:rPr>
                <w:rFonts w:hint="eastAsia" w:ascii="Times New Roman" w:hAnsi="Times New Roman" w:eastAsia="方正黑体_GBK"/>
                <w:kern w:val="0"/>
                <w:sz w:val="28"/>
                <w:szCs w:val="28"/>
              </w:rPr>
              <w:t>1</w:t>
            </w:r>
            <w:r>
              <w:rPr>
                <w:rFonts w:ascii="Times New Roman" w:hAnsi="Times New Roman" w:eastAsia="方正黑体_GBK"/>
                <w:kern w:val="0"/>
                <w:sz w:val="28"/>
                <w:szCs w:val="28"/>
              </w:rPr>
              <w:t>年任务</w:t>
            </w:r>
          </w:p>
        </w:tc>
        <w:tc>
          <w:tcPr>
            <w:tcW w:w="2126"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责任单位</w:t>
            </w:r>
          </w:p>
        </w:tc>
        <w:tc>
          <w:tcPr>
            <w:tcW w:w="8896"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一季度进展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老旧小区改造提升</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对70个老旧小区130万平方米进行改造提升，在符合条件的老旧小区加装电梯</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区住建委</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5个项目已进场施工，65个项目已完成方案设计。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公共停车设施建设</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新增公共停车泊位7000个</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区住建委</w:t>
            </w:r>
          </w:p>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区城管局</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共涉及5个停车场，已完成1500个停车泊位建设，其余正在组织施工。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清水溪及凤凰溪“清水绿岸”治理提升</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完成污水处理站提标改造，推进雨污分流、生态修复和面源污染治理</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区住建委</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杨家沟、芭蕉沟污水站已进场施工，1.8公里管网已完工，3公里管网正在施工，白鹤岭绿化方案已于3月下旬报区规委会审核通过。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人行过街设施</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建成南渝中学等4座人行过街设施。</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区住建委</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2座已建成投用、正在安装电梯，1座正在进行主体施工，1座正在开展前期准备。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轨道站点便捷性提升</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8个轨道站点步行便捷性提升改造</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区住建委</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8个轨道站点正在组织周边道路、天桥等项目施工，目前已完成总进度的43.3%，其中沙坪坝站、磁器口站新增道路已完工投用，图书馆站、双碑站公交港湾已完成改造。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排水管网建设</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新改建污水管网约60公里</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区住建委</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已完工7.7公里，正在建设2公里，其余管网正在办理前期手续。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中小学幼儿园新建及改扩建</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完成4所中小学新建及改扩建，新增公办幼儿园3所</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区教委</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4所中小学正在进行主体施工，3所幼儿园正在办理前期手续。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城区“坡坎崖”绿化美化工程</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完成3.7万平米坡坎崖绿化和美化</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区城管局</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共涉及凌云路边坡、融汇温泉城社区公园2个项目，均于3月上旬进场施工，目前凌云路边坡已完成总进度的35%，融汇温泉城社区公园已完成总进度的30%。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9</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农村饮水安全巩固提升工程</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建设各类供水管网约250公里，4套管道加压泵站，供水入户，受益人口近7000人</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区农业农村委</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大学城水务公司正在向上级单位申请立项，并同步编制实施方案及施工图等。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10</w:t>
            </w:r>
          </w:p>
        </w:tc>
        <w:tc>
          <w:tcPr>
            <w:tcW w:w="3118"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老旧电梯改造</w:t>
            </w:r>
          </w:p>
        </w:tc>
        <w:tc>
          <w:tcPr>
            <w:tcW w:w="4820" w:type="dxa"/>
            <w:vAlign w:val="center"/>
          </w:tcPr>
          <w:p>
            <w:pPr>
              <w:spacing w:line="500" w:lineRule="exact"/>
              <w:rPr>
                <w:rFonts w:ascii="Times New Roman" w:hAnsi="Times New Roman" w:eastAsia="方正仿宋_GBK"/>
                <w:kern w:val="0"/>
                <w:sz w:val="28"/>
                <w:szCs w:val="28"/>
              </w:rPr>
            </w:pPr>
            <w:r>
              <w:rPr>
                <w:rFonts w:ascii="Times New Roman" w:hAnsi="Times New Roman" w:eastAsia="方正仿宋_GBK"/>
                <w:kern w:val="0"/>
                <w:sz w:val="28"/>
                <w:szCs w:val="28"/>
              </w:rPr>
              <w:t>完成50台以上老旧电梯改造</w:t>
            </w:r>
          </w:p>
        </w:tc>
        <w:tc>
          <w:tcPr>
            <w:tcW w:w="2126" w:type="dxa"/>
            <w:vAlign w:val="center"/>
          </w:tcPr>
          <w:p>
            <w:pPr>
              <w:widowControl/>
              <w:spacing w:line="5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区市场监管局</w:t>
            </w:r>
          </w:p>
        </w:tc>
        <w:tc>
          <w:tcPr>
            <w:tcW w:w="8896" w:type="dxa"/>
            <w:vAlign w:val="center"/>
          </w:tcPr>
          <w:p>
            <w:pPr>
              <w:spacing w:line="50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已完成方案设计，拟于4月中旬组织需求摸底。</w:t>
            </w:r>
          </w:p>
        </w:tc>
      </w:tr>
    </w:tbl>
    <w:p>
      <w:pPr>
        <w:rPr>
          <w:rFonts w:ascii="Times New Roman" w:hAnsi="Times New Roman" w:eastAsia="方正小标宋_GBK"/>
          <w:color w:val="000000"/>
          <w:sz w:val="44"/>
          <w:szCs w:val="36"/>
        </w:rPr>
      </w:pPr>
    </w:p>
    <w:p>
      <w:pPr>
        <w:rPr>
          <w:rFonts w:ascii="Times New Roman" w:hAnsi="Times New Roman" w:eastAsia="方正黑体_GBK"/>
          <w:sz w:val="32"/>
          <w:szCs w:val="32"/>
        </w:rPr>
      </w:pPr>
    </w:p>
    <w:p>
      <w:pPr>
        <w:spacing w:line="560" w:lineRule="exact"/>
        <w:jc w:val="left"/>
        <w:rPr>
          <w:rFonts w:ascii="方正黑体_GBK" w:hAnsi="Times New Roman" w:eastAsia="方正黑体_GBK"/>
          <w:sz w:val="32"/>
          <w:szCs w:val="32"/>
        </w:rPr>
      </w:pPr>
      <w:r>
        <w:rPr>
          <w:rFonts w:hint="eastAsia" w:ascii="方正黑体_GBK" w:hAnsi="Times New Roman" w:eastAsia="方正黑体_GBK"/>
          <w:sz w:val="32"/>
          <w:szCs w:val="32"/>
        </w:rPr>
        <w:t>附件3</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137项重点工作任务进展情况表</w:t>
      </w:r>
    </w:p>
    <w:tbl>
      <w:tblPr>
        <w:tblStyle w:val="8"/>
        <w:tblW w:w="21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225"/>
        <w:gridCol w:w="5759"/>
        <w:gridCol w:w="2293"/>
        <w:gridCol w:w="2369"/>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170" w:type="pct"/>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序号</w:t>
            </w:r>
          </w:p>
        </w:tc>
        <w:tc>
          <w:tcPr>
            <w:tcW w:w="1642" w:type="pct"/>
            <w:gridSpan w:val="2"/>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具体任务</w:t>
            </w:r>
          </w:p>
        </w:tc>
        <w:tc>
          <w:tcPr>
            <w:tcW w:w="539" w:type="pct"/>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牵头单位</w:t>
            </w:r>
          </w:p>
        </w:tc>
        <w:tc>
          <w:tcPr>
            <w:tcW w:w="557" w:type="pct"/>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配合单位</w:t>
            </w:r>
          </w:p>
        </w:tc>
        <w:tc>
          <w:tcPr>
            <w:tcW w:w="2091" w:type="pct"/>
            <w:vAlign w:val="center"/>
          </w:tcPr>
          <w:p>
            <w:pPr>
              <w:spacing w:line="36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推动科学城建设</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支持驻区高校建设高水平大学，加快环大学创新生态圈建设，抓好量子通信核心光电子器件等一批重大项目落地</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持续推进环大学创新生态圈建设。环重大创新生态圈项目重庆大学产业技术研究院金沙分院已成功落地，重庆大学国际联合研究院项目正在推进中。环重师创新生态圈项目重师双创产业园正在与拾光格对接，争取重庆市成果促进会和文旅促进会入驻。</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与科大国盾量子、国仪量子、本源量子等量子企业进行了对接，商谈推动量子信息科学国家实验室网络节点在区落地，筹建重庆量子信息科学研究院等事宜。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推动高校院所建设基础学科研究中心，组建重庆大学产业技术研究院金沙分院、智慧肿瘤研究院</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091" w:type="pct"/>
            <w:vAlign w:val="center"/>
          </w:tcPr>
          <w:p>
            <w:pPr>
              <w:spacing w:line="300" w:lineRule="exact"/>
              <w:jc w:val="left"/>
              <w:rPr>
                <w:rFonts w:ascii="方正仿宋_GBK" w:hAnsi="方正仿宋_GBK" w:eastAsia="方正仿宋_GBK" w:cs="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重庆大学产业技术研究院金沙分院已成功落地沙坪坝区金沙星座</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科创园，目前场地正在装修中。</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智慧肿瘤研究院正在完善方案，整合已落地的植恩特色医学检验中心等项目资源，解决了检验中心落地建设的卡点问题，同步开展与智能肿瘤基因分析应用大数据平台、新抗原多肽疫苗、癌症CTC体液诊断等项目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推动科学大道等标志性工程，加快大成湖湿地公园、木鱼石公园建设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2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陈家桥街道</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区城管局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西部新城管委会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科学大道（一纵线中心站立交-狮子岩立交段）已完成总工程量的84%。</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完成大成湖水库工程方案论证方案并经区政府审定同意。</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完成木鱼石公园935亩地形图及下地管网重新测量，启动方案设计招标。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推进梁滩河综合整治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相关河长单位</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已完成1007个管网问题点位整治。</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加快污水处理厂建设，沙田污水处理厂已进场施工，土主污水处理厂已完成项目可研批复、项目方案设计，计划7月进场施工，西永污水处理厂完成可研编制，计划年内进场施工。</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巩固“散乱污”企业整治成果，对已整治完成企业开展复查抽检。充分运用流域水质监测预警系统，定期分析重点断面水质变化情况，及时解决污染问题。1季度，梁滩河沙坪坝区段水质均值达到IV类。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加强与高新区协调联动，支持直管园建设，推动全域创新“赋能”</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（科学城建设领导小组办公室）</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科学城建设</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领导小组成员单位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制定实施《加快建设西部（重庆）科学城沙坪坝区片区工作方案》，全面摸底西部科学城沙坪坝片区产业发展、创新生态总体情况，协助高新区完成专题调研。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构建创新版图</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推动金沙星座·科创园、重大创意设计产业园发展，加快特钢创意产业园、地质仪器厂数字产业园、英诺科创孵化园、凤凰山创意园建设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4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区文旅委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迈瑞城投公司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沙房总公司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方正仿宋_GBK" w:eastAsia="方正仿宋_GBK" w:cs="方正仿宋_GBK"/>
                <w:kern w:val="0"/>
                <w:sz w:val="24"/>
                <w:szCs w:val="24"/>
              </w:rPr>
              <w:t>引导重庆大学产业技术研究院金沙分院入驻，对接重大创意设计产业园拓园计划，</w:t>
            </w:r>
            <w:r>
              <w:rPr>
                <w:rFonts w:hint="eastAsia" w:ascii="Times New Roman" w:hAnsi="Times New Roman" w:eastAsia="方正仿宋_GBK"/>
                <w:kern w:val="0"/>
                <w:sz w:val="24"/>
                <w:szCs w:val="24"/>
              </w:rPr>
              <w:t>推进京东智慧中心等项目选址凤凰山、地质仪器厂。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建成32万平方米自贸区创新服务中心、15万平方米联东国际企业港，加快33万平方米青凤高科孵化中心、50万平方米中电光谷·西部科技城建设，中电光谷·智创园实现产值10亿元，黄金湾·智谷企业入驻率达70%</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自贸区创新服务中心，正在组织装修工程，计划6月完成幕墙及安装，8月完工。</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联东国际企业港，已于2月开工建设，目前已完成土石方。</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青凤高科孵化中心二期，1号楼、2号楼房心回填施工完成，正在进行1号楼及2号楼一层主体施工、3号楼及4号楼地梁及承台施工、5号楼及车库筏板施工。</w:t>
            </w:r>
          </w:p>
          <w:p>
            <w:pPr>
              <w:spacing w:line="300" w:lineRule="exact"/>
              <w:jc w:val="left"/>
              <w:rPr>
                <w:rFonts w:ascii="方正仿宋_GBK" w:hAnsi="Times New Roman" w:eastAsia="方正仿宋_GBK"/>
                <w:kern w:val="0"/>
                <w:sz w:val="24"/>
                <w:szCs w:val="24"/>
              </w:rPr>
            </w:pPr>
            <w:r>
              <w:rPr>
                <w:rFonts w:hint="eastAsia" w:ascii="方正仿宋_GBK" w:hAnsi="Times New Roman" w:eastAsia="方正仿宋_GBK"/>
                <w:kern w:val="0"/>
                <w:sz w:val="24"/>
                <w:szCs w:val="24"/>
              </w:rPr>
              <w:t>④</w:t>
            </w:r>
            <w:r>
              <w:rPr>
                <w:rFonts w:hint="eastAsia" w:ascii="Times New Roman" w:hAnsi="Times New Roman" w:eastAsia="方正仿宋_GBK"/>
                <w:kern w:val="0"/>
                <w:sz w:val="24"/>
                <w:szCs w:val="24"/>
              </w:rPr>
              <w:t>中电光谷</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西部科技城，完成方案设计，正在集团内部评审。</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⑤</w:t>
            </w:r>
            <w:r>
              <w:rPr>
                <w:rFonts w:hint="eastAsia" w:ascii="Times New Roman" w:hAnsi="Times New Roman" w:eastAsia="方正仿宋_GBK"/>
                <w:kern w:val="0"/>
                <w:sz w:val="24"/>
                <w:szCs w:val="24"/>
              </w:rPr>
              <w:t>中电光谷</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智创园，一季度完成产值</w:t>
            </w:r>
            <w:r>
              <w:rPr>
                <w:rFonts w:hint="eastAsia" w:ascii="Times New Roman" w:hAnsi="Times New Roman" w:eastAsia="方正仿宋_GBK"/>
                <w:kern w:val="0"/>
                <w:sz w:val="24"/>
                <w:szCs w:val="24"/>
              </w:rPr>
              <w:t>1亿元。</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⑥</w:t>
            </w:r>
            <w:r>
              <w:rPr>
                <w:rFonts w:hint="eastAsia" w:ascii="Times New Roman" w:hAnsi="Times New Roman" w:eastAsia="方正仿宋_GBK"/>
                <w:kern w:val="0"/>
                <w:sz w:val="24"/>
                <w:szCs w:val="24"/>
              </w:rPr>
              <w:t>黄金湾</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智创园，已入驻企业</w:t>
            </w:r>
            <w:r>
              <w:rPr>
                <w:rFonts w:hint="eastAsia" w:ascii="Times New Roman" w:hAnsi="Times New Roman" w:eastAsia="方正仿宋_GBK"/>
                <w:kern w:val="0"/>
                <w:sz w:val="24"/>
                <w:szCs w:val="24"/>
              </w:rPr>
              <w:t>10家，入驻企业使用面积约2.5万平方米；近期拟签约项目6个，近期拟签约项目预估使用面积约3.95万平方米，合计使用约6.45万平方米。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引育创新主体</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引进中国网安区块链研究院、特色医学检验中心等6个研发机构，建成中科院广州能源所、西部地质科技创新研究院等10家研发机构，促进创新主体加快集聚</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网安区块链研究院已签约，研究院正在注册中；特色医学检验中心已签约，公司已注册，正在启动场地建设。</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已建成中科广能、西科院、吉芯科技、开物工业、赛宝工业、众科人工智能、惟精智能家居、电科大重微院8家研发机构，其中中科广能、电科大重微院、吉芯科技已获批市级高端研发机构，西科院、开物工业、赛宝工业获批市级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引进瑞邦检测等20个高新技术项目。组建企业创新联合体5个，培育国家高新技术企业20家，市级技术中心8个、科技型企业200家</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已引进广达轨道设备、成都博唯康、泷通城配、图元运营中心、安芙丝、灵机坊、易法通二期等7个高新技术项目；</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正依托西部（重庆）地质科技创新研究院、重庆吉芯科技有限公司、重庆大学建筑规划设计研究总院、重庆大学国际联合研究院、重庆金康动力新能源有限公司积极推进组建企业创新联合体；</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新培育吉芯科技等高新技术企业21家，正积极组织企业申报2021年度高新技术企业；</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④</w:t>
            </w:r>
            <w:r>
              <w:rPr>
                <w:rFonts w:hint="eastAsia" w:ascii="Times New Roman" w:hAnsi="Times New Roman" w:eastAsia="方正仿宋_GBK"/>
                <w:kern w:val="0"/>
                <w:sz w:val="24"/>
                <w:szCs w:val="24"/>
              </w:rPr>
              <w:t>指导旺成科技等42户企业成功申报研发准备金备案，重庆水泵厂、博张机电2户企业认定为工信部“小巨人”企业；</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⑤</w:t>
            </w:r>
            <w:r>
              <w:rPr>
                <w:rFonts w:hint="eastAsia" w:ascii="Times New Roman" w:hAnsi="Times New Roman" w:eastAsia="方正仿宋_GBK"/>
                <w:kern w:val="0"/>
                <w:sz w:val="24"/>
                <w:szCs w:val="24"/>
              </w:rPr>
              <w:t>新培育科技型企业205家，累计达1255家。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优化创新生态</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大力引进创投基金，用好种子基金、知识产权信用贷，推动产业、科技、金融有效循环，研发投入占比达到3.6%</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 xml:space="preserve">正在商谈创投基金引进，已完成种子基金组建，推动首期1000万资金到位，已累计发放知识价值信用贷款17602万元。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引进国家级技术转移机构中心，促进科技成果就地转化</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对接中科院软件中心、中科院北京分院、中科院成都分院、车库咖啡、中技所、核九院596孵化器等机构，商谈技术转移中心合作事宜。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开展“一企一策”“一院一策”人才工作，实施人才服务“快办行动”，营造“近悦远来”人才发展环境</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已起草科技创新人才引进实施办法、社会工作人才引进和培育实施办法初稿，正在拟定拟定企业经营管理人才、农村实用人才专项人才政策初稿。</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发挥高层次人才“一站式”服务平台作用，通过“鸿雁计划”成功吸引人才3人，接转办理流动人才档案782件，评定专业技能人才316人。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办好各类品牌创新活动，创建全国科普示范区</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区科协</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区教委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区卫生健康委</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区农业农村委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根据《2021-2025年度全国科普示范县（市、区）标准（2020年修订）》文件要求，前期已收集整理相关资料。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14</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发展先进制造业</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新一代信息技术产业，完善设计、制造、封测全产业链，引进中科院寒武纪芯片、智芯微科技等10个项目，确保中电科·吉芯科技、三福电子封装研发基地等项目建成投产，扩容升级重庆智能信息产业研究院，首创高科集成电路产业园主体完工</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已引进博维康博唯康3D打印、广达轨道设备等高新产业项目5个，协议引资25.5亿元。</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中电科·吉芯科技已投产，三福电子项目已开工，计划5月投运。首创项目已开工。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发展下一代汽车产业，加快向高端化、智能化、新能源化升级，确保小康高端智能网联汽车、金康新能源动力等项目建成投产，中科慧眼、未动科技、普强信息、前卫科技等项目投产放量</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金康三电项目已投产，中科慧眼、未动科技、前卫科技等项目已投运，普强正在办理公司注册，小康项目按计划推进，继续做好对接服务。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发展高端装备产业，围绕精密仪器、成套设备等方向，加快中科国机地球资源装备产研基地等项目建设，推动万普隆非常规油气开采、大连光洋科德数控等项目释放产能</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中科国机地球资源装备产研基地在梳理落地计划，万普隆非常规油气开采项目已投产，大连光洋科德数控已投运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发展生物医疗产业，聚焦高端医疗器械、体外诊断等领域，加快海尔生物西南区域细胞制备中心、普门科技、德润俊医疗等项目建设，推动深圳慧思科技、康克唯肿瘤疫苗等项目投产</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区卫生健康委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海尔生物西南区域细胞制备中心，因企业提出无法满足的诉求，项目已暂缓。普门科技，已开工建设，正在基础施工。德润俊医疗项目，正在商讨项目推动事宜。深圳慧思科技，正在重新梳理落地计划。康克唯肿瘤疫苗项目，已签约落地，正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发展新材料产业，以电子材料和高性能材料为主攻方向，确保中科纳通电子材料产业园建成投产，壮大北威新材料产业园产业规模</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北威新材料产业园已建成，中科纳通电子材料产业园主体厂房建设已完工，正在组织幕墙施工收尾，环境绿化、供配电安装施工。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19</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发展数字经济</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提升“芯核器网服”价值链，大力发展人工智能、区块链等大数据产业，完善工业互联网体系，促进线上线下融合发展，实现智能产业规模1800亿元</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对标市级任务要求，稳步推进智能化创新应用、线上服务品牌、互联网平台等重点领域的目标任务，深入摸底全区114个大数据智能化项目，推荐艾艺荷马品牌项目入围“重庆市2020年十大线上服务品牌”互联网评选。一季度智能产业实现产值超500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构建“云联数算融”要素群，完善“数字沙坪坝”云平台功能，推动公共数据资源各行业互通共享。新建数字化车间8个、智能化工厂6个，完成开物工业、水泵厂等10个技改项目。提升军民融合发展水平</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编制出台《重庆市沙坪坝区非涉密政务信息系统迁移上云流程管理（暂行）办法》，委托三方机构对云资源使用情况进行检测评估，组织各相关单位开展上云系统数据安全自查。开展梳理政务数据共享交换平台接入接口情况，摸排9个部门的105条资源目录，进一步摸清我区政务数据资源底数。推动实施重庆水泵厂等12个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打造“住业游乐购”场景集，新建5G基站1500个，拓展智慧政务、智慧交通、智慧医疗、智慧教育、智慧旅游等智能化应用。实现数字经济增加值增长15%</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一季度新开通5G基站172个。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22</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融合发展文化旅游业</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加快建设歌乐山</w:t>
            </w:r>
            <w:r>
              <w:rPr>
                <w:rFonts w:ascii="Times New Roman" w:hAnsi="Times New Roman"/>
                <w:kern w:val="0"/>
                <w:sz w:val="24"/>
                <w:szCs w:val="24"/>
              </w:rPr>
              <w:t>•</w:t>
            </w:r>
            <w:r>
              <w:rPr>
                <w:rFonts w:ascii="Times New Roman" w:hAnsi="Times New Roman" w:eastAsia="方正仿宋_GBK"/>
                <w:kern w:val="0"/>
                <w:sz w:val="24"/>
                <w:szCs w:val="24"/>
              </w:rPr>
              <w:t>磁器口大景区，编制大景区文化旅游发展等4项专规</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（歌乐山·磁器口</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大景区建设指挥部）</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相关街道</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已于2月全部完成编制。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完成磁童路步行街改造、磁横街风貌提升</w:t>
            </w:r>
          </w:p>
        </w:tc>
        <w:tc>
          <w:tcPr>
            <w:tcW w:w="539" w:type="pct"/>
            <w:shd w:val="clear" w:color="auto" w:fill="auto"/>
            <w:vAlign w:val="center"/>
          </w:tcPr>
          <w:p>
            <w:pPr>
              <w:spacing w:line="32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（磁器口提档升级</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指挥部）</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磁器口街道</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磁童路步行街改造，立面整治正在施工，地面铺装完成2600平方米。磁横街屋面整治累计完成33栋，墙面整治完成25栋。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建成游客中心、特钢之星旅游码头、金碧剧院、青瓷坊等20个项目，加快建设金碧正街、磁器口后街二期、枣子堡山城巷子等8个项目，优化大景区综合路网系统</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（歌乐山·磁器口</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大景区建设指挥部）</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东部道路建设</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指挥部</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相关街道</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游客中心启动污水管网迁改；特钢之星旅游码头完成可研报告，正在办理选址意见书；金碧剧院推进施工，完成总工程量73.8%；青瓷坊完成招标挂网。古镇旅游交通设施、磁童路步行街等项目正在施工。金碧正街完成土地调规；磁器口后街二期主体结构总体完成20%，正在进行边坡及土石方施工，计划6月完成18个项目，年底前完工11个项目。</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大景区内部道路建设道路方案正在研究论证。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持续创建国家5A级景区，将磁器口创建为全国特色商业示范街区</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（歌乐山·磁器口大景区建设指挥部）</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与红岩联线管理中心完成2次工作对接，四是明确了大景区申报范围、申报主体、申报主题等重要事项，完成大景区基础研究资料撰写，启动大景区提升规划编制工作。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加快建设融创文旅城音乐小镇，创建市级夜间文旅消费集聚区</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已完成市级夜间文旅消费集聚区创建，融创文旅城音乐小镇正在组织进场施工，预计4月底前开工。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推出“重庆</w:t>
            </w:r>
            <w:r>
              <w:rPr>
                <w:rFonts w:ascii="Times New Roman" w:hAnsi="Times New Roman"/>
                <w:kern w:val="0"/>
                <w:sz w:val="24"/>
                <w:szCs w:val="24"/>
              </w:rPr>
              <w:t>•</w:t>
            </w:r>
            <w:r>
              <w:rPr>
                <w:rFonts w:ascii="Times New Roman" w:hAnsi="Times New Roman" w:eastAsia="方正仿宋_GBK"/>
                <w:kern w:val="0"/>
                <w:sz w:val="24"/>
                <w:szCs w:val="24"/>
              </w:rPr>
              <w:t>1949”红色精品剧目。实现旅游总收入增长10%</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区统计局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重庆</w:t>
            </w:r>
            <w:r>
              <w:rPr>
                <w:rFonts w:hint="eastAsia" w:ascii="宋体" w:hAnsi="宋体" w:cs="宋体"/>
                <w:kern w:val="0"/>
                <w:sz w:val="24"/>
                <w:szCs w:val="24"/>
              </w:rPr>
              <w:t>•</w:t>
            </w:r>
            <w:r>
              <w:rPr>
                <w:rFonts w:hint="eastAsia" w:ascii="Times New Roman" w:hAnsi="Times New Roman" w:eastAsia="方正仿宋_GBK"/>
                <w:kern w:val="0"/>
                <w:sz w:val="24"/>
                <w:szCs w:val="24"/>
              </w:rPr>
              <w:t>1949剧场屋面构造层施工完成90%，砌体施工完成，正在组织外立面、车库、幕墙施工。</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1-2月旅游总收入同比增长153.93%，较2019年下降17.45%，一季度数据预计4月10日完成统计。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28</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提质发展商贸服务业</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优化传统商贸业，加快三峡广场、万达广场商圈提档升级，推动佛罗伦萨小镇开业运营，华宇城商业综合体主体完工</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三峡商圈管委会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佛罗伦萨小镇，已于2月3日开业试运行。万达广场，已就企业业态调整、品牌宣传等事宜进行讨论，企业正在起草提档升级方案。华宇城商业综合体，主体结构已经封顶，砌体已完成70%。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29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建成2个社区商业中心、1个特色街区，新增50万平方米商业载体</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下发《沙坪坝区关于开展社区商业示范中心创建工作的通知》，开展示范中心创建工作，组织磁器口古镇、融创文旅城申报夜间经济市级示范区项目。已完成6万平方米商业面积建设。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引进20个首店品牌、15个高端品牌</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三峡广场商圈管委会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已完成5家首店品牌引进：已引进西南首店“三联书店”、“华人梦想”落户磁器口后街；金沙天街新开“悦木之源”全国首家最新形象店；重庆首店佛罗伦萨小镇开业；“开动生活</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智慧餐厅”</w:t>
            </w:r>
            <w:r>
              <w:rPr>
                <w:rFonts w:hint="eastAsia" w:ascii="Times New Roman" w:hAnsi="Times New Roman" w:eastAsia="方正仿宋_GBK"/>
                <w:kern w:val="0"/>
                <w:sz w:val="24"/>
                <w:szCs w:val="24"/>
              </w:rPr>
              <w:t xml:space="preserve"> 西南首家开业。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大力发展电子商务，引进滴滴西南社区平台等5家电商企业，网上零售额增长10%</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引进敦笃肉铺生鲜电商平台，1-2月网络售额21.8亿元，一季度网上零售额增长预计超过10%。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升规上限市场主体200家</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区统计局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2021年上限升规方案已报区领导审核，明确了各镇街目标任务。重庆圣朗商业零售有限公司(奥莱小镇)和重庆高速石油销售有限公司已提交月度入统资料，待国家审核通过。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33</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培育壮大生产性服务业</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加快发展创意设计，引进西南设计之都、奥地利基司卡等知名工业设计企业</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（招商中心）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重庆工业设计产业城A区主体已完工，正在进行室内装修。着力推进工业设计产业城招商引资，洽谈工业设计产业链上企业10余家；联合市经信委、区总工会，筹备举办工业设计产业培育活动和“长江之星”工业设计技能人才评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确保重庆工业设计城建成投用，打造工业设计产业高地</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重庆工业设计产业城A区主体已完工，正在办理项目预验收。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加快发展现代物流业，建设国际货运中心，引进美宜佳西南总部、多来点西南总部等物流项目20个</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国际物流枢纽公司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已成功签约美宜佳（重庆）产业园、中森长屿贸易中心、盛徕农副产品进口贸易平台、鲜易鲜冷链</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重庆物流分拨中心、富渝农产品供应链中心等</w:t>
            </w:r>
            <w:r>
              <w:rPr>
                <w:rFonts w:hint="eastAsia" w:ascii="Times New Roman" w:hAnsi="Times New Roman" w:eastAsia="方正仿宋_GBK"/>
                <w:kern w:val="0"/>
                <w:sz w:val="24"/>
                <w:szCs w:val="24"/>
              </w:rPr>
              <w:t>8个商贸物流项目。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大力发展专业服务业，推动新东方教育西南总部落地，引育法律、会计、审计、管理咨询等机构20家</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区教委</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区司法局</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区财政局</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区审计局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已与新东方教育西南总部项目已进行多轮洽谈，正在就最新监管政策影响、合作协议开展洽谈。</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初步对接立信工程咨询服务公司项目，公司拟在我区注册成立工程咨询服务公司，业务范围涵盖法律服务、会计审计、工程造价咨询、公司上市业务等。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大力发展现代金融业，新增金融机构2家，增加值增长8%以上</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引入中林融旷（重庆）商业保理有限公司，初审报告已于3月中旬报市金融监管局审批。预计一季度增加值预计超过10%。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38</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推动成渝地区双城经济圈建设</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深化与成都国际铁路港合作，推动中欧班列（成渝）共建共享，形成运价统一、口岸共享、产业协同的合作格局</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正在推动重庆铁路口岸和成都铁路口岸海关数据互通、监管互认，实现两个口岸间流转货物直接调拨。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39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深化与成都武侯区合作，全面加强产业、文化、教育、医疗、就业等领域协同发展</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区医保局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与青白江区签订《文化旅游公共服务双边合作协议》《友好文联合作框架协议》。与武侯区共同开展2021年春风行动之青年圆梦双城网络专场招聘会，成渝两地100家企业提供1275个岗位。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强化重庆西站、沙坪坝站枢纽功能</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三峡商圈管委会</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西站管委会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重庆西站配套道路建设工作，已完成新凤中路北段总工程量的80%，正在实施下穿道和内环改建主体结构。沙坪坝站配套道路建设工作，正在实施H匝道主体施工。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41</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加快陆港型物流枢纽建设。</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服务“四向通道”稳定运行，推动渝新欧线路向北欧市场延伸，实施集结中心示范工程。优化西部陆海新通道路网结构，建成箱管中心。提升渝满俄、渝甬班列运行能力</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 xml:space="preserve">1-2月，渝新欧班列开行 518 列，同比增长160%，陆海贸易新通道开行230列，同比增长145%，渝甬班列开行 34 列，同比增长 17%。正在推进与挪威纳尔维克港签订战略合作协议；已完成陆海新通道无水港项目方案设计，正在开展施工图设计。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大力发展多式联运，建成二横线、团结村连接道等外联通道，提升运输规模和效率</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二横线物流园段总体已完成87%，路桥主体结构全部完成，隧道已贯通，正在组织加宽段二村、机电、附属施工，计划11月30日竣工通车。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建成铁路口岸综合监管查验场所、大数据智慧口岸应用平台，加快铁路中心站第三线束建设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综合监管查验场所建设工作，植物种苗口岸改造已开工，预计6月底完工，进境肉类、水果指定监管场地正在签订合同，海关查验设备已经签订合同，正在备货。智慧口岸建设工作，总体实施进度约42%，其中，综合管理平台等软件平台开发进度过半，硬件采购均全部挂网，计划4月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深化沿边沿海通关协作，持续压缩通关时间，中转货物量增长10%。进口整车3000辆</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实现整车进口1416辆。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45</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发展口岸经济</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吸引10家外资企业设立研发、物流、结算、营销总部，实际利用外资8亿美元</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招商领导小组成员单位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HiCOM项目正在起草入驻协议，费森尤斯国际医疗中心等3个项目外资项目正在对接洽谈。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加快绿地全球贸易港、传化智联西南运营中心等30个项目建设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绿地全球贸易港项目预计4月组织招拍挂，国通智慧冷链产业园项目正在组织方案设计，其余项目正常开展建设。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建成“一带一路”法律智库中心</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完善“一带一路”智库中心建设方案，完善智库中心章程，实际招聘工作人员7名。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落实自贸区58项创新改革任务</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区级层面涉及235项任务已全部完成，并提炼创新案例，将完善后的临时进口整车检车和国际运邮2个案例上报市商务委，争取纳入全国范围内复制推广。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49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新增1000户市场主体</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一季度新增市场主体116户。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50</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优化营商环境</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对标世行营商环境评价体系，深化“放管服”改革</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完成2020年市级考核评价迎检和专项审计发现问题整改。启动营商环境创新监管平台建设。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持续精简行政审批事项和环节，推动“不见面”“零材料”审批，“一窗综办”比例提高至80%以上</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各窗口单位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继续精简行政审批事项，一季度行政许可事项707项，时限压缩比例86.9%，即办件51.6%，全程网办81.6%，网上“一窗综办”配置事项1108个。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建成营商环境智慧监管平台，对新产业新业态新模式实行包容审慎监管</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已对接部门数据，完成系统框架搭建。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瞄准产业链“高精尖缺”和价值链前端企业，加快落地一批高质量招商项目，实现签约金额1500亿元，先进制造业占比50%以上，开工率达70%以上</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招商领导小组成员单位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一季度完成签约广达轨道交通通风自动化控制设备研发及生产基地、成都博唯康3D打印临床应用、中森长屿贸易中心、华娱文化艺术数字剧场等17个项目，合同金额111.55亿元，先进制造业占比23%。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54</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深化重点领域改革</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实施国企改革三年行动，完善国企薪酬制度，健全市场化经营机制，落实国资监管权责清单制度，分层分类推进混合所有制改革，提升市场竞争力</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区国有企业改革</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领导小组成员单位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实施差异化薪酬，修订完善企业副总经理薪酬分配系数；按照《重庆市沙坪坝区国资委出资人监管权责清单》界定的国资监管职责边界，规范行权履职；开展混合所有制改革企业摸底、市场调研等前期准备工作。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深化投融资体制改革，强化资金、资源、资产统筹，开展医疗、供电等领域融资租赁，推动产业基金市场化运作</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区属国有企业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储备公募REITs7个项目，正在深化项目包装策划。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加强政府投资项目管理</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区审计局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正在起草《重庆市沙坪坝区政府投资项目管理实施细则》。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清除“僵尸企业”，规范市场经济秩序</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正在开展企业吊销及个体工商户强制注销工作，其中，企业吊销工作，正在组织听证公告，预计5月中旬完成；个体工商户强制注销工作，正在组织实地核查，预计6月中旬完成。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用好国务院债务风险化解试点政策，化解存量、优化结构，提升债务管控实效</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一季度获批再融资债券额度128亿元，已下达71亿元，实际拨付50.38亿元，正在推进存量债务置换工作。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59</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大力发展民营经济</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全面落实“减税降费”政策</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区税务局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一季度减免各项税金7.48亿元，同比增长34.97%，其中，减免税收收入7.22亿元，同比增长34.57%；减免非税收入0.26亿元，同比增长47.27%。办理出口退税246笔，金额1.40亿元；办理增值税留抵退税34笔，金额0.71亿元。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加强政银企对接，引导金融机构增加民营企业贷款投放，帮助解决融资难题，推动2家企业上市</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加快开展三羊马公司上市工作，已收到证监会第一次意见反馈，正在组织回复。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处理好产业与基础、市场与政府的投资关系，激发民间有效投资活力，实现民间投资占比80%以上、民营经济增加值占比40%以上</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区统计局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区工商联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组织开展走访服务企业工作，筹备党员干部驻企服务，预计一季度实现民间投资占比65%，预计民营经济增加值占比40.5%。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持续开展民营企业大走访活动，建立规范化、机制化政企沟通渠道，弘扬企业家精神，构建亲清政商关系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区委统战部</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区工商联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制定《沙坪坝区常态化走访服务民营企业工作实施方案》，分级建立走访组，确定拟走访民营企业和个体工商户5000余家，已走访企业143家，收集问题60个，已办结30个。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63</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加速东部旧城改造</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建立国土空间规划留白机制和动态调整机制，优化上新、沙磁、井双等重点片区空间布局</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正在按新一轮国土空间规划要求优化上新等片区空间布局，已形成初步成果。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加快西南医院下穿道、平顶山隧道等109条道路建设，滨江路全线通车</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滨江路磁井段二期已完成总工程量92.7%，沙磁5号路、劳动路主体完工，二横线、一纵线、西南医院下穿道等105条道路加快推进基础及主体施工，平顶山隧道共建段、青凤拓展区一期市政道路2个项目加快推进前期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建成井双景观大道等40条道路，开通轨道9号线，加强轨道站点接驳，构建内畅外联交通路网体系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沙磁5号路、劳动路已主体完工，滨江路磁井段二期完成总工程量92.7%，其余37条道路正在推进。轨道九号线沙区段已完成77.5%工程量。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加快城市更新，推动中心城区“瘦身健体”，改造840户棚户区、130万平方米老旧小区，加快特钢厂、探矿厂等老工业片区改造，持续改善城市风貌</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棚户区改造已启动前期工作。老旧小区改造重点项目均已开工，其中，凤嘴小区土建改造已基本完工。特钢厂、探矿厂等项目正在组织招商。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实施重庆西站二期、新桥车场TOD综合体建设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西站管委会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西站二期正在施工，新桥车场TOD综合体已进场施工。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推动万基山、地质仪器厂等滨江商业带开发</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迈瑞城投公司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沙房总公司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相关街道</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万基山地块已列入土地出让计划，正在招商。地质仪器厂已启动项目征收，并完成项目确定、现场查勘、房屋冻结、摸底调查及公示等前期工作，正在确定项目评估机构。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69</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加强中部治理提升</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加快歌乐山保护提升规划落地，编制风景名胜区保护规划</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已完成招投标采购，确定规划编制单位，目前正在开展规划编制工作。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完成17公里歌乐山生态步道、13公里缙云山生态环道建设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五云湖、斐然湖、半山崖线支线步道等30公里步道已完成项目招标，部分路段正在清表。缙云山生态环道已报区政府常务会审定，正在办理建设手续。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开展上下天池沿湖综合整治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歌乐山街道</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主要涉及厕所建设和绿化工作，关于厕所建设工作，拟新建1座公厕，目前已完成设计图纸，预计4月10日进场施工；关于绿化工作，目前已移栽桂花树140棵、各种品种树木栽种177棵、片植灌木栽种约650㎡。</w:t>
            </w:r>
            <w:r>
              <w:rPr>
                <w:rFonts w:ascii="Times New Roman" w:hAnsi="Times New Roman" w:eastAsia="方正仿宋_GBK"/>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中井路建成通车</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井口街道</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已完成路基、桥梁施工，进行水稳铺设与部分边坡施工，计划6月建成通车。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推进生态修复，治理1000亩废弃矿坑，加强地灾隐患整治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青木关镇四楞碑等6个废弃款坑治理项目已完工并通过区级验收，治理面积共1221.3亩。加强地灾隐患治理，土主隧道施工诱发地面塌陷52处已完成治理回填31处。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 xml:space="preserve">强化林长制，新增1.2万亩国土绿化，打造“城市肺叶、市民花园” </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严格落实巡山巡林制度，组织开展义务植树活动，完成国土绿化110亩。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75</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加快西部开发提质</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高标准建设国际物流城，拓展3.6平方公里发展空间</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已组织研究高铁站点规划研究方案，并与龙湖对接站点合作运营。启动园区交通改善规划和高铁站交通预控规划，完成现场踏勘和调研，园区轨道交通布局规划完成多方案比较。启动园区规划调整环评前期工作。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建成自贸区企业创新服务中心，完善西部公共服务功能</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区机关事务局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已完成自贸区企业创新服务中心主体结构，幕墙完成50%，机电安装完成85%，智能化、城市展厅等已进场施工，预计8月整体完工。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加快二横线、大学城复线隧道等5条外联通道建设，推动7号线等4条轨道线落地</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外联通道建设方面，内环快速路改造工程已完成总工程量的20%，一纵线已完成总工程量的84%，二横线西段已完成总工程量的84.9%，红岩村大桥-红岩村立交主体结构已完成，大学城复线隧道施工单位已进场搭设临设。</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轨道建设方面，轨道27号线正在开展征地拆迁工作，轨道7号线、17号线、15号线正在准备前期工作。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加快北拓区开发，推进“两纵一横”骨架路网建设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西部新城管委会</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市地产集团已委托策划单位对北拓区进行整体策划，目前已编制初步控制性详细规划方案并报区规资局。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79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加快青凤高科产业园建设，拓展1000亩用地空间</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凤凰镇</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正在根据成果验收会意见，修改调规方案。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完成青凤高科孵化中心主体建设，投用智荟大道、凤回路等8条10公里道路，完善水电气讯配套，打造产城融合示范区</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凤凰镇</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青凤高科孵化中心二期推进施工，目前1号楼、2号楼房心回填施工完成，正在进行1号楼及2号楼一层主体施工、3号楼及4号楼地梁及承台施工、5号楼及车库筏板施工。</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智荟大道完成桥梁工程、排水管网施工，凤滩路完成路面工程施工，青凤园中路完成水稳层施工；凤胡西路完成桥梁工程及K0+300-K1+400段水稳层施工，南环路、凤胡东路、碚青路、凤回路已完工。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81</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提升城市品质</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大力推进坡坎崖绿化美化，建成和平山、石壁山城市公园等12个绿化项目，新增绿化面积120万平方米</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融汇社区公园地块坡坎崖绿化美化3.7万平方米，完成总进度17%；和平山城市公园完成场地平整40%；已完成天陈路、站东路绿化提质、重庆市第七中学田径运动场恢复及环境绿化品质提升工程。一季度新增绿化面积19.95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开展城乡结合部综合整治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启动和平山城市公园、融汇温泉城社区公园、凌云路边坡整治、三千城片区环境综合整治、西南医院周边市容环境整治、双碑劳动桥公厕等10个项目，目前均已启动施工。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加快45个久征未尽地块拆迁扫尾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一季度完成农户签约64户，集体资产签约21个社，企业签约38家，拆除房屋48550平方米。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拆除100万平方米违法建筑</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区整违办</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一季度完成11.1713万平方米违法建筑拆除。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高水平打造“两江四岸”，完成沙滨路贯通工程和自然岸线修复，新建30公里山城步道</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区城管局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迈瑞城投公司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相关街道</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磁器口滨江区域治理提升工程，磁器口码头区域已完成96%；凤凰溪至双碑大桥段全面开工，正在开展挡墙建设、边坡平整和种植土回填等工作。沙滨路贯通工程已取得可研和初设批复，正在办理概算送审。30公里步道建设正在有序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深化“大城三管”，推进“马路办公”向背街小巷延伸，实施城区“路平工程”</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一季度全区各级开展三级马路办公1193次，累计交办问题4844项，已完成4682项，整改率96.66%。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新增7000个公共停车位、5个公厕、4座人行天桥</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名人广场停车库等5个停车场正在主体施工。童家桥轨道站公厕已完成选址和初步设计方案编制，剩余4座公厕正在开展选址等前期工作。凌云路口人行天桥已主体完工，佛罗伦萨等2座人行天桥正在主体施工，南渝中学人行天桥已完成立项，正在编制可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完善智慧城管数字平台，推行城市综合治理“一网统管”、城市运行态势“一屏通览”，让城市运行更智慧、更精准、更高效</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政务信息系统清查，政务数据资源目录清单编制，公共安全视频本地调查，数据资源汇聚至市城管局大数据中心技术方案，公共安全视频共享接入城市管理工作方案，城市管理智能化应用项目技术方案编制并通过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89</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抓好乡村振兴</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加快中梁都市村庄建设，建成24公里环线道路，提升1300栋农房风貌，建设“六和馆”高端民宿，打造乡村振兴“样板间”</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庆龙路6.5公里整治道路，已完成总工程量的40%；中井路至庆龙路连接道建设，已完成设计工作。已确定325栋房屋纳入改造，已完工27栋。完成“六和馆”立项、勘察和方案设计，正在同步进行可行性研究方案审查和初设方案技术性审查，同步编制概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开展农村人居环境“五清理一活动”整治，改造农村危房70户，新建“四好农村路”50公里，改厕1500户</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区城管局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开展村庄清洁行动，发现并督促镇街整改问题607个。农村危房改造已完工13户，正在开工6户。已摸排我区应改农村户厕，正在制定年度改厕计划。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完成2000户饮水安全巩固提升工程</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大学城水务公司已就青木关镇、凤凰镇、丰文街道农村饮水一户一表工程完成公司内部议案，正在向上级公司报立项请示。回龙坝镇农村供水一户一表工程，已完工82%。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大力发展休闲农业、乡村旅游，创建市级农旅融合品牌3个</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持续打造斐然湖、开心农场、太寺垭森林公园等农旅融合项目品牌，成功举办2021春季郁金香赏花节、草莓采果节、桃花赏花节，推介2条乡村旅游精品路线。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坚决遏制耕地“非农化”、防止“非粮化”，确保“米袋子”“菜篮子”供应</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区规划自然资源局区农业农村委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区整违办</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起草制定区级坚决制止耕地“非农化”行为实施意见，利用二三调数据，对全区耕地“非农化”情况进行内业初步摸排。完成200亩鲜食玉米和500亩速生叶菜推广工作。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深化“三变”改革，推进“三社”融合，发展新型集体经济，促进农民增收致富</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区供销社</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启动中梁镇“三变”改革示范镇、丰文街道三河村“三变”示范村改革深化完善工作，已争取市级补助资金150万元和中央补助资金50万元。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95</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改善环境质量</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持续推进中央生态环保督察反馈问题整改</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各整改责任单位</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第二轮中央生态环保督察7个专项子方案问题，目前已整改销号3个，4个达到进度要求；10个举一反三问题已全部完成整改销号；交办的266件问题，已办结销号173件，正在推进93件。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完成487家“散乱污”企业整治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区整违办</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歌乐山街道</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完成整治453家，完成率93%，剩余34家正在推进。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完成沙田污水处理厂一期、井口污水处理厂三期建设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沙田污水处理厂正在就成立</w:t>
            </w:r>
            <w:r>
              <w:rPr>
                <w:rFonts w:ascii="Times New Roman" w:hAnsi="Times New Roman" w:eastAsia="方正仿宋_GBK"/>
                <w:kern w:val="0"/>
                <w:sz w:val="24"/>
                <w:szCs w:val="24"/>
              </w:rPr>
              <w:t>SPV</w:t>
            </w:r>
            <w:r>
              <w:rPr>
                <w:rFonts w:hint="eastAsia" w:ascii="Times New Roman" w:hAnsi="Times New Roman" w:eastAsia="方正仿宋_GBK"/>
                <w:kern w:val="0"/>
                <w:sz w:val="24"/>
                <w:szCs w:val="24"/>
              </w:rPr>
              <w:t>公司组织协议签订，同步进行开挖，完成挖方</w:t>
            </w:r>
            <w:r>
              <w:rPr>
                <w:rFonts w:ascii="Times New Roman" w:hAnsi="Times New Roman" w:eastAsia="方正仿宋_GBK"/>
                <w:kern w:val="0"/>
                <w:sz w:val="24"/>
                <w:szCs w:val="24"/>
              </w:rPr>
              <w:t>4</w:t>
            </w:r>
            <w:r>
              <w:rPr>
                <w:rFonts w:hint="eastAsia" w:ascii="Times New Roman" w:hAnsi="Times New Roman" w:eastAsia="方正仿宋_GBK"/>
                <w:kern w:val="0"/>
                <w:sz w:val="24"/>
                <w:szCs w:val="24"/>
              </w:rPr>
              <w:t xml:space="preserve">万方；井口污水处理厂三期已完成主体建设。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新改建60公里管网</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完成改建5.5km，正在施工4.2km，其余正在进行前期工作。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99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加快清水溪、凤凰溪、詹家溪、跳蹬河综合治理</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相关河长单位</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开展清水溪、凤凰溪污染排查，正在实施雨污管网、污水处理站提标改造及岸线修复。詹家溪治理工程已立项及可研批复，正在编制实施方案。跳蹬河已完成杨梨沟污水处理站提标改造。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建成空气质量监测预警平台，确保优良天数300天以上</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区气象局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各行业主管部门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已建成空气质量监测预警平台，一季度交办涉气问题20余个，发布管控措施30余条，实现空气质量优良天数82天。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开展绿色小区创建，推广绿色生产生活方式，推行生活垃圾分类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申报绿色生态住宅小区竣工标识项目1个，建筑面积35.02万平方米。在18个镇街、21个行政村开展生活垃圾分类示范，开展“八进”宣传活动900余次，入户宣传50万余次。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持续推进“无废城市”建设，治理修复20万平方米污染土壤，保持土壤质量稳定</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区土储中心</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“无废城市”建设领导小组成员单位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完成2020年“无废城市”绩效评估工作。完成18个地块土壤污染调查，2个污染地块治理修复，提供净土面积27.17万平方米。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103</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抓好常态化疫情防控</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严格落实常态化疫情防控措施，毫不放松抓好“外防输入、内防反弹”。加强中高风险地区来区人员健康管理，严格实施进口冷链食品定期检测消毒，强化重点场所防控，坚决阻断疫情输入扩散渠道</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累计核酸检测“18类重点人群”206944人次，进口冷链食品等2类物食品和外包装、5类环境等23697件次；闭环管理境外来区返区人员261人，规范管理中高风险地区来区返区人员196人；处置风险人群及阳性物品流入我区事件8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完善多点触发实时监控机制，加大重点人群健康检测频次，增强早期监测预警能力</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强化发热患者筛查，累计接诊发热患者3442人次、留观2231人次，累计追踪购买购退烧药和抗感染等药物人员872人次，均及时排除新冠可能。强化学校、火车站、农村地区防控筛查，一季度无新增新冠肺炎疫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有序开展疫苗接种，加强应急物资储备。引导群众养成良好卫生习惯，筑牢常态化疫情防控的社会防线</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推进新冠疫苗接种，全区累计接种107593剂次，接种进度为6.2%，居全市第10。坚持三级储备模式，医疗卫生机构按45天满负荷运转需求量进行物资储备。多种方式开展疫情防控宣传。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106</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加强民生保障</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完善重点群体就业支持体系，实现新增就业2.6万人。促进社保精准扩面</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一季度新增就业7383人，参保率稳定在95%以上。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全面推行“一门受理、协同办理”社会救助制度改革，加强急难型临时救助，保障困难群众基本生活</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已搭建并运行综合救助信息平台，整合区民政局等16个部门救助数据资源，实现所有救助项目“一门受理、协同办理”。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深入实施惠残工程</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区残联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结合实际制定本年度惠残工程项目，正在收集项目内容和预算，计划4月底前出台实施方案。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109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着力解决“一老一小”问题，健全养老服务体系，实施独居老人关爱计划，照顾好监护缺失儿童，创建全国儿童友好城区</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区妇联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养老方面，继续推进社区居家养老服务全覆盖建设，完成1个镇养老服务中心的选址，组织新建成养老服务中心（站）的验收投用。</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儿童方面：社会组织对辖区农村留守儿童和困境儿童开展慰问，完成14个镇街走访调研，家访、电访困境儿童287人次。针对发现监护有一定风险的困境儿童，提供初步监护完善方案80套，募集资金13.2万元，多渠道解决困境儿童及其家庭实际困难。积极推进全国儿童友好城区建设，正在进行项目申报前期调研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提升退役军人服务保障质量，打造退役军人示范服务站8个</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区退役军人事务局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完成摸底，启动八个镇街服务场地选址。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111</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发展社会事业</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提高学前教育普惠率，加快建设树人和平小学等11所中小学</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学前教育普惠率方面，新增西政幼儿园、沙滨幼儿园2所公办幼儿园投入使用。</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学校建设方面，树人小学教学楼重建、树人崇文小学、重庆七中实验学校、六十八中整体改扩建4所学校正进行主体建设。树人和平小学、青木关镇小2所学校已开工建设。融汇沙小B区改扩建、联芳实验一小、陈堡社规划小学、28中改扩建、儿童艺校改扩建工程5个项目正在办理前期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保障普通高考综合改革落地，实施职业教育“双优”“双高”计划。深化新时代教育评价改革，实施教师“区管校聘”试点，严格规范教育培训机构，加强体育美育劳动教育，关注学生心理健康</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区委编办</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新高考综合改革工作，组织学习新高考综合改革志愿填报等改革变化点，开展2021年新高考八省联考适应性考试。</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职业教育方面，支持区内三所中职学校开展市级高水平中职学校建设，指导学校以需求为导向优化调整专业结构。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建成投用人民医院，开工建设疾控中心、妇幼保健院</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沙房总公司</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区人民医院新院区建设工程主体装饰及专项装饰已全面进场。</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区疾控中心和区妇幼保健院已完成交地，正在办理可研，启动预算和初设编制。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通过国家卫生区复评、市级健康城市评审</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区创卫办</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已于3月10日召开2021年卫生健康、国家卫生区复审暨健康促进区建设工作会，印发了2个责任分解文件，对相关工作明确了具体安排。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建成人防宣教中心</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区人民防空办</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团区委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区妇联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区科协</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完成施工图设计、清单编制等前期工作，正在组织财政评审和招标前期工作。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新改建2个基层文化服务场所，修缮李四光旧居、金九公馆</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基层文化服务场所选址，启动在陈家桥街道综合文化服务中心建设24小城市书房装修方案编制。完成李四光旧居修缮保护方案，并通过区规委会审查。启动金九公馆保护修缮工程手续办理，正在组织预算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117</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新增30个全民健身点</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区体育局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已建成5个全民健身点。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118</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推进社会治理现代化</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推进市域社会治理现代化试点，深化矛盾纠纷联防联排联调联治，妥善化解信访积案。完善立体化智能化社会治安防控体系，常态化推进扫黑除恶专项斗争</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区委政法委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区信访办</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社会治理方面，完成全区23个派出所人民调解室全覆盖。排查各类矛盾纠纷14561起。信访积案交办42起，化解16起，化解率38.1%。</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社会治安防控体系建设方面。组建区反诈骗中心并升级为智慧侦查中心，全面升级改造执法办案管理中心，完成雪亮工程建设、法医伤情快检通APP建设、19个基层所队办公用房的新建和改造工程。</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扫黑除恶专项斗争方面，对三年专项斗争期间侦办的13起涉黑恶犯罪集团案件开展“回头看”，对今年以来的36件九类涉黑恶个案执法质量进行审查和研判，以及对2条涉黑涉恶线索进行核查。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119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打造3个标准化公安派出所</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557" w:type="pct"/>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国际物流枢纽公司</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土主派出所外墙、地砖、门窗已完成选样，预计今年6月建成使用；青木关派出所正在进行室内砌体及抹灰，预计今年12月建成使用；石井坡派出所施工图正在深化设计。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严厉打击各类非法金融活动</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打非领导小组</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积极推进陈案化解，开展邦家案债权核对登记，为清退工作打下基础。积极开展宣传教育，通过集中宣讲、入户宣讲、播放公益宣传片、举办专题讲座等多种形式，提高群众识别非法集资的意识和能力。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121</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完成村、社区换届</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已完成村（社区）党组织换届选举，启动村（居）民委员会换届工作。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扎实开展</w:t>
            </w:r>
            <w:bookmarkStart w:id="0" w:name="_GoBack"/>
            <w:bookmarkEnd w:id="0"/>
            <w:r>
              <w:rPr>
                <w:rFonts w:ascii="Times New Roman" w:hAnsi="Times New Roman" w:eastAsia="方正仿宋_GBK"/>
                <w:kern w:val="0"/>
                <w:sz w:val="24"/>
                <w:szCs w:val="24"/>
              </w:rPr>
              <w:t>安全生产大排查大整治大执法，全面完成高层建筑消防隐患整治，全部拆除可燃雨棚，持续打通“生命通道”</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区应急管理局</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区消防支队</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一季度全区共检查企业6058家次，发现隐患和问题4044个，整改3629个，限期整改隐患415个，整改率89.74%，下达整改指令1906份，罚款3452.8892万元，行政拘留11人，刑事处罚4人。</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全区179栋无水高层建筑已有169栋完工通水，剩余10栋中，联芳街道怡锦苑4栋正在施工，预计4月中旬完工；覃家岗街道凤林戎居（军产）已完成项目设计、落实整改资金，预计6月底完工，整体通水率99.4%。全区91304万户可燃雨棚已拆除91198户，拆除率99.9%。一季度“生命通道”执法37万余条次，罚款84.4万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强化食品药品安全治理</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食安委成员单位</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强化风险隐患防控和技术监督，食品生产经营企业风险等级评定、餐饮服务食品安全监督量化分级管理实现全覆盖；开展区两会期间、春节元旦期间食品安全保障工作和春季校园及周边食品安全、疫苗配送储存使用环节等4项食品药品专项整治；严厉打击食品药品安全违法行为，立案查处食品药品违法案件36件。受理食品药品投诉举报280件，处理回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124</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坚持政治引领</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深学笃用习近平新时代中国特色社会主义思想，增强“四个意识”、坚定“四个自信”、做到“两个维护”</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各部门、各街镇坚持以习近平新时代中国特色社会主义思想为指导，树牢“四个意识”、坚定“四个自信”、坚决做到“两个维护”，持续推动新思想入脑入心、笃信笃行，推进政府部门工作常抓常新、服务效能更高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125</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坚持把区委的领导贯穿政府工作全过程，严格执行重大事项请示报告制度</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切实承担重大事项请示报告工作主体责任，认真组织学习，加强宣传引导，使广大干部准确把握重大事项请示报告的重要意义、基本原则、主要内容和工作要求。各级领导干部带头严守政治纪律和政治规矩，认真执行民主集中制，坚持和落实好请示报告制度。强化压力传导，推动重大事项请示报告落实到全区每一名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126</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扎实推进中央巡视反馈问题整改落实。全面彻底干净肃清孙政才恶劣影响和薄熙来、王立军流毒，巩固风清气正的政治生态</w:t>
            </w:r>
          </w:p>
        </w:tc>
        <w:tc>
          <w:tcPr>
            <w:tcW w:w="539" w:type="pct"/>
            <w:shd w:val="clear" w:color="auto" w:fill="auto"/>
            <w:vAlign w:val="center"/>
          </w:tcPr>
          <w:p>
            <w:pPr>
              <w:spacing w:line="340" w:lineRule="exact"/>
              <w:ind w:firstLine="240" w:firstLineChars="100"/>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已制定印发整改工作方案，明确工作责任，按要求推动整改工作。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127</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坚持依法行政</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健全重大决策事前评估制度，严格规范公正文明执法，加快法治政府、法治社会建设</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各行政执法单位</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r>
              <w:rPr>
                <w:rFonts w:hint="eastAsia" w:ascii="Times New Roman" w:hAnsi="Times New Roman" w:eastAsia="方正仿宋_GBK"/>
                <w:kern w:val="0"/>
                <w:sz w:val="24"/>
                <w:szCs w:val="24"/>
              </w:rPr>
              <w:t>、管委会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开展行政执法工作专题调研，督促执法单位完善管理制度。以地方性法规配套清理为契机，指导各执法单位建立健全举报、控告、行政执法过错责任追究等制度。指导规范执法行为。指导区城管局开展沙坪坝区雨棚集中整治工作，做到依法依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128</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深化行政复议规范化建设，做好行政复议与应诉工作</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健全行政复议工作管理机制，是规范案件立案归档，推进复议文书网上公开制度，接受群众监督。一季度共收到行政复议申请18件，依法受理17件，办结16件（含旧存9件）。</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强化行政应诉工作。一季度以区政府为被告的一审行政诉讼案件11件，办结11件（含旧存8件），暂无生效一审败诉案件；区级各单位负责人出庭应诉5次，出庭应诉率为62.5%。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129</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认真执行区人大的决议和决定，高质量办好人大代表建议和政协委员提案，主动接受人大法律监督、工作监督和政协民主监督</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组织学习区人大及其常委会的决议、决定并贯彻落实；高效率交办、高质量办结人大代表建议和政协提案工作；主动接受人大法律监督、工作监督和政协民主监督，自觉接受司法、舆论、社会监督。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130</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深化政务公开，自觉接受社会监督，让权力在阳光下运行</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把公开透明作为政府工作的基本要求，着力推进政务公开平台建设，大力推进决策、执行、管理、服务、结果公开，不断提升政务公开的质量和实效。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131</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坚持廉洁从政</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聚焦工程建设、招商引资、金融信贷、征地拆迁、民生资金等重点领域，坚决整治群众身边腐败和侵害群众利益问题</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开展农村公路建设补偿、城市公房处置领域治理工作，完成信息录入并启动党员干部亲属涉权事项比对。突出整治民生领域损害群众利益问题，查处群众身边腐败和不正之风问题7件7人。保持惩治腐败高压态势，一季度立案15件15人，处分10人，留置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132</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坚持过“紧日子”，强化预算执行刚性约束</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执行“过紧日子”政策压减公用经费中的非刚性支出30%，预计压减公用经费1个亿。核定公用经费人数改部门编制数为在编在职人数，节约资金0.6亿元。明确资金保障顺序，给“三保”经费打标识，纳入国库优先保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133</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加大审计监督力度</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区审计局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启动并推进2020年度区县财政预算执行和决算草案编制情况审计等行业审计项目 5个，联芳街道等经济责任审计项目2个，部门预算执行及财政财务收支审计项目1个，清水溪黑臭水体整治工程结算审计等投资审计项目4个及征地征收专项审计调查。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134</w:t>
            </w:r>
          </w:p>
        </w:tc>
        <w:tc>
          <w:tcPr>
            <w:tcW w:w="288"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深化拓展“以案四说”，全面推进“以案四改”，筑牢拒腐防变的思想防线、制度防线</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全区各级党组织召开“以案四说”480场次，受教育对象33850人次，推动相关单位整改问题70个，建立健全132项制度。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135</w:t>
            </w:r>
          </w:p>
        </w:tc>
        <w:tc>
          <w:tcPr>
            <w:tcW w:w="288"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坚持实干担当</w:t>
            </w: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持续纠治“四风”特别是形式主义、官僚主义，系统治理慢作为、乱作为</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开展“天价茶”“突击花钱”问题专项督查和元旦春节作风督查，坚决查处违反中央八项规定精神问题，累计查处4件4人。</w:t>
            </w:r>
            <w:r>
              <w:rPr>
                <w:rFonts w:ascii="Times New Roman" w:hAnsi="Times New Roman" w:eastAsia="方正仿宋_GBK"/>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136</w:t>
            </w:r>
          </w:p>
        </w:tc>
        <w:tc>
          <w:tcPr>
            <w:tcW w:w="288" w:type="pct"/>
            <w:vMerge w:val="continue"/>
            <w:shd w:val="clear" w:color="auto" w:fill="auto"/>
            <w:vAlign w:val="center"/>
          </w:tcPr>
          <w:p>
            <w:pPr>
              <w:spacing w:line="360" w:lineRule="exact"/>
              <w:jc w:val="center"/>
              <w:rPr>
                <w:rFonts w:ascii="Times New Roman" w:hAnsi="Times New Roman" w:eastAsia="方正仿宋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全面提升干部“七种能力”，加强思想淬炼、实践锻炼、专业训练，提升抓落实的本领，努力成为构建新发展格局的行家里手</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全面贯彻落实全国、全市组织部长会议精神，做好全年干部教育培训工作安排，组织召开“沙坪坝区2021年干部教育培训工作联席会”，审议通过《沙坪坝区2021年干部教育培训工作要点》《沙坪坝区2021年干部教育培训班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 w:type="pct"/>
            <w:shd w:val="clear" w:color="auto" w:fill="auto"/>
            <w:vAlign w:val="center"/>
          </w:tcPr>
          <w:p>
            <w:pPr>
              <w:jc w:val="center"/>
              <w:rPr>
                <w:rFonts w:ascii="Times New Roman" w:hAnsi="Times New Roman"/>
                <w:sz w:val="24"/>
                <w:szCs w:val="24"/>
              </w:rPr>
            </w:pPr>
            <w:r>
              <w:rPr>
                <w:rFonts w:ascii="Times New Roman" w:hAnsi="Times New Roman"/>
                <w:sz w:val="24"/>
                <w:szCs w:val="24"/>
              </w:rPr>
              <w:t>137</w:t>
            </w:r>
          </w:p>
        </w:tc>
        <w:tc>
          <w:tcPr>
            <w:tcW w:w="288" w:type="pct"/>
            <w:vMerge w:val="continue"/>
            <w:shd w:val="clear" w:color="auto" w:fill="auto"/>
            <w:vAlign w:val="center"/>
          </w:tcPr>
          <w:p>
            <w:pPr>
              <w:spacing w:line="320" w:lineRule="exact"/>
              <w:jc w:val="center"/>
              <w:rPr>
                <w:rFonts w:ascii="Times New Roman" w:hAnsi="Times New Roman" w:eastAsia="方正仿宋_GBK"/>
                <w:kern w:val="0"/>
                <w:sz w:val="24"/>
                <w:szCs w:val="24"/>
              </w:rPr>
            </w:pPr>
          </w:p>
        </w:tc>
        <w:tc>
          <w:tcPr>
            <w:tcW w:w="1354"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完善正向激励和容错纠错机制，激发干部担当作为，营造良好的干事创业氛围</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p>
            <w:pPr>
              <w:spacing w:line="300" w:lineRule="exact"/>
              <w:jc w:val="center"/>
              <w:rPr>
                <w:rFonts w:ascii="Times New Roman" w:hAnsi="Times New Roman" w:eastAsia="方正黑体_GBK"/>
                <w:sz w:val="24"/>
                <w:szCs w:val="24"/>
              </w:rPr>
            </w:pPr>
            <w:r>
              <w:rPr>
                <w:rFonts w:ascii="Times New Roman" w:hAnsi="Times New Roman" w:eastAsia="方正仿宋_GBK"/>
                <w:kern w:val="0"/>
                <w:sz w:val="24"/>
                <w:szCs w:val="24"/>
              </w:rPr>
              <w:t>各相关单位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拟定《沙坪坝区新时代担当作为好干部、团结奋进好班子选树宣传方案》，在全区选树宣传一批担当作为好干部、团结奋进好班子，营造良好干事创业氛围。开展选人用人专项检查工作；探索“担当作为”专项行动方案。</w:t>
            </w:r>
          </w:p>
        </w:tc>
      </w:tr>
    </w:tbl>
    <w:p>
      <w:pPr>
        <w:widowControl/>
        <w:jc w:val="left"/>
        <w:rPr>
          <w:rFonts w:ascii="Times New Roman" w:hAnsi="Times New Roman" w:eastAsia="黑体"/>
          <w:color w:val="000000"/>
          <w:sz w:val="32"/>
          <w:szCs w:val="32"/>
        </w:rPr>
      </w:pPr>
    </w:p>
    <w:sectPr>
      <w:pgSz w:w="23814" w:h="16840" w:orient="landscape"/>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213873"/>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eastAsia="zh-CN"/>
          </w:rPr>
          <w:t>17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lang w:eastAsia="zh-CN"/>
          </w:rPr>
          <w:t xml:space="preserve"> </w:t>
        </w:r>
        <w:r>
          <w:rPr>
            <w:rFonts w:asciiTheme="minorEastAsia" w:hAnsiTheme="minorEastAsia" w:eastAsiaTheme="minorEastAsia"/>
            <w:sz w:val="28"/>
            <w:szCs w:val="28"/>
          </w:rPr>
          <w:t>—</w:t>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607907"/>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eastAsia="zh-CN"/>
          </w:rPr>
          <w:t>14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lang w:eastAsia="zh-CN"/>
          </w:rPr>
          <w:t xml:space="preserve"> </w:t>
        </w:r>
        <w:r>
          <w:rPr>
            <w:rFonts w:asciiTheme="minorEastAsia" w:hAnsiTheme="minorEastAsia" w:eastAsiaTheme="minorEastAsia"/>
            <w:sz w:val="28"/>
            <w:szCs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D4"/>
    <w:rsid w:val="000004A7"/>
    <w:rsid w:val="00023B47"/>
    <w:rsid w:val="0006295A"/>
    <w:rsid w:val="00071265"/>
    <w:rsid w:val="0007478E"/>
    <w:rsid w:val="00076B96"/>
    <w:rsid w:val="00090FDA"/>
    <w:rsid w:val="000B4A5B"/>
    <w:rsid w:val="000B5D5A"/>
    <w:rsid w:val="000B75BC"/>
    <w:rsid w:val="000C2A40"/>
    <w:rsid w:val="000C4E7C"/>
    <w:rsid w:val="000D46C0"/>
    <w:rsid w:val="00111C37"/>
    <w:rsid w:val="00125421"/>
    <w:rsid w:val="001264C0"/>
    <w:rsid w:val="00131319"/>
    <w:rsid w:val="00134A55"/>
    <w:rsid w:val="001364C0"/>
    <w:rsid w:val="001371E1"/>
    <w:rsid w:val="00143F4F"/>
    <w:rsid w:val="00154F8B"/>
    <w:rsid w:val="00163B5A"/>
    <w:rsid w:val="00190098"/>
    <w:rsid w:val="00197C0A"/>
    <w:rsid w:val="001B513E"/>
    <w:rsid w:val="001B7B32"/>
    <w:rsid w:val="001F1B42"/>
    <w:rsid w:val="001F5EB7"/>
    <w:rsid w:val="001F7F8B"/>
    <w:rsid w:val="00207C82"/>
    <w:rsid w:val="002122DF"/>
    <w:rsid w:val="00236DE2"/>
    <w:rsid w:val="0027110A"/>
    <w:rsid w:val="0029156B"/>
    <w:rsid w:val="00291958"/>
    <w:rsid w:val="002A08C6"/>
    <w:rsid w:val="002A1027"/>
    <w:rsid w:val="002B64A0"/>
    <w:rsid w:val="002C621B"/>
    <w:rsid w:val="002C6963"/>
    <w:rsid w:val="002C78C4"/>
    <w:rsid w:val="002D5305"/>
    <w:rsid w:val="002D77E0"/>
    <w:rsid w:val="002E2BDD"/>
    <w:rsid w:val="002F170F"/>
    <w:rsid w:val="003108E1"/>
    <w:rsid w:val="00315E85"/>
    <w:rsid w:val="003313A7"/>
    <w:rsid w:val="00374B66"/>
    <w:rsid w:val="0038348E"/>
    <w:rsid w:val="003846E6"/>
    <w:rsid w:val="00396397"/>
    <w:rsid w:val="003C6B66"/>
    <w:rsid w:val="003D08F2"/>
    <w:rsid w:val="003D63C1"/>
    <w:rsid w:val="003E16D0"/>
    <w:rsid w:val="003E4B1B"/>
    <w:rsid w:val="004042BD"/>
    <w:rsid w:val="0040545C"/>
    <w:rsid w:val="00412A85"/>
    <w:rsid w:val="004165C9"/>
    <w:rsid w:val="00420AB5"/>
    <w:rsid w:val="004307D3"/>
    <w:rsid w:val="00435E28"/>
    <w:rsid w:val="00442DD4"/>
    <w:rsid w:val="004473F8"/>
    <w:rsid w:val="004503D3"/>
    <w:rsid w:val="00466DE7"/>
    <w:rsid w:val="00483F44"/>
    <w:rsid w:val="00485B95"/>
    <w:rsid w:val="004949F0"/>
    <w:rsid w:val="004A57FC"/>
    <w:rsid w:val="004A65C4"/>
    <w:rsid w:val="004A76EE"/>
    <w:rsid w:val="004B19D1"/>
    <w:rsid w:val="004C0064"/>
    <w:rsid w:val="004D130C"/>
    <w:rsid w:val="004E2D42"/>
    <w:rsid w:val="00514BE6"/>
    <w:rsid w:val="005175D9"/>
    <w:rsid w:val="005263CD"/>
    <w:rsid w:val="005308A0"/>
    <w:rsid w:val="00543F6A"/>
    <w:rsid w:val="00551961"/>
    <w:rsid w:val="00563EBD"/>
    <w:rsid w:val="0056526B"/>
    <w:rsid w:val="00576B77"/>
    <w:rsid w:val="00596829"/>
    <w:rsid w:val="005A099A"/>
    <w:rsid w:val="005A3A47"/>
    <w:rsid w:val="005C0F16"/>
    <w:rsid w:val="005C358C"/>
    <w:rsid w:val="005D4E15"/>
    <w:rsid w:val="005E0F7D"/>
    <w:rsid w:val="005E3054"/>
    <w:rsid w:val="00606AF0"/>
    <w:rsid w:val="00621296"/>
    <w:rsid w:val="00626E1C"/>
    <w:rsid w:val="00645F97"/>
    <w:rsid w:val="00657986"/>
    <w:rsid w:val="006608CA"/>
    <w:rsid w:val="00666C4F"/>
    <w:rsid w:val="00681978"/>
    <w:rsid w:val="00685963"/>
    <w:rsid w:val="00690456"/>
    <w:rsid w:val="006B2B25"/>
    <w:rsid w:val="006B6678"/>
    <w:rsid w:val="006E6466"/>
    <w:rsid w:val="006F1B91"/>
    <w:rsid w:val="006F6E8D"/>
    <w:rsid w:val="00700DA4"/>
    <w:rsid w:val="00703ABE"/>
    <w:rsid w:val="007063D7"/>
    <w:rsid w:val="00710468"/>
    <w:rsid w:val="00711BCA"/>
    <w:rsid w:val="00722167"/>
    <w:rsid w:val="00722CAF"/>
    <w:rsid w:val="00734E48"/>
    <w:rsid w:val="00735CF5"/>
    <w:rsid w:val="00737437"/>
    <w:rsid w:val="00747AEC"/>
    <w:rsid w:val="007572A6"/>
    <w:rsid w:val="00762E77"/>
    <w:rsid w:val="0076513D"/>
    <w:rsid w:val="00776E96"/>
    <w:rsid w:val="00783B5E"/>
    <w:rsid w:val="0078587D"/>
    <w:rsid w:val="007947FC"/>
    <w:rsid w:val="007A42FB"/>
    <w:rsid w:val="007A6E1D"/>
    <w:rsid w:val="007B1FC6"/>
    <w:rsid w:val="007C3321"/>
    <w:rsid w:val="007E4F40"/>
    <w:rsid w:val="007E51E0"/>
    <w:rsid w:val="007F2D02"/>
    <w:rsid w:val="008051C8"/>
    <w:rsid w:val="008164E4"/>
    <w:rsid w:val="00820CFF"/>
    <w:rsid w:val="00832FBC"/>
    <w:rsid w:val="0083366A"/>
    <w:rsid w:val="0083490C"/>
    <w:rsid w:val="00844944"/>
    <w:rsid w:val="008459B7"/>
    <w:rsid w:val="00861D92"/>
    <w:rsid w:val="00887750"/>
    <w:rsid w:val="008A18E2"/>
    <w:rsid w:val="008A1BF0"/>
    <w:rsid w:val="008C6839"/>
    <w:rsid w:val="008E3060"/>
    <w:rsid w:val="008F13EF"/>
    <w:rsid w:val="008F3191"/>
    <w:rsid w:val="0091144B"/>
    <w:rsid w:val="009147BF"/>
    <w:rsid w:val="00930158"/>
    <w:rsid w:val="0093541F"/>
    <w:rsid w:val="0094414C"/>
    <w:rsid w:val="009507F2"/>
    <w:rsid w:val="00952A6D"/>
    <w:rsid w:val="00960525"/>
    <w:rsid w:val="00965436"/>
    <w:rsid w:val="00965884"/>
    <w:rsid w:val="00967CA5"/>
    <w:rsid w:val="009746AD"/>
    <w:rsid w:val="009756AA"/>
    <w:rsid w:val="00980605"/>
    <w:rsid w:val="00997D5F"/>
    <w:rsid w:val="009A07B5"/>
    <w:rsid w:val="009A5FD1"/>
    <w:rsid w:val="009B1E08"/>
    <w:rsid w:val="009B418A"/>
    <w:rsid w:val="009D22A6"/>
    <w:rsid w:val="009F0B0E"/>
    <w:rsid w:val="00A15094"/>
    <w:rsid w:val="00A35271"/>
    <w:rsid w:val="00A4579F"/>
    <w:rsid w:val="00A5351C"/>
    <w:rsid w:val="00A57143"/>
    <w:rsid w:val="00A64195"/>
    <w:rsid w:val="00A701DE"/>
    <w:rsid w:val="00A7189B"/>
    <w:rsid w:val="00A84579"/>
    <w:rsid w:val="00A85536"/>
    <w:rsid w:val="00A903F4"/>
    <w:rsid w:val="00AB0B1F"/>
    <w:rsid w:val="00AB6689"/>
    <w:rsid w:val="00AC2B7A"/>
    <w:rsid w:val="00AC71BA"/>
    <w:rsid w:val="00AE473C"/>
    <w:rsid w:val="00AF3BEF"/>
    <w:rsid w:val="00B01BE4"/>
    <w:rsid w:val="00B11465"/>
    <w:rsid w:val="00B11512"/>
    <w:rsid w:val="00B13C03"/>
    <w:rsid w:val="00B22CAA"/>
    <w:rsid w:val="00B4288C"/>
    <w:rsid w:val="00B54811"/>
    <w:rsid w:val="00B617FD"/>
    <w:rsid w:val="00B7192A"/>
    <w:rsid w:val="00B96B70"/>
    <w:rsid w:val="00BA44E4"/>
    <w:rsid w:val="00BB5F04"/>
    <w:rsid w:val="00BB6876"/>
    <w:rsid w:val="00BC2805"/>
    <w:rsid w:val="00BC4068"/>
    <w:rsid w:val="00BC5729"/>
    <w:rsid w:val="00BC5F9C"/>
    <w:rsid w:val="00BE01DD"/>
    <w:rsid w:val="00BE7FAA"/>
    <w:rsid w:val="00C00ACF"/>
    <w:rsid w:val="00C0419D"/>
    <w:rsid w:val="00C17423"/>
    <w:rsid w:val="00C2316F"/>
    <w:rsid w:val="00C25190"/>
    <w:rsid w:val="00C57930"/>
    <w:rsid w:val="00C57E5A"/>
    <w:rsid w:val="00C65E86"/>
    <w:rsid w:val="00C76914"/>
    <w:rsid w:val="00C972C1"/>
    <w:rsid w:val="00CA0C97"/>
    <w:rsid w:val="00CA3423"/>
    <w:rsid w:val="00CA4257"/>
    <w:rsid w:val="00CB1C35"/>
    <w:rsid w:val="00CB2FCD"/>
    <w:rsid w:val="00CB4FAE"/>
    <w:rsid w:val="00CB5DDE"/>
    <w:rsid w:val="00CC2659"/>
    <w:rsid w:val="00CC2DCA"/>
    <w:rsid w:val="00CC3E8E"/>
    <w:rsid w:val="00CE52A0"/>
    <w:rsid w:val="00D252F7"/>
    <w:rsid w:val="00D329F4"/>
    <w:rsid w:val="00D351BF"/>
    <w:rsid w:val="00D35E9E"/>
    <w:rsid w:val="00D56AE1"/>
    <w:rsid w:val="00DA2E07"/>
    <w:rsid w:val="00DA3DB2"/>
    <w:rsid w:val="00DA41C0"/>
    <w:rsid w:val="00DC05C4"/>
    <w:rsid w:val="00DC1F8D"/>
    <w:rsid w:val="00DF64E7"/>
    <w:rsid w:val="00DF7E6B"/>
    <w:rsid w:val="00E11483"/>
    <w:rsid w:val="00E12665"/>
    <w:rsid w:val="00E1626D"/>
    <w:rsid w:val="00E167C7"/>
    <w:rsid w:val="00E21870"/>
    <w:rsid w:val="00E2215C"/>
    <w:rsid w:val="00E34647"/>
    <w:rsid w:val="00E34763"/>
    <w:rsid w:val="00E34978"/>
    <w:rsid w:val="00E37BC0"/>
    <w:rsid w:val="00E43532"/>
    <w:rsid w:val="00E449AD"/>
    <w:rsid w:val="00E54696"/>
    <w:rsid w:val="00E6580C"/>
    <w:rsid w:val="00E72FBC"/>
    <w:rsid w:val="00E82E1E"/>
    <w:rsid w:val="00E852D6"/>
    <w:rsid w:val="00E955E8"/>
    <w:rsid w:val="00E95D9C"/>
    <w:rsid w:val="00EA6C52"/>
    <w:rsid w:val="00EB4534"/>
    <w:rsid w:val="00EC4BCC"/>
    <w:rsid w:val="00ED3FF6"/>
    <w:rsid w:val="00F013B7"/>
    <w:rsid w:val="00F05C19"/>
    <w:rsid w:val="00F265FA"/>
    <w:rsid w:val="00F34F13"/>
    <w:rsid w:val="00F361B7"/>
    <w:rsid w:val="00F452E5"/>
    <w:rsid w:val="00F455EB"/>
    <w:rsid w:val="00F52756"/>
    <w:rsid w:val="00F6668B"/>
    <w:rsid w:val="00F72581"/>
    <w:rsid w:val="00F90A25"/>
    <w:rsid w:val="00F90D76"/>
    <w:rsid w:val="00F92042"/>
    <w:rsid w:val="00FB2096"/>
    <w:rsid w:val="00FB7601"/>
    <w:rsid w:val="00FC390A"/>
    <w:rsid w:val="00FE5101"/>
    <w:rsid w:val="00FE69FF"/>
    <w:rsid w:val="73DFB1E4"/>
    <w:rsid w:val="A67FA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qFormat/>
    <w:uiPriority w:val="0"/>
    <w:pPr>
      <w:ind w:left="100" w:leftChars="2500"/>
    </w:pPr>
    <w:rPr>
      <w:rFonts w:eastAsia="方正仿宋_GBK"/>
      <w:sz w:val="32"/>
    </w:rPr>
  </w:style>
  <w:style w:type="paragraph" w:styleId="4">
    <w:name w:val="Balloon Text"/>
    <w:basedOn w:val="1"/>
    <w:link w:val="16"/>
    <w:unhideWhenUsed/>
    <w:qFormat/>
    <w:uiPriority w:val="0"/>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qFormat/>
    <w:uiPriority w:val="0"/>
    <w:rPr>
      <w:color w:val="0000FF"/>
      <w:u w:val="single"/>
    </w:rPr>
  </w:style>
  <w:style w:type="paragraph" w:styleId="14">
    <w:name w:val="List Paragraph"/>
    <w:basedOn w:val="1"/>
    <w:qFormat/>
    <w:uiPriority w:val="99"/>
    <w:pPr>
      <w:ind w:firstLine="420" w:firstLineChars="200"/>
    </w:pPr>
  </w:style>
  <w:style w:type="character" w:customStyle="1" w:styleId="15">
    <w:name w:val="页脚 Char"/>
    <w:basedOn w:val="10"/>
    <w:link w:val="5"/>
    <w:qFormat/>
    <w:uiPriority w:val="99"/>
    <w:rPr>
      <w:rFonts w:ascii="Calibri" w:hAnsi="Calibri" w:eastAsia="宋体" w:cs="Times New Roman"/>
      <w:sz w:val="18"/>
      <w:szCs w:val="18"/>
      <w:lang w:val="zh-CN" w:eastAsia="zh-CN"/>
    </w:rPr>
  </w:style>
  <w:style w:type="character" w:customStyle="1" w:styleId="16">
    <w:name w:val="批注框文本 Char"/>
    <w:basedOn w:val="10"/>
    <w:link w:val="4"/>
    <w:qFormat/>
    <w:uiPriority w:val="0"/>
    <w:rPr>
      <w:rFonts w:ascii="Calibri" w:hAnsi="Calibri" w:eastAsia="宋体" w:cs="Times New Roman"/>
      <w:sz w:val="18"/>
      <w:szCs w:val="18"/>
    </w:rPr>
  </w:style>
  <w:style w:type="character" w:customStyle="1" w:styleId="17">
    <w:name w:val="页眉 Char"/>
    <w:basedOn w:val="10"/>
    <w:link w:val="6"/>
    <w:qFormat/>
    <w:uiPriority w:val="0"/>
    <w:rPr>
      <w:rFonts w:ascii="Calibri" w:hAnsi="Calibri" w:eastAsia="宋体" w:cs="Times New Roman"/>
      <w:sz w:val="18"/>
      <w:szCs w:val="18"/>
    </w:rPr>
  </w:style>
  <w:style w:type="character" w:customStyle="1" w:styleId="18">
    <w:name w:val="标题 2 Char"/>
    <w:basedOn w:val="10"/>
    <w:link w:val="2"/>
    <w:qFormat/>
    <w:uiPriority w:val="9"/>
    <w:rPr>
      <w:rFonts w:ascii="Cambria" w:hAnsi="Cambria" w:eastAsia="宋体" w:cs="Times New Roman"/>
      <w:b/>
      <w:bCs/>
      <w:sz w:val="32"/>
      <w:szCs w:val="32"/>
    </w:rPr>
  </w:style>
  <w:style w:type="character" w:customStyle="1" w:styleId="19">
    <w:name w:val="日期 Char"/>
    <w:basedOn w:val="10"/>
    <w:link w:val="3"/>
    <w:qFormat/>
    <w:uiPriority w:val="0"/>
    <w:rPr>
      <w:rFonts w:ascii="Calibri" w:hAnsi="Calibri" w:eastAsia="方正仿宋_GBK" w:cs="Times New Roman"/>
      <w:sz w:val="32"/>
    </w:rPr>
  </w:style>
  <w:style w:type="paragraph" w:customStyle="1" w:styleId="20">
    <w:name w:val="日期1"/>
    <w:basedOn w:val="1"/>
    <w:next w:val="1"/>
    <w:qFormat/>
    <w:uiPriority w:val="0"/>
    <w:pPr>
      <w:ind w:left="100" w:leftChars="2500"/>
    </w:pPr>
  </w:style>
  <w:style w:type="paragraph" w:customStyle="1" w:styleId="21">
    <w:name w:val="批注框文本 Char Char"/>
    <w:basedOn w:val="1"/>
    <w:link w:val="23"/>
    <w:qFormat/>
    <w:uiPriority w:val="0"/>
    <w:rPr>
      <w:sz w:val="18"/>
      <w:szCs w:val="18"/>
    </w:rPr>
  </w:style>
  <w:style w:type="paragraph" w:customStyle="1" w:styleId="22">
    <w:name w:val="列出段落1"/>
    <w:basedOn w:val="1"/>
    <w:qFormat/>
    <w:uiPriority w:val="0"/>
    <w:pPr>
      <w:ind w:firstLine="420" w:firstLineChars="200"/>
    </w:pPr>
  </w:style>
  <w:style w:type="character" w:customStyle="1" w:styleId="23">
    <w:name w:val="批注框文本 Char Char Char"/>
    <w:link w:val="21"/>
    <w:qFormat/>
    <w:uiPriority w:val="0"/>
    <w:rPr>
      <w:rFonts w:ascii="Calibri" w:hAnsi="Calibri" w:eastAsia="宋体" w:cs="Times New Roman"/>
      <w:sz w:val="18"/>
      <w:szCs w:val="18"/>
    </w:rPr>
  </w:style>
  <w:style w:type="character" w:customStyle="1" w:styleId="24">
    <w:name w:val="页脚 Char1"/>
    <w:semiHidden/>
    <w:qFormat/>
    <w:uiPriority w:val="99"/>
    <w:rPr>
      <w:rFonts w:ascii="Times New Roman" w:hAnsi="Times New Roman" w:eastAsia="方正仿宋_GBK"/>
      <w:kern w:val="2"/>
      <w:sz w:val="18"/>
      <w:szCs w:val="18"/>
    </w:rPr>
  </w:style>
  <w:style w:type="character" w:customStyle="1" w:styleId="25">
    <w:name w:val="日期 Char1"/>
    <w:qFormat/>
    <w:uiPriority w:val="99"/>
    <w:rPr>
      <w:rFonts w:ascii="Calibri" w:hAnsi="Calibri"/>
      <w:kern w:val="2"/>
      <w:sz w:val="21"/>
      <w:szCs w:val="22"/>
    </w:rPr>
  </w:style>
  <w:style w:type="table" w:customStyle="1" w:styleId="26">
    <w:name w:val="网格型1"/>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3462</Words>
  <Characters>19738</Characters>
  <Lines>164</Lines>
  <Paragraphs>46</Paragraphs>
  <TotalTime>2055</TotalTime>
  <ScaleCrop>false</ScaleCrop>
  <LinksUpToDate>false</LinksUpToDate>
  <CharactersWithSpaces>23154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2021-04-01T15:49:00Z</dcterms:created>
  <dc:creator>user</dc:creator>
  <cp:lastModifiedBy>guest</cp:lastModifiedBy>
  <cp:lastPrinted>2020-01-23T11:14:00Z</cp:lastPrinted>
  <dcterms:modified xsi:type="dcterms:W3CDTF">2021-05-07T17:58:23Z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