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重庆市沙坪坝区人民政府办公室</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关于印发沙坪坝区推动公立医院高质量发展</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spacing w:line="56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沙府办发〔2022〕</w:t>
      </w:r>
      <w:r>
        <w:rPr>
          <w:rFonts w:hint="eastAsia" w:ascii="Times New Roman" w:hAnsi="Times New Roman" w:eastAsia="方正仿宋_GBK" w:cs="Times New Roman"/>
          <w:color w:val="000000"/>
          <w:kern w:val="0"/>
          <w:sz w:val="32"/>
          <w:szCs w:val="32"/>
          <w:lang w:val="en-US" w:eastAsia="zh-CN"/>
        </w:rPr>
        <w:t>118</w:t>
      </w:r>
      <w:r>
        <w:rPr>
          <w:rFonts w:hint="default" w:ascii="Times New Roman" w:hAnsi="Times New Roman" w:eastAsia="方正仿宋_GBK" w:cs="Times New Roman"/>
          <w:color w:val="000000"/>
          <w:kern w:val="0"/>
          <w:sz w:val="32"/>
          <w:szCs w:val="32"/>
        </w:rPr>
        <w:t>号</w:t>
      </w:r>
    </w:p>
    <w:p>
      <w:pPr>
        <w:pStyle w:val="2"/>
        <w:rPr>
          <w:rFonts w:hint="default" w:ascii="Times New Roman" w:hAnsi="Times New Roman" w:cs="Times New Roman"/>
        </w:rPr>
      </w:pPr>
    </w:p>
    <w:p>
      <w:pPr>
        <w:spacing w:line="560" w:lineRule="exact"/>
        <w:rPr>
          <w:rFonts w:hint="default" w:ascii="Times New Roman" w:hAnsi="Times New Roman" w:eastAsia="方正仿宋_GBK" w:cs="Times New Roman"/>
          <w:sz w:val="32"/>
          <w:szCs w:val="32"/>
        </w:rPr>
      </w:pPr>
      <w:r>
        <w:rPr>
          <w:rFonts w:ascii="Times New Roman" w:hAnsi="Times New Roman" w:eastAsia="方正仿宋_GBK"/>
          <w:sz w:val="32"/>
          <w:szCs w:val="32"/>
        </w:rPr>
        <w:t>各镇人民政府、各街道办事处，区政府各部门，有关单位</w:t>
      </w:r>
      <w:r>
        <w:rPr>
          <w:rFonts w:hint="default" w:ascii="Times New Roman" w:hAnsi="Times New Roman" w:eastAsia="方正仿宋_GBK" w:cs="Times New Roman"/>
          <w:sz w:val="32"/>
          <w:szCs w:val="32"/>
        </w:rPr>
        <w:t>：</w:t>
      </w:r>
    </w:p>
    <w:p>
      <w:pPr>
        <w:adjustRightInd w:val="0"/>
        <w:snapToGrid w:val="0"/>
        <w:spacing w:line="560" w:lineRule="exact"/>
        <w:ind w:firstLine="645"/>
        <w:rPr>
          <w:rFonts w:ascii="Times New Roman" w:hAnsi="Times New Roman" w:eastAsia="方正仿宋_GBK"/>
          <w:sz w:val="32"/>
          <w:szCs w:val="32"/>
        </w:rPr>
      </w:pPr>
      <w:r>
        <w:rPr>
          <w:rFonts w:ascii="Times New Roman" w:hAnsi="Times New Roman" w:eastAsia="方正仿宋_GBK"/>
          <w:sz w:val="32"/>
          <w:szCs w:val="32"/>
        </w:rPr>
        <w:t>《沙坪坝区推动公立医院高质量发展实施方案》已经区</w:t>
      </w:r>
      <w:r>
        <w:rPr>
          <w:rFonts w:ascii="Times New Roman" w:hAnsi="Times New Roman" w:eastAsia="方正仿宋_GBK"/>
          <w:sz w:val="32"/>
          <w:szCs w:val="32"/>
          <w:shd w:val="clear" w:color="auto" w:fill="FFFFFF"/>
        </w:rPr>
        <w:t>政府</w:t>
      </w:r>
      <w:r>
        <w:rPr>
          <w:rFonts w:ascii="Times New Roman" w:hAnsi="Times New Roman" w:eastAsia="方正仿宋_GBK"/>
          <w:sz w:val="32"/>
          <w:szCs w:val="32"/>
        </w:rPr>
        <w:t>同意，现印发给你们，请结合实际认真抓好贯彻落实。</w:t>
      </w:r>
    </w:p>
    <w:p>
      <w:pPr>
        <w:spacing w:line="560" w:lineRule="exact"/>
        <w:ind w:firstLine="640" w:firstLineChars="200"/>
        <w:rPr>
          <w:rFonts w:hint="default" w:ascii="Times New Roman" w:hAnsi="Times New Roman" w:eastAsia="方正仿宋_GBK" w:cs="Times New Roman"/>
          <w:sz w:val="32"/>
          <w:szCs w:val="32"/>
        </w:rPr>
      </w:pPr>
    </w:p>
    <w:p>
      <w:pPr>
        <w:wordWrap w:val="0"/>
        <w:spacing w:line="56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重庆市沙坪坝区人民政府办公室</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 xml:space="preserve">日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spacing w:line="560" w:lineRule="exact"/>
        <w:ind w:firstLine="440" w:firstLineChars="100"/>
        <w:rPr>
          <w:rFonts w:hint="default" w:ascii="Times New Roman" w:hAnsi="Times New Roman" w:eastAsia="方正小标宋_GBK" w:cs="Times New Roman"/>
          <w:sz w:val="44"/>
          <w:szCs w:val="44"/>
        </w:rPr>
      </w:pPr>
    </w:p>
    <w:p>
      <w:pPr>
        <w:spacing w:line="560" w:lineRule="exact"/>
        <w:ind w:firstLine="440" w:firstLineChars="100"/>
        <w:rPr>
          <w:rFonts w:hint="default" w:ascii="Times New Roman" w:hAnsi="Times New Roman" w:eastAsia="方正仿宋_GBK" w:cs="Times New Roman"/>
          <w:sz w:val="32"/>
          <w:szCs w:val="32"/>
        </w:rPr>
      </w:pPr>
      <w:r>
        <w:rPr>
          <w:rFonts w:ascii="Times New Roman" w:hAnsi="Times New Roman" w:eastAsia="方正小标宋_GBK"/>
          <w:sz w:val="44"/>
          <w:szCs w:val="44"/>
        </w:rPr>
        <w:t>沙坪坝区推动公立医院高质量发展实施方案</w:t>
      </w:r>
    </w:p>
    <w:p>
      <w:pPr>
        <w:pStyle w:val="2"/>
        <w:rPr>
          <w:rFonts w:hint="default" w:ascii="Times New Roman" w:hAnsi="Times New Roman" w:eastAsia="方正仿宋_GBK" w:cs="Times New Roman"/>
          <w:sz w:val="32"/>
          <w:szCs w:val="32"/>
        </w:rPr>
      </w:pPr>
    </w:p>
    <w:p>
      <w:pPr>
        <w:spacing w:line="550" w:lineRule="exact"/>
        <w:ind w:firstLine="640" w:firstLineChars="200"/>
        <w:rPr>
          <w:rFonts w:ascii="Times New Roman" w:hAnsi="Times New Roman" w:eastAsia="方正黑体_GBK"/>
          <w:sz w:val="32"/>
          <w:szCs w:val="20"/>
        </w:rPr>
      </w:pPr>
      <w:r>
        <w:rPr>
          <w:rFonts w:ascii="Times New Roman" w:hAnsi="Times New Roman" w:eastAsia="方正黑体_GBK"/>
          <w:sz w:val="32"/>
          <w:szCs w:val="20"/>
        </w:rPr>
        <w:t>一、总体要求</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楷体_GBK"/>
          <w:sz w:val="32"/>
          <w:szCs w:val="20"/>
        </w:rPr>
        <w:t>（一）指导思想。</w:t>
      </w:r>
      <w:r>
        <w:rPr>
          <w:rFonts w:ascii="Times New Roman" w:hAnsi="Times New Roman" w:eastAsia="方正仿宋_GBK"/>
          <w:sz w:val="32"/>
          <w:szCs w:val="20"/>
        </w:rPr>
        <w:t>以习近平新时代中国特色社会主义思想为指导，全面贯彻党的二十大精神，落实市第六次党代会、区第十三次党代会精神，坚持以人民为中心的发展思想，加强公立医院主体地位，坚持政府主导、公益性主导、公立医院主导，坚持医防融合、平急结合、中西医并重，坚持分类指导、因地制宜、协同高效，以建立健全现代医院管理制度为目标，强化体系创新、技术创新、模式创新、管理创新，推动全区公立医院高质量发展。</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楷体_GBK"/>
          <w:sz w:val="32"/>
          <w:szCs w:val="20"/>
        </w:rPr>
        <w:t>（二）总体目标。</w:t>
      </w:r>
      <w:r>
        <w:rPr>
          <w:rFonts w:ascii="Times New Roman" w:hAnsi="Times New Roman" w:eastAsia="方正仿宋_GBK"/>
          <w:sz w:val="32"/>
          <w:szCs w:val="20"/>
        </w:rPr>
        <w:t>到2025年，力争全区公立医院体系更加健全，基本建成体系完整、布局合理、分工明确、功能互补、密切协作、运行高效的公立医院高质量发展新体系；公立医院运行更加科学高效，发展方式从规模扩张转向提质增效，运行模式从粗放管理转向精细化管理，资源配置从注重物质要素转向更加注重人才技术要素；公立医院服务能力明显提升，为更好提供优质高效医疗卫生服务、防范化解重大疫情和突发公共卫生风险、推进健康中国沙坪坝行动提供有力支撑。</w:t>
      </w:r>
    </w:p>
    <w:p>
      <w:pPr>
        <w:spacing w:line="550" w:lineRule="exact"/>
        <w:ind w:firstLine="640" w:firstLineChars="200"/>
        <w:rPr>
          <w:rFonts w:ascii="Times New Roman" w:hAnsi="Times New Roman" w:eastAsia="方正黑体_GBK"/>
          <w:sz w:val="32"/>
          <w:szCs w:val="20"/>
        </w:rPr>
      </w:pPr>
      <w:r>
        <w:rPr>
          <w:rFonts w:ascii="Times New Roman" w:hAnsi="Times New Roman" w:eastAsia="方正黑体_GBK"/>
          <w:sz w:val="32"/>
          <w:szCs w:val="20"/>
        </w:rPr>
        <w:t>二、重点任务</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（一）构建公立医院高质量发展新体系</w:t>
      </w:r>
    </w:p>
    <w:p>
      <w:pPr>
        <w:spacing w:line="55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1．推动驻区医院高水平发展。加强军地合作、院校合作，支持西南医院、新桥医院等建成国内一流的综合医院。支持重庆大学附属肿瘤医院、市公共卫生医疗救治中心等打造知名专科、学科。支持驻区部队、市级医院建设国家医学中心和国家区域医疗中心，推进区级公立医院融入中心创建，深化区人民医院与重庆大学合作共建，抓好军地医联体协作帮扶。</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促进区级医院高质量发展。区人民医院成功创建三级甲等综合性医院，依托其技术、学科优势，带动其他区属二级医院建设区域内卒中、胸痛、咯血、创伤、危重孕产妇救治、危重儿童和新生儿救治等“六大中心”。推进区级临床检验中心建设和区域专病诊疗中心创建。陈家桥医院二期工程建设完成，中医康复特色诊疗区投入使用。区中医院完成院区扩容建设并成功创建三级中医医院。区中西医结合医院加强优势学科建设，提高肿瘤、心脑血管、呼吸、消化和感染性疾病等防治能力，提高区域就诊率。区疾控中心、区妇幼保健院新院区主体工程完成建设。加强妇女儿童健康、老龄健康、职业健康、康复医疗服务能力建设，提升全生命周期医疗健康服务能力。理顺体制，整合利用多方资源，强化区精卫中心建设。</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32"/>
        </w:rPr>
        <w:t>3．发挥公立医院在医联体中的作用。发</w:t>
      </w:r>
      <w:r>
        <w:rPr>
          <w:rFonts w:ascii="Times New Roman" w:hAnsi="Times New Roman" w:eastAsia="方正仿宋_GBK"/>
          <w:sz w:val="32"/>
          <w:szCs w:val="20"/>
        </w:rPr>
        <w:t>挥公</w:t>
      </w:r>
      <w:r>
        <w:rPr>
          <w:rFonts w:ascii="Times New Roman" w:hAnsi="Times New Roman" w:eastAsia="方正仿宋_GBK"/>
          <w:sz w:val="32"/>
          <w:szCs w:val="32"/>
        </w:rPr>
        <w:t>立医院在城市医</w:t>
      </w:r>
      <w:r>
        <w:rPr>
          <w:rFonts w:ascii="Times New Roman" w:hAnsi="Times New Roman" w:eastAsia="方正仿宋_GBK"/>
          <w:sz w:val="32"/>
          <w:szCs w:val="20"/>
        </w:rPr>
        <w:t>疗集团中的牵头作用，协同推进基层医疗机构高质量发展。按照网格化布局管理，结合区人民医院三级创建，组建紧密型城市医疗集团，统筹负责网格内居民预防、治疗、康复、健康促进等一体化、连续性医疗服务。发挥驻区部队高校附属医院在区域医联体中的龙头作用，带动区级医院各学科集群发展。依托区中医院牵头的</w:t>
      </w:r>
      <w:r>
        <w:rPr>
          <w:rFonts w:ascii="Times New Roman" w:hAnsi="Times New Roman" w:eastAsia="方正仿宋_GBK"/>
          <w:sz w:val="32"/>
          <w:szCs w:val="32"/>
        </w:rPr>
        <w:t>“</w:t>
      </w:r>
      <w:r>
        <w:rPr>
          <w:rFonts w:ascii="Times New Roman" w:hAnsi="Times New Roman" w:eastAsia="方正仿宋_GBK"/>
          <w:sz w:val="32"/>
          <w:szCs w:val="20"/>
        </w:rPr>
        <w:t>磁童</w:t>
      </w:r>
      <w:r>
        <w:rPr>
          <w:rFonts w:ascii="Times New Roman" w:hAnsi="Times New Roman" w:eastAsia="方正仿宋_GBK"/>
          <w:sz w:val="32"/>
          <w:szCs w:val="32"/>
        </w:rPr>
        <w:t>”</w:t>
      </w:r>
      <w:r>
        <w:rPr>
          <w:rFonts w:ascii="Times New Roman" w:hAnsi="Times New Roman" w:eastAsia="方正仿宋_GBK"/>
          <w:sz w:val="32"/>
          <w:szCs w:val="20"/>
        </w:rPr>
        <w:t>片区医共体，创新公立医院医防融合机制，加强公立医院公共卫生科室标准化建设，健全完善医疗机构公共卫生职责清单，促进区级医院与专业公共卫生机构的分工协作和业务融合。协同推进基层医疗机构高质量发展，着力解决设施设备、基本建设、薪酬分配等关键问题。支持基层医疗机构开展全科、儿科、中医康复护理、医养结合等特色服务，推进以全科医生为主体、全科专科有效联动、医防有机融合的家庭医生签约服务，引导基层医疗机构更好融入医联体、医共体建设。</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4．健全重大疫情救治体系。实施疾控能力及重大传染病医疗救治能力提升工程。支持市公共卫生医疗救治中心提高多学科临床救治能力，加快建设成为全国一流的省级感染病救治中心。支持区人民医院定点救治医院建设，区中医院、区中西医结合医院亚定点救治医院建设，做到发生重大疫情时迅速转换功能。发挥中医药在重大疫情防控救治中的独特作用，打造高水平中医疫病防治队伍。发挥驻区军队医院在重大疫情防控救治和国家生物安全防御中的作用。持续强化医院感染防控管理，提高重大疫情应对能力。</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5．加强川渝医疗卫生协作发展。全面融入成渝双城经济圈建设，主动加强与武侯区、青白江区医疗卫生协作。积极推进与武侯区华西医院等优质医疗资源的检验检查结果互认、远程医疗等项目合作。搭建优质医疗资源共享合作平台，以特色专科为纽带促进区人民医院等区级单位加入区域专科联盟，全面加强医疗、教学和科研全方位合作，为下一步融入驻区部队、市级医院国家医学中心和区域医疗中心建设项目打下坚实基础。</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（二）引领公立医院高质量发展新趋势</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6．加强临床专科学科建设。根据区级医院功能定位，差异化发展学科建设，满足人民群众的就医需求。充分发挥针灸科、骨伤科国家级中医特色专科技术优势及区域龙头带动作用，适时启动国家级中医重点专科建设。积极争创心血管、重症、儿科、急诊、呼吸、中医皮肤、针灸等市级临床重点专科；加大肿瘤、血液、胸外、神外、病理等薄弱专科建设。建设一批区级临床重点专科，重点发展消化内科、泌尿外科、呼吸内科、骨科、神经内科、超声科等临床专科。持续推进</w:t>
      </w:r>
      <w:r>
        <w:rPr>
          <w:rFonts w:ascii="Times New Roman" w:hAnsi="Times New Roman" w:eastAsia="方正仿宋_GBK"/>
          <w:sz w:val="32"/>
          <w:szCs w:val="32"/>
        </w:rPr>
        <w:t>“</w:t>
      </w:r>
      <w:r>
        <w:rPr>
          <w:rFonts w:ascii="Times New Roman" w:hAnsi="Times New Roman" w:eastAsia="方正仿宋_GBK"/>
          <w:sz w:val="32"/>
          <w:szCs w:val="20"/>
        </w:rPr>
        <w:t>三名</w:t>
      </w:r>
      <w:r>
        <w:rPr>
          <w:rFonts w:ascii="Times New Roman" w:hAnsi="Times New Roman" w:eastAsia="方正仿宋_GBK"/>
          <w:sz w:val="32"/>
          <w:szCs w:val="32"/>
        </w:rPr>
        <w:t>”</w:t>
      </w:r>
      <w:r>
        <w:rPr>
          <w:rFonts w:ascii="Times New Roman" w:hAnsi="Times New Roman" w:eastAsia="方正仿宋_GBK"/>
          <w:sz w:val="32"/>
          <w:szCs w:val="20"/>
        </w:rPr>
        <w:t>工程建设，改进落实医疗质量管理体系和标准体系，提高不同级别公立医疗机构医疗服务同质化水平。加强与重庆大学、陆军军医大学协作共建，实施一流学科建设专项，支持一批优势学科建设，力争进入国家“双一流”建设行列。实施市级重点学科建设专项，建设2个医学类市级重点学科。加强中医医院和中医优势专科建设，建设1个市级</w:t>
      </w:r>
      <w:r>
        <w:rPr>
          <w:rFonts w:ascii="Times New Roman" w:hAnsi="Times New Roman" w:eastAsia="方正仿宋_GBK"/>
          <w:sz w:val="32"/>
          <w:szCs w:val="32"/>
        </w:rPr>
        <w:t>“</w:t>
      </w:r>
      <w:r>
        <w:rPr>
          <w:rFonts w:ascii="Times New Roman" w:hAnsi="Times New Roman" w:eastAsia="方正仿宋_GBK"/>
          <w:sz w:val="32"/>
          <w:szCs w:val="20"/>
        </w:rPr>
        <w:t>中医名科”。</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7．提升医学技术创新能力。加强基础和临床研究，加大对基础研究和应用基础研究的投入力度，医院科研经费投入占业务收入的比重不低于全市研发投入强度。支持开展疑难重症等诊疗技术攻关，组织实施一批重大科技创新项目。加快推动驻区国家重点实验室、国家临床医学研究中心、国家部委重点实验室建设。加大中医药经典名方收集、筛选、研发力度，围绕经典名方、名医名方开展中药制剂研究。深化科技成果使用权、处置权、收益权改革，推动科技成果转化，所获收益主要用于对作出重要贡献的人员给予奖励。健全职务发明制度。加快发展商业健康保险，促进医疗新技术进入临床使用。</w:t>
      </w:r>
    </w:p>
    <w:p>
      <w:pPr>
        <w:spacing w:line="550" w:lineRule="exact"/>
        <w:ind w:firstLine="640" w:firstLineChars="200"/>
        <w:rPr>
          <w:rFonts w:ascii="Times New Roman" w:hAnsi="Times New Roman" w:eastAsia="方正仿宋_GBK"/>
          <w:strike/>
          <w:sz w:val="32"/>
          <w:szCs w:val="20"/>
        </w:rPr>
      </w:pPr>
      <w:r>
        <w:rPr>
          <w:rFonts w:ascii="Times New Roman" w:hAnsi="Times New Roman" w:eastAsia="方正仿宋_GBK"/>
          <w:sz w:val="32"/>
          <w:szCs w:val="20"/>
        </w:rPr>
        <w:t>8．推进医疗服务模式创新。在区人民医院、区中医院、陈家桥医院急诊、肿瘤等专科实施多学科诊疗，试设多学科诊疗门诊。区人民医院扩大日间手术范围，在其他二级医院逐步开展日间手术。做实责任制整体护理，强化基础护理，开展延续护理服务，推动无陪护病房试点。在二级及以上医疗机构大力推动药学门诊、处方前置审核、临床药师驻科等工作，开展药物重整、治疗药物管理等药学专业技术服务，提高精准用药水平，深入推进医共体内上下级医疗机构用药衔接。大力推进院前医疗急救网络建设，完善120信息化系统，加强院前急救与院内救治的信息互通、工作衔接，提升院前医疗急救服务能力。完善综合医院、妇幼保健院中西医会诊制度，建立中西医临床协作长效机制。</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9．强化信息化支撑作用。全力推动云计算、大数据、物联网、区块链、5G等信息技术与医疗服务深度融合，持续推进5G医疗专网示范建设。推进二级以上医院“智慧医院”“互联网医院”示范创建工作。区人民医院深化智慧医疗服务建设，逐步实现诊疗服务流程智能化应用全覆盖；完成三级医疗机构电子病历应用水平分级测评达到四级标准、二级医院达到三级标准。引进国内优质医疗资源，大力发展远程医疗和互联网诊疗，建设“双向转诊、远程会诊、区域影像、区域化验、区域心电”五大中心，创新探索建设思路，探索建设医学影像</w:t>
      </w:r>
      <w:r>
        <w:rPr>
          <w:rFonts w:ascii="Times New Roman" w:hAnsi="Times New Roman" w:eastAsia="方正仿宋_GBK"/>
          <w:sz w:val="32"/>
          <w:szCs w:val="32"/>
        </w:rPr>
        <w:t>“</w:t>
      </w:r>
      <w:r>
        <w:rPr>
          <w:rFonts w:ascii="Times New Roman" w:hAnsi="Times New Roman" w:eastAsia="方正仿宋_GBK"/>
          <w:sz w:val="32"/>
          <w:szCs w:val="20"/>
        </w:rPr>
        <w:t>无胶片</w:t>
      </w:r>
      <w:r>
        <w:rPr>
          <w:rFonts w:ascii="Times New Roman" w:hAnsi="Times New Roman" w:eastAsia="方正仿宋_GBK"/>
          <w:sz w:val="32"/>
          <w:szCs w:val="32"/>
        </w:rPr>
        <w:t>”</w:t>
      </w:r>
      <w:r>
        <w:rPr>
          <w:rFonts w:ascii="Times New Roman" w:hAnsi="Times New Roman" w:eastAsia="方正仿宋_GBK"/>
          <w:sz w:val="32"/>
          <w:szCs w:val="20"/>
        </w:rPr>
        <w:t>城市，远程医疗服务覆盖所有镇街，持续提升远程阅片、读图数量。探索建设区域审方系统，持续推进</w:t>
      </w:r>
      <w:r>
        <w:rPr>
          <w:rFonts w:ascii="Times New Roman" w:hAnsi="Times New Roman" w:eastAsia="方正仿宋_GBK"/>
          <w:sz w:val="32"/>
          <w:szCs w:val="32"/>
        </w:rPr>
        <w:t>“</w:t>
      </w:r>
      <w:r>
        <w:rPr>
          <w:rFonts w:ascii="Times New Roman" w:hAnsi="Times New Roman" w:eastAsia="方正仿宋_GBK"/>
          <w:sz w:val="32"/>
          <w:szCs w:val="20"/>
        </w:rPr>
        <w:t>互联网+药品流通</w:t>
      </w:r>
      <w:r>
        <w:rPr>
          <w:rFonts w:ascii="Times New Roman" w:hAnsi="Times New Roman" w:eastAsia="方正仿宋_GBK"/>
          <w:sz w:val="32"/>
          <w:szCs w:val="32"/>
        </w:rPr>
        <w:t>”</w:t>
      </w:r>
      <w:r>
        <w:rPr>
          <w:rFonts w:ascii="Times New Roman" w:hAnsi="Times New Roman" w:eastAsia="方正仿宋_GBK"/>
          <w:sz w:val="32"/>
          <w:szCs w:val="20"/>
        </w:rPr>
        <w:t>改革，建立药品追溯制度，探索公立医院处方信息与药品零售消费信息互联互通。重点支持我区实力较强、具备条件的学科，积极创建市级专病临床诊疗中心，壮大优质医疗资源，促进分级诊疗体系建设，实现医生科学分工与患者的有序流动，提高全区医疗服务效能。</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（三）提升公立医院高质量发展新效能</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10．加强医院运营管理。2025年初步建立医院运营管理组织架构，整合业务资源系统，完善各项规章制度。探索建立医院运营管理决策支持系统，2022-2025年区人民医院初步建立医院运营管理决策中心，推动医院运营管理的科学化、规范化、精细化。三级公立医院设置总会计师岗位，鼓励其他有条件的医院推进总会计师制度建设。以大数据方法建立病种组合标准体系，形成疾病严重程度与资源消耗在每一个病组的量化治疗标准、药品标准和耗材标准等，对医院CMI（病例组合指数）、成本产出、医生绩效等进行监测评价。</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11．加强全面预算管理。以医院战略发展规划和年度计划目标为依据，实行全口径、全过程、全员性、全方位预算管理，所有收支全部纳入预算范围，强化预算约束，促进资源有效分配和使用。建立健全财务报告、第三方审计和信息公开机制，定期公开医院相关财务信息，主动接受社会监督。加强内部审计建设，提高内部审计水平。</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12．完善内部控制制度。以业务管理和经济管理的重大风险、重大事件、重要流程为重点，开展风险评估和内部控制评价，防范财务风险、医疗风险、法律风险和廉政风险，推进内部控制信息化建设。强化成本核算与控制，逐步实行医院全成本核算。强化成本消耗关键环节的流程管理，降低万元收入能耗支出。推广医院后勤</w:t>
      </w:r>
      <w:r>
        <w:rPr>
          <w:rFonts w:ascii="Times New Roman" w:hAnsi="Times New Roman" w:eastAsia="方正仿宋_GBK"/>
          <w:sz w:val="32"/>
          <w:szCs w:val="32"/>
        </w:rPr>
        <w:t>“</w:t>
      </w:r>
      <w:r>
        <w:rPr>
          <w:rFonts w:ascii="Times New Roman" w:hAnsi="Times New Roman" w:eastAsia="方正仿宋_GBK"/>
          <w:sz w:val="32"/>
          <w:szCs w:val="20"/>
        </w:rPr>
        <w:t>一站式</w:t>
      </w:r>
      <w:r>
        <w:rPr>
          <w:rFonts w:ascii="Times New Roman" w:hAnsi="Times New Roman" w:eastAsia="方正仿宋_GBK"/>
          <w:sz w:val="32"/>
          <w:szCs w:val="32"/>
        </w:rPr>
        <w:t>”</w:t>
      </w:r>
      <w:r>
        <w:rPr>
          <w:rFonts w:ascii="Times New Roman" w:hAnsi="Times New Roman" w:eastAsia="方正仿宋_GBK"/>
          <w:sz w:val="32"/>
          <w:szCs w:val="20"/>
        </w:rPr>
        <w:t>服务。</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13．健全绩效评价机制。全面开展二级公立医院绩效考核，持续优化绩效考核指标体系，坚持和强化公益性导向，将考核结果作为财政投入、领导干部任免、医保总额测算、绩效总量核定的重要参考依据。改革公立医院内部绩效考核办法，以聘用合同为依据，以岗位职责完成情况为重点，将考核结果与薪酬分配挂钩。完善区域医共体绩效考核制度，促进资源下沉，提高基层服务能力和居民健康水平。基本建成全方位、全过程、全覆盖的预算绩效管理体系，提升预算管理水平和政策实施效果。</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（四）激活公立医院高质量发展新动力</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14．改革人事管理制度。按照全市统一部署，落实好公立医院人员编制标准，建立动态核增机制。深入推进公立医院人员总量备案管理，试点医院人员总量规模和使用计划实行动态调整，积极争取扩大试点范围。落实公立医院用人自主权，对编制内外人员待遇统筹考虑。落实岗位管理制度，按照医、护、药、技、管等不同类别合理设置岗位，科学编制岗位责任书，健全岗位设置动态调整机制。优化岗位聘用考核机制，加强人员聘后管理，推动建立竞争择优、能上能下工作机制。增加护士配备，逐步使公立医院医护比总体达到1</w:t>
      </w:r>
      <w:r>
        <w:rPr>
          <w:rFonts w:hint="eastAsia" w:ascii="宋体" w:hAnsi="宋体" w:cs="宋体"/>
          <w:sz w:val="32"/>
          <w:szCs w:val="20"/>
        </w:rPr>
        <w:t>∶</w:t>
      </w:r>
      <w:r>
        <w:rPr>
          <w:rFonts w:ascii="Times New Roman" w:hAnsi="Times New Roman" w:eastAsia="方正仿宋_GBK"/>
          <w:sz w:val="32"/>
          <w:szCs w:val="20"/>
        </w:rPr>
        <w:t>2左右。</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15．改革薪酬分配制度。落实</w:t>
      </w:r>
      <w:r>
        <w:rPr>
          <w:rFonts w:ascii="Times New Roman" w:hAnsi="Times New Roman" w:eastAsia="方正仿宋_GBK"/>
          <w:sz w:val="32"/>
          <w:szCs w:val="32"/>
        </w:rPr>
        <w:t>“</w:t>
      </w:r>
      <w:r>
        <w:rPr>
          <w:rFonts w:ascii="Times New Roman" w:hAnsi="Times New Roman" w:eastAsia="方正仿宋_GBK"/>
          <w:sz w:val="32"/>
          <w:szCs w:val="20"/>
        </w:rPr>
        <w:t>允许医疗卫生机构突破现行事业单位工资调控水平，允许医疗服务收入扣除成本并按规定提取各项基金后主要用于人员奖励（来源：《关于深化公立医院薪酬制度改革的指导意见》人社部发〔2021〕52号）</w:t>
      </w:r>
      <w:r>
        <w:rPr>
          <w:rFonts w:ascii="Times New Roman" w:hAnsi="Times New Roman" w:eastAsia="方正仿宋_GBK"/>
          <w:sz w:val="32"/>
          <w:szCs w:val="32"/>
        </w:rPr>
        <w:t>”</w:t>
      </w:r>
      <w:r>
        <w:rPr>
          <w:rFonts w:ascii="Times New Roman" w:hAnsi="Times New Roman" w:eastAsia="方正仿宋_GBK"/>
          <w:sz w:val="32"/>
          <w:szCs w:val="20"/>
        </w:rPr>
        <w:t>要求，全面推开公立医院薪酬制度改革，合理确定、动态调整公立医院薪酬水平，合理确定人员支出占公立医院业务支出的比例。建立主要体现岗位职责和知识价值的薪酬体系，实行以岗定责、以岗定薪、责薪相适、考核兑现。在核定的绩效工资总量内，公立医院可采取多种方式自主分配，可自主设立体现医疗行业特点、劳动特点和岗位价值的绩效工资项目。探索实行年薪制、协议工资制、项目工资等灵活多样的分配形式。</w:t>
      </w:r>
    </w:p>
    <w:p>
      <w:pPr>
        <w:spacing w:line="550" w:lineRule="exact"/>
        <w:ind w:firstLine="640" w:firstLineChars="200"/>
        <w:rPr>
          <w:rFonts w:ascii="Times New Roman" w:hAnsi="Times New Roman" w:eastAsia="方正仿宋_GBK"/>
          <w:sz w:val="32"/>
          <w:szCs w:val="20"/>
          <w:highlight w:val="yellow"/>
        </w:rPr>
      </w:pPr>
      <w:r>
        <w:rPr>
          <w:rFonts w:ascii="Times New Roman" w:hAnsi="Times New Roman" w:eastAsia="方正仿宋_GBK"/>
          <w:sz w:val="32"/>
          <w:szCs w:val="20"/>
        </w:rPr>
        <w:t>16．健全人才培养引进和评价制度。优化完善《沙坪坝区卫生人才引进实施办法》，</w:t>
      </w:r>
      <w:r>
        <w:rPr>
          <w:rFonts w:ascii="Times New Roman" w:hAnsi="Times New Roman" w:eastAsia="方正仿宋_GBK"/>
          <w:sz w:val="32"/>
          <w:szCs w:val="32"/>
        </w:rPr>
        <w:t>建立“引进人才、关爱人才、留住人才”良性机制。</w:t>
      </w:r>
      <w:r>
        <w:rPr>
          <w:rFonts w:ascii="Times New Roman" w:hAnsi="Times New Roman" w:eastAsia="方正仿宋_GBK"/>
          <w:sz w:val="32"/>
          <w:szCs w:val="20"/>
        </w:rPr>
        <w:t>扩大公立医院引才自主权</w:t>
      </w:r>
      <w:r>
        <w:rPr>
          <w:rFonts w:ascii="Times New Roman" w:hAnsi="Times New Roman" w:eastAsia="方正仿宋_GBK"/>
          <w:sz w:val="32"/>
          <w:szCs w:val="32"/>
        </w:rPr>
        <w:t>，拓展人才引进思路，</w:t>
      </w:r>
      <w:r>
        <w:rPr>
          <w:rFonts w:ascii="Times New Roman" w:hAnsi="Times New Roman" w:eastAsia="方正仿宋_GBK"/>
          <w:sz w:val="32"/>
          <w:szCs w:val="20"/>
        </w:rPr>
        <w:t>加大对驻区部队医院顶尖人才的引进力度，</w:t>
      </w:r>
      <w:r>
        <w:rPr>
          <w:rFonts w:ascii="Times New Roman" w:hAnsi="Times New Roman" w:eastAsia="方正仿宋_GBK"/>
          <w:sz w:val="32"/>
          <w:szCs w:val="32"/>
        </w:rPr>
        <w:t>促进军地人才互动交融</w:t>
      </w:r>
      <w:r>
        <w:rPr>
          <w:rFonts w:ascii="Times New Roman" w:hAnsi="Times New Roman" w:eastAsia="方正仿宋_GBK"/>
          <w:sz w:val="32"/>
          <w:szCs w:val="20"/>
        </w:rPr>
        <w:t>。落实人才认定、强化政策支持、做好关心关爱，</w:t>
      </w:r>
      <w:r>
        <w:rPr>
          <w:rFonts w:ascii="Times New Roman" w:hAnsi="Times New Roman" w:eastAsia="方正仿宋_GBK"/>
          <w:sz w:val="32"/>
          <w:szCs w:val="32"/>
        </w:rPr>
        <w:t>进一步优化人才干事创业环境</w:t>
      </w:r>
      <w:r>
        <w:rPr>
          <w:rFonts w:ascii="Times New Roman" w:hAnsi="Times New Roman" w:eastAsia="方正仿宋_GBK"/>
          <w:sz w:val="32"/>
          <w:szCs w:val="20"/>
        </w:rPr>
        <w:t>。落实住院医师、专科医师规范化培训和继续医学教育制度，加强中医药师承教育，培养中西医结合人才。加强紧缺护理专业护士的培养培训，推动护理岗位科学管理。改革完善人才评价机制，坚持分层分类评价，合理设置评价标准，建立完善以医德、能力、业绩为重点的人才评价体系，完善临床工作数量和质量指标，探索实行成果代表作制度，淡化论文数量要求。</w:t>
      </w:r>
    </w:p>
    <w:p>
      <w:pPr>
        <w:spacing w:line="550" w:lineRule="exact"/>
        <w:ind w:firstLine="640" w:firstLineChars="200"/>
        <w:rPr>
          <w:rFonts w:ascii="Times New Roman" w:hAnsi="Times New Roman" w:eastAsia="方正仿宋_GBK"/>
          <w:color w:val="FF0000"/>
          <w:sz w:val="32"/>
          <w:szCs w:val="20"/>
        </w:rPr>
      </w:pPr>
      <w:r>
        <w:rPr>
          <w:rFonts w:ascii="Times New Roman" w:hAnsi="Times New Roman" w:eastAsia="方正仿宋_GBK"/>
          <w:sz w:val="32"/>
          <w:szCs w:val="20"/>
        </w:rPr>
        <w:t>17．深化医疗服务价格改革。落实医疗服务价格动态调整机制，定期开展调价评估，稳妥有序推进医疗服务价格调整。理顺比价关系，优化医院收入结构，逐步提高公立医院医疗服务收入（不含药品、耗材、检查、化验收入）占医疗收入比例。按照鼓励创新和使用适宜技术相结合的原则，加快新增医疗服务价格项目受理审核进度，促进医疗技术创新发展和临床应用。进一步规范医疗服务价格项目管理，加强医疗服务价格监测评估和监督检查。</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18．深化医保支付方式改革。推行以按病种付费为主的多元复合式医保支付方式，加快推进按疾病诊断相关分组付费试点工作，及时评估总结试点情况，逐步在全区推开。科学制定医保总额预算，规范医保协议管理，明确结算时限，细化结算规则，探索按床日、按人头付费。推动公立医院积极参与国家、市级药品和医用耗材集中采购使用改革，落实医保资金结余留用政策。落实国家符合中医药特点的医保支付方式，推动中医优势病种按病种付费，鼓励中医与对应的西医病种实现</w:t>
      </w:r>
      <w:r>
        <w:rPr>
          <w:rFonts w:ascii="Times New Roman" w:hAnsi="Times New Roman" w:eastAsia="方正仿宋_GBK"/>
          <w:sz w:val="32"/>
          <w:szCs w:val="32"/>
        </w:rPr>
        <w:t>“</w:t>
      </w:r>
      <w:r>
        <w:rPr>
          <w:rFonts w:ascii="Times New Roman" w:hAnsi="Times New Roman" w:eastAsia="方正仿宋_GBK"/>
          <w:sz w:val="32"/>
          <w:szCs w:val="20"/>
        </w:rPr>
        <w:t>同病同效同价</w:t>
      </w:r>
      <w:r>
        <w:rPr>
          <w:rFonts w:ascii="Times New Roman" w:hAnsi="Times New Roman" w:eastAsia="方正仿宋_GBK"/>
          <w:sz w:val="32"/>
          <w:szCs w:val="32"/>
        </w:rPr>
        <w:t>”</w:t>
      </w:r>
      <w:r>
        <w:rPr>
          <w:rFonts w:ascii="Times New Roman" w:hAnsi="Times New Roman" w:eastAsia="方正仿宋_GBK"/>
          <w:sz w:val="32"/>
          <w:szCs w:val="20"/>
        </w:rPr>
        <w:t>。</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（五）建设公立医院高质量发展新文化</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19．坚持以患者为中心。巩固医改便民长效机制，持续改善医疗服务。2022年底前，三级医院预约诊疗率达50%以上，实现区内同级医院间、医联体内及二级以上公立医院检查检验结果互认。建设患者服务中心等集成式服务单元，开展诊间（床旁）结算。建设老年友善医院，鼓励有条件的二级以上综合医院设置老年医学科，开设老年人综合服务门诊，开展公益慈善和社工、志愿者服务。到2025年，全区所有三级公立医院、50%的二级公立医院达到</w:t>
      </w:r>
      <w:r>
        <w:rPr>
          <w:rFonts w:ascii="Times New Roman" w:hAnsi="Times New Roman" w:eastAsia="方正仿宋_GBK"/>
          <w:sz w:val="32"/>
          <w:szCs w:val="32"/>
        </w:rPr>
        <w:t>“</w:t>
      </w:r>
      <w:r>
        <w:rPr>
          <w:rFonts w:ascii="Times New Roman" w:hAnsi="Times New Roman" w:eastAsia="方正仿宋_GBK"/>
          <w:sz w:val="32"/>
          <w:szCs w:val="20"/>
        </w:rPr>
        <w:t>美丽医院</w:t>
      </w:r>
      <w:r>
        <w:rPr>
          <w:rFonts w:ascii="Times New Roman" w:hAnsi="Times New Roman" w:eastAsia="方正仿宋_GBK"/>
          <w:sz w:val="32"/>
          <w:szCs w:val="32"/>
        </w:rPr>
        <w:t>”</w:t>
      </w:r>
      <w:r>
        <w:rPr>
          <w:rFonts w:ascii="Times New Roman" w:hAnsi="Times New Roman" w:eastAsia="方正仿宋_GBK"/>
          <w:sz w:val="32"/>
          <w:szCs w:val="20"/>
        </w:rPr>
        <w:t>建设标准。</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20．加强医院文化建设。挖掘医院文化底蕴，凝练升华医院的文化精神、管理理念和核心价值观，支持建设院史馆、医院文化墙（长廊）等，强化中医医院的中医药文化建设。大力弘扬伟大抗疫精神和崇高职业精神，加强医德医风建设。</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21．关心关爱医务人员。推动保护关心爱护医务人员长效机制落实，开展</w:t>
      </w:r>
      <w:r>
        <w:rPr>
          <w:rFonts w:ascii="Times New Roman" w:hAnsi="Times New Roman" w:eastAsia="方正仿宋_GBK"/>
          <w:sz w:val="32"/>
          <w:szCs w:val="32"/>
        </w:rPr>
        <w:t>“</w:t>
      </w:r>
      <w:r>
        <w:rPr>
          <w:rFonts w:ascii="Times New Roman" w:hAnsi="Times New Roman" w:eastAsia="方正仿宋_GBK"/>
          <w:sz w:val="32"/>
          <w:szCs w:val="20"/>
        </w:rPr>
        <w:t>守护天使</w:t>
      </w:r>
      <w:r>
        <w:rPr>
          <w:rFonts w:ascii="Times New Roman" w:hAnsi="Times New Roman" w:eastAsia="方正仿宋_GBK"/>
          <w:sz w:val="32"/>
          <w:szCs w:val="32"/>
        </w:rPr>
        <w:t>”</w:t>
      </w:r>
      <w:r>
        <w:rPr>
          <w:rFonts w:ascii="Times New Roman" w:hAnsi="Times New Roman" w:eastAsia="方正仿宋_GBK"/>
          <w:sz w:val="32"/>
          <w:szCs w:val="20"/>
        </w:rPr>
        <w:t>关心关爱行动。改善医务人员工作环境和条件，维护医务人员合法权益。鼓励公立医院通过实施“四鹰工程”、制定中青年医学后备人才管理暂行办法等多种方式，关心年轻医务人员成长。健全职工关爱帮扶机制，建立医务人员职业荣誉制度。推进</w:t>
      </w:r>
      <w:r>
        <w:rPr>
          <w:rFonts w:ascii="Times New Roman" w:hAnsi="Times New Roman" w:eastAsia="方正仿宋_GBK"/>
          <w:sz w:val="32"/>
          <w:szCs w:val="32"/>
        </w:rPr>
        <w:t>“</w:t>
      </w:r>
      <w:r>
        <w:rPr>
          <w:rFonts w:ascii="Times New Roman" w:hAnsi="Times New Roman" w:eastAsia="方正仿宋_GBK"/>
          <w:sz w:val="32"/>
          <w:szCs w:val="20"/>
        </w:rPr>
        <w:t>平安医院</w:t>
      </w:r>
      <w:r>
        <w:rPr>
          <w:rFonts w:ascii="Times New Roman" w:hAnsi="Times New Roman" w:eastAsia="方正仿宋_GBK"/>
          <w:sz w:val="32"/>
          <w:szCs w:val="32"/>
        </w:rPr>
        <w:t>”</w:t>
      </w:r>
      <w:r>
        <w:rPr>
          <w:rFonts w:ascii="Times New Roman" w:hAnsi="Times New Roman" w:eastAsia="方正仿宋_GBK"/>
          <w:sz w:val="32"/>
          <w:szCs w:val="20"/>
        </w:rPr>
        <w:t>建设，健全完善医疗纠纷预防和处理机制，依法严厉打击医闹、暴力伤医等涉医违法犯罪行为，坚决保护医务人员安全。</w:t>
      </w:r>
    </w:p>
    <w:p>
      <w:pPr>
        <w:spacing w:line="550" w:lineRule="exact"/>
        <w:ind w:firstLine="640" w:firstLineChars="200"/>
        <w:rPr>
          <w:rFonts w:ascii="Times New Roman" w:hAnsi="Times New Roman" w:eastAsia="方正楷体_GBK"/>
          <w:sz w:val="32"/>
          <w:szCs w:val="20"/>
        </w:rPr>
      </w:pPr>
      <w:r>
        <w:rPr>
          <w:rFonts w:ascii="Times New Roman" w:hAnsi="Times New Roman" w:eastAsia="方正楷体_GBK"/>
          <w:sz w:val="32"/>
          <w:szCs w:val="20"/>
        </w:rPr>
        <w:t>（六）坚持和加强党对公立医院的全面领导</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22．全面落实党委领导下的院长负责制。全面落实《沙坪坝区委办公室关于加强沙坪坝区公立医院党的建设工作的实施意见》，把党的领导融入医院治理全过程各方面各环节。建立党委领导下的院长负责制执行情况报告制度，全区各级公立医院修订完善医院党委会、院长办公会议事规则备案率达100%。</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23．加强领导班子和干部人才队伍建设。根据干部管理权限，稳妥有序做好医院党委书记、院长分设，选优配强医院领导班子。坚持党管干部原则，医院党委要按照干部选拔任用有关规定，制定实施医院内部组织机构负责人选拔任用具体办法。坚持党管人才原则，建立党委定期研究人才工作制度，将人才工作纳入各级公立医院绩效目标考核。建立党委联系服务专家制度，1名领导班子成员至少联系1名专家。</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24．提升公立医院党组织和党员队伍建设质量。推进党支部标准化规范化建设。建立党支部参与重大事项讨论决策的制度机制，把好政治关、医德医风关。实施党支部书记</w:t>
      </w:r>
      <w:r>
        <w:rPr>
          <w:rFonts w:ascii="Times New Roman" w:hAnsi="Times New Roman" w:eastAsia="方正仿宋_GBK"/>
          <w:sz w:val="32"/>
          <w:szCs w:val="32"/>
        </w:rPr>
        <w:t>“</w:t>
      </w:r>
      <w:r>
        <w:rPr>
          <w:rFonts w:ascii="Times New Roman" w:hAnsi="Times New Roman" w:eastAsia="方正仿宋_GBK"/>
          <w:sz w:val="32"/>
          <w:szCs w:val="20"/>
        </w:rPr>
        <w:t>双带头人</w:t>
      </w:r>
      <w:r>
        <w:rPr>
          <w:rFonts w:ascii="Times New Roman" w:hAnsi="Times New Roman" w:eastAsia="方正仿宋_GBK"/>
          <w:sz w:val="32"/>
          <w:szCs w:val="32"/>
        </w:rPr>
        <w:t>”</w:t>
      </w:r>
      <w:r>
        <w:rPr>
          <w:rFonts w:ascii="Times New Roman" w:hAnsi="Times New Roman" w:eastAsia="方正仿宋_GBK"/>
          <w:sz w:val="32"/>
          <w:szCs w:val="20"/>
        </w:rPr>
        <w:t>培育工程。建立健全把业务骨干培养成党员、把党员培养成业务骨干的</w:t>
      </w:r>
      <w:r>
        <w:rPr>
          <w:rFonts w:ascii="Times New Roman" w:hAnsi="Times New Roman" w:eastAsia="方正仿宋_GBK"/>
          <w:sz w:val="32"/>
          <w:szCs w:val="32"/>
        </w:rPr>
        <w:t>“</w:t>
      </w:r>
      <w:r>
        <w:rPr>
          <w:rFonts w:ascii="Times New Roman" w:hAnsi="Times New Roman" w:eastAsia="方正仿宋_GBK"/>
          <w:sz w:val="32"/>
          <w:szCs w:val="20"/>
        </w:rPr>
        <w:t>双培养</w:t>
      </w:r>
      <w:r>
        <w:rPr>
          <w:rFonts w:ascii="Times New Roman" w:hAnsi="Times New Roman" w:eastAsia="方正仿宋_GBK"/>
          <w:sz w:val="32"/>
          <w:szCs w:val="32"/>
        </w:rPr>
        <w:t>”</w:t>
      </w:r>
      <w:r>
        <w:rPr>
          <w:rFonts w:ascii="Times New Roman" w:hAnsi="Times New Roman" w:eastAsia="方正仿宋_GBK"/>
          <w:sz w:val="32"/>
          <w:szCs w:val="20"/>
        </w:rPr>
        <w:t>机制。</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25．落实公立医院党建工作责任。健全区委统一领导，区委组织部牵头抓总，区卫生健康委具体负责的责任体系。公立医院党委承担党建工作主体责任，党委书记是党建工作第一责任人，领导班子其他成员落实</w:t>
      </w:r>
      <w:r>
        <w:rPr>
          <w:rFonts w:ascii="Times New Roman" w:hAnsi="Times New Roman" w:eastAsia="方正仿宋_GBK"/>
          <w:sz w:val="32"/>
          <w:szCs w:val="32"/>
        </w:rPr>
        <w:t>“</w:t>
      </w:r>
      <w:r>
        <w:rPr>
          <w:rFonts w:ascii="Times New Roman" w:hAnsi="Times New Roman" w:eastAsia="方正仿宋_GBK"/>
          <w:sz w:val="32"/>
          <w:szCs w:val="20"/>
        </w:rPr>
        <w:t>一岗双责</w:t>
      </w:r>
      <w:r>
        <w:rPr>
          <w:rFonts w:ascii="Times New Roman" w:hAnsi="Times New Roman" w:eastAsia="方正仿宋_GBK"/>
          <w:sz w:val="32"/>
          <w:szCs w:val="32"/>
        </w:rPr>
        <w:t>”</w:t>
      </w:r>
      <w:r>
        <w:rPr>
          <w:rFonts w:ascii="Times New Roman" w:hAnsi="Times New Roman" w:eastAsia="方正仿宋_GBK"/>
          <w:sz w:val="32"/>
          <w:szCs w:val="20"/>
        </w:rPr>
        <w:t>。开展公立医院党组织书记抓基层党建述职评议考核，把党建工作成效纳入医院等级评定和巡视巡察工作内容，作为年度考核和干部选拔任用的重要依据。</w:t>
      </w:r>
    </w:p>
    <w:p>
      <w:pPr>
        <w:spacing w:line="550" w:lineRule="exact"/>
        <w:ind w:firstLine="640" w:firstLineChars="200"/>
        <w:rPr>
          <w:rFonts w:ascii="Times New Roman" w:hAnsi="Times New Roman" w:eastAsia="方正黑体_GBK"/>
          <w:sz w:val="32"/>
          <w:szCs w:val="20"/>
        </w:rPr>
      </w:pPr>
      <w:r>
        <w:rPr>
          <w:rFonts w:ascii="Times New Roman" w:hAnsi="Times New Roman" w:eastAsia="方正黑体_GBK"/>
          <w:sz w:val="32"/>
          <w:szCs w:val="20"/>
        </w:rPr>
        <w:t>三、保障措施</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楷体_GBK"/>
          <w:sz w:val="32"/>
          <w:szCs w:val="20"/>
        </w:rPr>
        <w:t>（一）落实工作责任。</w:t>
      </w:r>
      <w:r>
        <w:rPr>
          <w:rFonts w:ascii="Times New Roman" w:hAnsi="Times New Roman" w:eastAsia="方正仿宋_GBK"/>
          <w:sz w:val="32"/>
          <w:szCs w:val="20"/>
        </w:rPr>
        <w:t>区医改领导小组统筹协调全区公立医院高质量发展工作，强化组织领导，健全工作机制，落实工作保障；各成员单位要加强协同配合，进一步深化“放管服”改革，调整完善相关政策。把推动公立医院高质量发展作为深化医药卫生体制改革的重点任务，强化领导责任、保障责任、管理责任、监督责任、制定具体实施方案。各公立医院要落实主体责任，实行党委领导下的院长负责制，全面推动公立医院高质量发展。</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楷体_GBK"/>
          <w:sz w:val="32"/>
          <w:szCs w:val="20"/>
        </w:rPr>
        <w:t>（二）落实财政投入。</w:t>
      </w:r>
      <w:r>
        <w:rPr>
          <w:rFonts w:ascii="Times New Roman" w:hAnsi="Times New Roman" w:eastAsia="方正仿宋_GBK"/>
          <w:sz w:val="32"/>
          <w:szCs w:val="20"/>
        </w:rPr>
        <w:t>按规定落实政府对符合区域卫生规划公立医院的</w:t>
      </w:r>
      <w:r>
        <w:rPr>
          <w:rFonts w:ascii="Times New Roman" w:hAnsi="Times New Roman" w:eastAsia="方正仿宋_GBK"/>
          <w:sz w:val="32"/>
          <w:szCs w:val="32"/>
        </w:rPr>
        <w:t>“</w:t>
      </w:r>
      <w:r>
        <w:rPr>
          <w:rFonts w:ascii="Times New Roman" w:hAnsi="Times New Roman" w:eastAsia="方正仿宋_GBK"/>
          <w:sz w:val="32"/>
          <w:szCs w:val="20"/>
        </w:rPr>
        <w:t>六项投入</w:t>
      </w:r>
      <w:r>
        <w:rPr>
          <w:rFonts w:ascii="Times New Roman" w:hAnsi="Times New Roman" w:eastAsia="方正仿宋_GBK"/>
          <w:sz w:val="32"/>
          <w:szCs w:val="32"/>
        </w:rPr>
        <w:t>”</w:t>
      </w:r>
      <w:r>
        <w:rPr>
          <w:rFonts w:ascii="Times New Roman" w:hAnsi="Times New Roman" w:eastAsia="方正仿宋_GBK"/>
          <w:sz w:val="32"/>
          <w:szCs w:val="20"/>
        </w:rPr>
        <w:t>政策，落实对中医医院、精神病医院、妇幼保健院等专科医院的投入倾斜政策，积极稳妥推进化解公立医院符合规定的长期债务。</w:t>
      </w:r>
    </w:p>
    <w:p>
      <w:pPr>
        <w:spacing w:line="550" w:lineRule="exact"/>
        <w:ind w:firstLine="640" w:firstLineChars="200"/>
        <w:rPr>
          <w:rFonts w:ascii="Times New Roman" w:hAnsi="Times New Roman" w:eastAsia="方正仿宋_GBK"/>
          <w:sz w:val="32"/>
          <w:szCs w:val="20"/>
        </w:rPr>
      </w:pPr>
      <w:r>
        <w:rPr>
          <w:rFonts w:ascii="Times New Roman" w:hAnsi="Times New Roman" w:eastAsia="方正楷体_GBK"/>
          <w:sz w:val="32"/>
          <w:szCs w:val="20"/>
        </w:rPr>
        <w:t>（三）建立评价体系。</w:t>
      </w:r>
      <w:r>
        <w:rPr>
          <w:rFonts w:ascii="Times New Roman" w:hAnsi="Times New Roman" w:eastAsia="方正仿宋_GBK"/>
          <w:sz w:val="32"/>
          <w:szCs w:val="20"/>
        </w:rPr>
        <w:t>组织对辖区公立医院高质量发展进行评价，充分考虑各级各类公立医院实际情况，不搞</w:t>
      </w:r>
      <w:r>
        <w:rPr>
          <w:rFonts w:ascii="Times New Roman" w:hAnsi="Times New Roman" w:eastAsia="方正仿宋_GBK"/>
          <w:sz w:val="32"/>
          <w:szCs w:val="32"/>
        </w:rPr>
        <w:t>“</w:t>
      </w:r>
      <w:r>
        <w:rPr>
          <w:rFonts w:ascii="Times New Roman" w:hAnsi="Times New Roman" w:eastAsia="方正仿宋_GBK"/>
          <w:sz w:val="32"/>
          <w:szCs w:val="20"/>
        </w:rPr>
        <w:t>一刀切</w:t>
      </w:r>
      <w:r>
        <w:rPr>
          <w:rFonts w:ascii="Times New Roman" w:hAnsi="Times New Roman" w:eastAsia="方正仿宋_GBK"/>
          <w:sz w:val="32"/>
          <w:szCs w:val="32"/>
        </w:rPr>
        <w:t>”</w:t>
      </w:r>
      <w:r>
        <w:rPr>
          <w:rFonts w:ascii="Times New Roman" w:hAnsi="Times New Roman" w:eastAsia="方正仿宋_GBK"/>
          <w:sz w:val="32"/>
          <w:szCs w:val="20"/>
        </w:rPr>
        <w:t>。</w:t>
      </w:r>
    </w:p>
    <w:p>
      <w:pPr>
        <w:spacing w:line="550" w:lineRule="exact"/>
        <w:ind w:firstLine="640" w:firstLineChars="200"/>
        <w:rPr>
          <w:rFonts w:ascii="Times New Roman" w:hAnsi="Times New Roman" w:eastAsia="方正仿宋_GBK"/>
          <w:sz w:val="32"/>
          <w:szCs w:val="18"/>
        </w:rPr>
      </w:pPr>
      <w:r>
        <w:rPr>
          <w:rFonts w:ascii="Times New Roman" w:hAnsi="Times New Roman" w:eastAsia="方正楷体_GBK"/>
          <w:sz w:val="32"/>
          <w:szCs w:val="18"/>
        </w:rPr>
        <w:t>（四）总结推广经验。</w:t>
      </w:r>
      <w:r>
        <w:rPr>
          <w:rFonts w:ascii="Times New Roman" w:hAnsi="Times New Roman" w:eastAsia="方正仿宋_GBK"/>
          <w:sz w:val="32"/>
          <w:szCs w:val="18"/>
        </w:rPr>
        <w:t>区卫生健康委要会同有关部门加强调研指导，及时挖掘、总结、提炼、宣传、推广典型经验，以点带</w:t>
      </w:r>
    </w:p>
    <w:p>
      <w:pPr>
        <w:spacing w:line="550" w:lineRule="exact"/>
        <w:rPr>
          <w:rFonts w:ascii="Times New Roman" w:hAnsi="Times New Roman" w:eastAsia="方正仿宋_GBK"/>
          <w:color w:val="000000"/>
          <w:sz w:val="32"/>
          <w:szCs w:val="32"/>
        </w:rPr>
      </w:pPr>
      <w:r>
        <w:rPr>
          <w:rFonts w:ascii="Times New Roman" w:hAnsi="Times New Roman" w:eastAsia="方正仿宋_GBK"/>
          <w:sz w:val="32"/>
          <w:szCs w:val="18"/>
        </w:rPr>
        <w:t>面推动全区公立医院高质量发展取得实效。</w:t>
      </w:r>
    </w:p>
    <w:p>
      <w:pPr>
        <w:spacing w:line="560" w:lineRule="exact"/>
        <w:ind w:firstLine="640" w:firstLineChars="200"/>
        <w:rPr>
          <w:rFonts w:ascii="Times New Roman" w:hAnsi="Times New Roman" w:eastAsia="方正仿宋_GBK"/>
          <w:sz w:val="32"/>
          <w:szCs w:val="18"/>
        </w:rPr>
      </w:pPr>
    </w:p>
    <w:p>
      <w:pPr>
        <w:spacing w:line="560" w:lineRule="exact"/>
        <w:ind w:firstLine="640" w:firstLineChars="200"/>
        <w:rPr>
          <w:rFonts w:ascii="Times New Roman" w:hAnsi="Times New Roman" w:eastAsia="方正仿宋_GBK"/>
          <w:sz w:val="32"/>
          <w:szCs w:val="18"/>
        </w:rPr>
      </w:pPr>
      <w:r>
        <w:rPr>
          <w:rFonts w:ascii="Times New Roman" w:hAnsi="Times New Roman" w:eastAsia="方正仿宋_GBK"/>
          <w:sz w:val="32"/>
          <w:szCs w:val="18"/>
        </w:rPr>
        <w:t>附件：重庆市沙坪坝区公立医院高质量发展主要评价指标</w:t>
      </w:r>
    </w:p>
    <w:p>
      <w:pPr>
        <w:pStyle w:val="2"/>
        <w:ind w:firstLine="320"/>
        <w:rPr>
          <w:rFonts w:ascii="Times New Roman" w:hAnsi="Times New Roman" w:eastAsia="方正仿宋_GBK"/>
          <w:sz w:val="32"/>
          <w:szCs w:val="18"/>
        </w:rPr>
      </w:pPr>
    </w:p>
    <w:p>
      <w:pPr>
        <w:spacing w:line="560" w:lineRule="exact"/>
        <w:ind w:firstLine="640" w:firstLineChars="200"/>
        <w:rPr>
          <w:rFonts w:ascii="Times New Roman" w:hAnsi="Times New Roman" w:eastAsia="方正黑体_GBK"/>
          <w:sz w:val="32"/>
          <w:szCs w:val="18"/>
        </w:rPr>
      </w:pPr>
    </w:p>
    <w:p>
      <w:pPr>
        <w:spacing w:line="580" w:lineRule="exac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附件</w:t>
      </w:r>
    </w:p>
    <w:p>
      <w:pPr>
        <w:pStyle w:val="2"/>
        <w:ind w:firstLine="210"/>
        <w:rPr>
          <w:rFonts w:ascii="Times New Roman" w:hAnsi="Times New Roman"/>
          <w:szCs w:val="22"/>
        </w:rPr>
      </w:pPr>
    </w:p>
    <w:p>
      <w:pPr>
        <w:spacing w:line="700" w:lineRule="exact"/>
        <w:jc w:val="center"/>
        <w:rPr>
          <w:rFonts w:hint="default" w:ascii="Times New Roman" w:hAnsi="Times New Roman" w:eastAsia="方正小标宋_GBK" w:cs="Times New Roman"/>
          <w:kern w:val="0"/>
          <w:sz w:val="44"/>
          <w:szCs w:val="44"/>
          <w:shd w:val="clear" w:color="auto" w:fill="FFFFFF"/>
        </w:rPr>
      </w:pPr>
      <w:r>
        <w:rPr>
          <w:rFonts w:hint="default" w:ascii="Times New Roman" w:hAnsi="Times New Roman" w:eastAsia="方正小标宋_GBK" w:cs="Times New Roman"/>
          <w:kern w:val="0"/>
          <w:sz w:val="44"/>
          <w:szCs w:val="44"/>
          <w:shd w:val="clear" w:color="auto" w:fill="FFFFFF"/>
        </w:rPr>
        <w:t>重庆市沙坪坝区公立医院高质量发展</w:t>
      </w:r>
    </w:p>
    <w:p>
      <w:pPr>
        <w:spacing w:line="700" w:lineRule="exact"/>
        <w:jc w:val="center"/>
        <w:rPr>
          <w:rFonts w:hint="default" w:ascii="Times New Roman" w:hAnsi="Times New Roman" w:eastAsia="方正小标宋_GBK" w:cs="Times New Roman"/>
          <w:kern w:val="0"/>
          <w:sz w:val="44"/>
          <w:szCs w:val="44"/>
          <w:shd w:val="clear" w:color="auto" w:fill="FFFFFF"/>
        </w:rPr>
      </w:pPr>
      <w:r>
        <w:rPr>
          <w:rFonts w:hint="default" w:ascii="Times New Roman" w:hAnsi="Times New Roman" w:eastAsia="方正小标宋_GBK" w:cs="Times New Roman"/>
          <w:kern w:val="0"/>
          <w:sz w:val="44"/>
          <w:szCs w:val="44"/>
          <w:shd w:val="clear" w:color="auto" w:fill="FFFFFF"/>
        </w:rPr>
        <w:t>主要评价指标</w:t>
      </w:r>
    </w:p>
    <w:tbl>
      <w:tblPr>
        <w:tblStyle w:val="16"/>
        <w:tblpPr w:leftFromText="180" w:rightFromText="180" w:vertAnchor="text" w:horzAnchor="page" w:tblpXSpec="center" w:tblpY="538"/>
        <w:tblOverlap w:val="never"/>
        <w:tblW w:w="8550" w:type="dxa"/>
        <w:tblInd w:w="0" w:type="dxa"/>
        <w:tblLayout w:type="fixed"/>
        <w:tblCellMar>
          <w:top w:w="0" w:type="dxa"/>
          <w:left w:w="108" w:type="dxa"/>
          <w:bottom w:w="0" w:type="dxa"/>
          <w:right w:w="108" w:type="dxa"/>
        </w:tblCellMar>
      </w:tblPr>
      <w:tblGrid>
        <w:gridCol w:w="730"/>
        <w:gridCol w:w="699"/>
        <w:gridCol w:w="2946"/>
        <w:gridCol w:w="1418"/>
        <w:gridCol w:w="1409"/>
        <w:gridCol w:w="1348"/>
      </w:tblGrid>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序号</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一级指标</w:t>
            </w: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二级指标</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2022年现值</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2023年目标</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2025年目标</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体系建设</w:t>
            </w: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三级医院（个）</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6</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7</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医护比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1:1.6</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1:1.8</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1:2</w:t>
            </w:r>
          </w:p>
        </w:tc>
      </w:tr>
      <w:tr>
        <w:tblPrEx>
          <w:tblLayout w:type="fixed"/>
          <w:tblCellMar>
            <w:top w:w="0" w:type="dxa"/>
            <w:left w:w="108" w:type="dxa"/>
            <w:bottom w:w="0" w:type="dxa"/>
            <w:right w:w="108"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三级公立医院卫生技术人员人均科研经费</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5000</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6000</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7000</w:t>
            </w:r>
          </w:p>
        </w:tc>
      </w:tr>
      <w:tr>
        <w:tblPrEx>
          <w:tblLayout w:type="fixed"/>
          <w:tblCellMar>
            <w:top w:w="0" w:type="dxa"/>
            <w:left w:w="108" w:type="dxa"/>
            <w:bottom w:w="0" w:type="dxa"/>
            <w:right w:w="108"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医疗质量</w:t>
            </w: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二级公立医院电子病历应用水平分级（级）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2.5</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w:t>
            </w:r>
          </w:p>
        </w:tc>
      </w:tr>
      <w:tr>
        <w:tblPrEx>
          <w:tblLayout w:type="fixed"/>
          <w:tblCellMar>
            <w:top w:w="0" w:type="dxa"/>
            <w:left w:w="108" w:type="dxa"/>
            <w:bottom w:w="0" w:type="dxa"/>
            <w:right w:w="108" w:type="dxa"/>
          </w:tblCellMar>
        </w:tblPrEx>
        <w:trPr>
          <w:trHeight w:val="68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5</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三级公立医院电子病历应用水平分级（级）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3.35</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4.5</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6</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室间质评项目合格率（%）</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97</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98</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98.5</w:t>
            </w:r>
          </w:p>
        </w:tc>
      </w:tr>
      <w:tr>
        <w:tblPrEx>
          <w:tblLayout w:type="fixed"/>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7</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三级公立医院手术患者并发症发生率（%）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0.9</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0.75</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0.6</w:t>
            </w:r>
          </w:p>
        </w:tc>
      </w:tr>
      <w:tr>
        <w:tblPrEx>
          <w:tblLayout w:type="fixed"/>
          <w:tblCellMar>
            <w:top w:w="0" w:type="dxa"/>
            <w:left w:w="108" w:type="dxa"/>
            <w:bottom w:w="0" w:type="dxa"/>
            <w:right w:w="108" w:type="dxa"/>
          </w:tblCellMar>
        </w:tblPrEx>
        <w:trPr>
          <w:trHeight w:val="72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三级公立医院抗菌药物使用强度（DDDs）</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40</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39</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38</w:t>
            </w:r>
          </w:p>
        </w:tc>
      </w:tr>
      <w:tr>
        <w:tblPrEx>
          <w:tblLayout w:type="fixed"/>
          <w:tblCellMar>
            <w:top w:w="0" w:type="dxa"/>
            <w:left w:w="108" w:type="dxa"/>
            <w:bottom w:w="0" w:type="dxa"/>
            <w:right w:w="108" w:type="dxa"/>
          </w:tblCellMar>
        </w:tblPrEx>
        <w:trPr>
          <w:trHeight w:val="68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便民惠民</w:t>
            </w: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三级公立医院门诊患者平均预约诊疗率（%）</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41.56</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46</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50</w:t>
            </w:r>
          </w:p>
        </w:tc>
      </w:tr>
      <w:tr>
        <w:tblPrEx>
          <w:tblLayout w:type="fixed"/>
          <w:tblCellMar>
            <w:top w:w="0" w:type="dxa"/>
            <w:left w:w="108" w:type="dxa"/>
            <w:bottom w:w="0" w:type="dxa"/>
            <w:right w:w="108" w:type="dxa"/>
          </w:tblCellMar>
        </w:tblPrEx>
        <w:trPr>
          <w:trHeight w:val="9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10</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三级公立医院门诊患者预约后平均等待时间</w:t>
            </w:r>
            <w:r>
              <w:rPr>
                <w:rFonts w:ascii="Times New Roman" w:hAnsi="Times New Roman" w:eastAsia="方正仿宋_GBK"/>
                <w:color w:val="000000"/>
                <w:kern w:val="0"/>
                <w:sz w:val="22"/>
                <w:lang w:bidi="ar"/>
              </w:rPr>
              <w:br w:type="textWrapping"/>
            </w:r>
            <w:r>
              <w:rPr>
                <w:rFonts w:ascii="Times New Roman" w:hAnsi="Times New Roman" w:eastAsia="方正仿宋_GBK"/>
                <w:color w:val="000000"/>
                <w:kern w:val="0"/>
                <w:sz w:val="22"/>
                <w:lang w:bidi="ar"/>
              </w:rPr>
              <w:t xml:space="preserve">便民（分钟）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22.84</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21.8</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20</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11</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门诊患者满意度（%）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87.15</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89</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90</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12</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住院患者满意度（%）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91.71</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92</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92.5</w:t>
            </w:r>
          </w:p>
        </w:tc>
      </w:tr>
      <w:tr>
        <w:tblPrEx>
          <w:tblLayout w:type="fixed"/>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13</w:t>
            </w: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olor w:val="000000"/>
                <w:sz w:val="22"/>
              </w:rPr>
            </w:pP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 xml:space="preserve">职工满意度（%） </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78.52</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81</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82.5</w:t>
            </w:r>
          </w:p>
        </w:tc>
      </w:tr>
    </w:tbl>
    <w:p>
      <w:pPr>
        <w:pStyle w:val="2"/>
        <w:ind w:firstLine="0" w:firstLineChars="0"/>
        <w:rPr>
          <w:rFonts w:ascii="Times New Roman" w:hAnsi="Times New Roman" w:eastAsia="方正小标宋_GBK"/>
          <w:sz w:val="44"/>
          <w:szCs w:val="44"/>
        </w:rPr>
      </w:pPr>
    </w:p>
    <w:p>
      <w:pPr>
        <w:pStyle w:val="2"/>
        <w:ind w:firstLine="210"/>
        <w:rPr>
          <w:rFonts w:ascii="Times New Roman" w:hAnsi="Times New Roman"/>
        </w:rPr>
      </w:pPr>
    </w:p>
    <w:p>
      <w:pPr>
        <w:pStyle w:val="2"/>
        <w:ind w:firstLine="210"/>
        <w:rPr>
          <w:rFonts w:ascii="Times New Roman" w:hAnsi="Times New Roman"/>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left="0" w:leftChars="0" w:firstLine="0" w:firstLineChars="0"/>
        <w:rPr>
          <w:rFonts w:hint="eastAsia"/>
        </w:rPr>
      </w:pPr>
      <w:bookmarkStart w:id="0" w:name="_GoBack"/>
      <w:bookmarkEnd w:id="0"/>
    </w:p>
    <w:p>
      <w:pPr>
        <w:pStyle w:val="2"/>
        <w:ind w:firstLine="210"/>
        <w:rPr>
          <w:rFonts w:hint="eastAsia"/>
        </w:rPr>
      </w:pPr>
    </w:p>
    <w:p>
      <w:pPr>
        <w:pStyle w:val="2"/>
        <w:ind w:firstLine="210"/>
        <w:rPr>
          <w:rFonts w:hint="eastAsia"/>
        </w:rPr>
      </w:pPr>
    </w:p>
    <w:p>
      <w:pPr>
        <w:pStyle w:val="25"/>
        <w:wordWrap w:val="0"/>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A95B6A"/>
    <w:rsid w:val="01E93D58"/>
    <w:rsid w:val="04B679C3"/>
    <w:rsid w:val="05F07036"/>
    <w:rsid w:val="06E00104"/>
    <w:rsid w:val="080F63D8"/>
    <w:rsid w:val="09341458"/>
    <w:rsid w:val="098254C2"/>
    <w:rsid w:val="0A766EDE"/>
    <w:rsid w:val="0AD64BE8"/>
    <w:rsid w:val="0B0912D7"/>
    <w:rsid w:val="0D0B5C5C"/>
    <w:rsid w:val="0E025194"/>
    <w:rsid w:val="0EEF0855"/>
    <w:rsid w:val="11DB7C71"/>
    <w:rsid w:val="152D2DCA"/>
    <w:rsid w:val="16506A08"/>
    <w:rsid w:val="179668D5"/>
    <w:rsid w:val="187168EA"/>
    <w:rsid w:val="196673CA"/>
    <w:rsid w:val="198F5FCB"/>
    <w:rsid w:val="1CF734C9"/>
    <w:rsid w:val="1DEC284C"/>
    <w:rsid w:val="1E6523AC"/>
    <w:rsid w:val="1E98328B"/>
    <w:rsid w:val="22440422"/>
    <w:rsid w:val="22BB4BBB"/>
    <w:rsid w:val="2370095F"/>
    <w:rsid w:val="25EB1AF4"/>
    <w:rsid w:val="286978B9"/>
    <w:rsid w:val="2A804D0C"/>
    <w:rsid w:val="2DD05FE1"/>
    <w:rsid w:val="2EAE3447"/>
    <w:rsid w:val="31A15F24"/>
    <w:rsid w:val="36FB1DF0"/>
    <w:rsid w:val="395347B5"/>
    <w:rsid w:val="39A232A0"/>
    <w:rsid w:val="39E745AA"/>
    <w:rsid w:val="3B5A6BBB"/>
    <w:rsid w:val="3B87455C"/>
    <w:rsid w:val="3CA154E3"/>
    <w:rsid w:val="3EDA13A6"/>
    <w:rsid w:val="3FF56C14"/>
    <w:rsid w:val="417B75E9"/>
    <w:rsid w:val="42430A63"/>
    <w:rsid w:val="42F058B7"/>
    <w:rsid w:val="436109F6"/>
    <w:rsid w:val="441A38D4"/>
    <w:rsid w:val="4504239D"/>
    <w:rsid w:val="49622568"/>
    <w:rsid w:val="4BC77339"/>
    <w:rsid w:val="4C9236C5"/>
    <w:rsid w:val="4E250A85"/>
    <w:rsid w:val="4FFD4925"/>
    <w:rsid w:val="505C172E"/>
    <w:rsid w:val="506405EA"/>
    <w:rsid w:val="52F46F0B"/>
    <w:rsid w:val="532B6A10"/>
    <w:rsid w:val="539E4E99"/>
    <w:rsid w:val="53D8014D"/>
    <w:rsid w:val="550C209A"/>
    <w:rsid w:val="55E064E0"/>
    <w:rsid w:val="572C6D10"/>
    <w:rsid w:val="578C420E"/>
    <w:rsid w:val="5DC34279"/>
    <w:rsid w:val="5FCD688E"/>
    <w:rsid w:val="5FF9BDAA"/>
    <w:rsid w:val="608816D1"/>
    <w:rsid w:val="60EF4E7F"/>
    <w:rsid w:val="61844902"/>
    <w:rsid w:val="63141F6C"/>
    <w:rsid w:val="648B0A32"/>
    <w:rsid w:val="658F6764"/>
    <w:rsid w:val="665233C1"/>
    <w:rsid w:val="69AC0D42"/>
    <w:rsid w:val="6AD9688B"/>
    <w:rsid w:val="6B68303F"/>
    <w:rsid w:val="6D0E3F22"/>
    <w:rsid w:val="6E0350E8"/>
    <w:rsid w:val="6F7A373F"/>
    <w:rsid w:val="744E4660"/>
    <w:rsid w:val="753355A2"/>
    <w:rsid w:val="759F1C61"/>
    <w:rsid w:val="769F2DE8"/>
    <w:rsid w:val="76FDEB7C"/>
    <w:rsid w:val="79C65162"/>
    <w:rsid w:val="79EE7E31"/>
    <w:rsid w:val="7BDD4D79"/>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5">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 w:val="21"/>
    </w:rPr>
  </w:style>
  <w:style w:type="paragraph" w:styleId="3">
    <w:name w:val="Body Text"/>
    <w:basedOn w:val="1"/>
    <w:qFormat/>
    <w:uiPriority w:val="99"/>
    <w:pPr>
      <w:ind w:left="363"/>
      <w:jc w:val="both"/>
    </w:pPr>
    <w:rPr>
      <w:sz w:val="32"/>
      <w:szCs w:val="32"/>
    </w:rPr>
  </w:style>
  <w:style w:type="paragraph" w:styleId="7">
    <w:name w:val="annotation text"/>
    <w:basedOn w:val="1"/>
    <w:qFormat/>
    <w:uiPriority w:val="0"/>
    <w:pPr>
      <w:jc w:val="left"/>
    </w:pPr>
  </w:style>
  <w:style w:type="paragraph" w:styleId="8">
    <w:name w:val="Date"/>
    <w:basedOn w:val="1"/>
    <w:next w:val="1"/>
    <w:link w:val="40"/>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3"/>
    <w:link w:val="9"/>
    <w:qFormat/>
    <w:uiPriority w:val="0"/>
    <w:rPr>
      <w:rFonts w:asciiTheme="minorHAnsi" w:hAnsiTheme="minorHAnsi" w:eastAsiaTheme="minorEastAsia" w:cstheme="minorBidi"/>
      <w:kern w:val="2"/>
      <w:sz w:val="18"/>
      <w:szCs w:val="18"/>
    </w:rPr>
  </w:style>
  <w:style w:type="character" w:customStyle="1" w:styleId="20">
    <w:name w:val="标题 1 Char"/>
    <w:basedOn w:val="13"/>
    <w:link w:val="4"/>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3"/>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3"/>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3"/>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3"/>
    <w:link w:val="25"/>
    <w:qFormat/>
    <w:uiPriority w:val="0"/>
    <w:rPr>
      <w:rFonts w:eastAsia="方正仿宋_GBK" w:cs="方正仿宋_GBK"/>
      <w:sz w:val="32"/>
      <w:szCs w:val="32"/>
    </w:rPr>
  </w:style>
  <w:style w:type="character" w:customStyle="1" w:styleId="29">
    <w:name w:val="页脚 Char"/>
    <w:link w:val="10"/>
    <w:qFormat/>
    <w:uiPriority w:val="0"/>
    <w:rPr>
      <w:rFonts w:asciiTheme="minorHAnsi" w:hAnsiTheme="minorHAnsi" w:eastAsiaTheme="minorEastAsia" w:cstheme="minorBidi"/>
      <w:kern w:val="2"/>
      <w:sz w:val="18"/>
      <w:szCs w:val="24"/>
    </w:rPr>
  </w:style>
  <w:style w:type="character" w:customStyle="1" w:styleId="30">
    <w:name w:val="@附件 Char"/>
    <w:basedOn w:val="13"/>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3"/>
    <w:link w:val="5"/>
    <w:qFormat/>
    <w:uiPriority w:val="0"/>
    <w:rPr>
      <w:rFonts w:eastAsia="方正小标宋_GBK" w:cstheme="majorBidi"/>
      <w:bCs/>
      <w:kern w:val="2"/>
      <w:sz w:val="44"/>
      <w:szCs w:val="32"/>
    </w:rPr>
  </w:style>
  <w:style w:type="character" w:customStyle="1" w:styleId="33">
    <w:name w:val="@印发 Char"/>
    <w:basedOn w:val="13"/>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3"/>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3"/>
    <w:link w:val="35"/>
    <w:qFormat/>
    <w:uiPriority w:val="0"/>
    <w:rPr>
      <w:rFonts w:eastAsia="方正楷体_GBK" w:cs="方正仿宋_GBK"/>
      <w:sz w:val="32"/>
      <w:szCs w:val="32"/>
    </w:rPr>
  </w:style>
  <w:style w:type="character" w:customStyle="1" w:styleId="39">
    <w:name w:val="@附标 Char"/>
    <w:basedOn w:val="13"/>
    <w:link w:val="37"/>
    <w:qFormat/>
    <w:uiPriority w:val="0"/>
    <w:rPr>
      <w:rFonts w:ascii="方正小标宋_GBK" w:eastAsia="方正小标宋_GBK" w:cs="方正仿宋_GBK"/>
      <w:sz w:val="44"/>
      <w:szCs w:val="32"/>
    </w:rPr>
  </w:style>
  <w:style w:type="character" w:customStyle="1" w:styleId="40">
    <w:name w:val="日期 Char"/>
    <w:basedOn w:val="13"/>
    <w:link w:val="8"/>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3"/>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4417</Words>
  <Characters>4548</Characters>
  <Lines>11</Lines>
  <Paragraphs>3</Paragraphs>
  <TotalTime>6</TotalTime>
  <ScaleCrop>false</ScaleCrop>
  <LinksUpToDate>false</LinksUpToDate>
  <CharactersWithSpaces>4791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2022-06-10T09:32:00Z</cp:lastPrinted>
  <dcterms:modified xsi:type="dcterms:W3CDTF">2023-01-13T08:33:14Z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