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pStyle w:val="2"/>
      </w:pPr>
      <w:r>
        <w:rPr>
          <w:rFonts w:hint="eastAsia"/>
        </w:rPr>
        <w:t>重庆市沙坪坝区人民政府</w:t>
      </w:r>
    </w:p>
    <w:p>
      <w:pPr>
        <w:pStyle w:val="2"/>
        <w:rPr>
          <w:shd w:val="clear" w:color="auto" w:fill="FFFFFF"/>
        </w:rPr>
      </w:pPr>
      <w:r>
        <w:rPr>
          <w:rFonts w:hint="eastAsia"/>
        </w:rPr>
        <w:t>关于印发《沙坪坝区禁止活禽交易和宰杀鼓励经营白条禽肉冷链供应的实施办法》的通知</w:t>
      </w:r>
    </w:p>
    <w:p>
      <w:pPr>
        <w:pStyle w:val="19"/>
      </w:pPr>
      <w:r>
        <w:rPr>
          <w:rFonts w:hint="eastAsia"/>
        </w:rPr>
        <w:t>沙府发〔2020〕27号</w:t>
      </w:r>
    </w:p>
    <w:p>
      <w:pPr>
        <w:spacing w:line="600" w:lineRule="atLeast"/>
        <w:jc w:val="center"/>
        <w:rPr>
          <w:rFonts w:ascii="宋体" w:hAnsi="宋体" w:eastAsia="宋体" w:cs="宋体"/>
          <w:sz w:val="44"/>
          <w:szCs w:val="44"/>
          <w:shd w:val="clear" w:color="auto" w:fill="FFFFFF"/>
        </w:rPr>
      </w:pPr>
    </w:p>
    <w:p>
      <w:pPr>
        <w:pStyle w:val="21"/>
      </w:pPr>
      <w:r>
        <w:rPr>
          <w:rFonts w:hint="eastAsia"/>
        </w:rPr>
        <w:t>各镇人民政府、街道办事处，区级各部门，各管委会，有关单位：</w:t>
      </w:r>
    </w:p>
    <w:p>
      <w:pPr>
        <w:pStyle w:val="18"/>
        <w:ind w:firstLine="640"/>
      </w:pPr>
      <w:r>
        <w:rPr>
          <w:rFonts w:hint="eastAsia"/>
        </w:rPr>
        <w:t>现将《沙坪坝区禁止活禽交易和宰杀鼓励经营白条禽肉冷链供应的实施办法》印发给你们，请认真遵照执行。</w:t>
      </w:r>
    </w:p>
    <w:p>
      <w:pPr>
        <w:pStyle w:val="18"/>
        <w:ind w:firstLine="640"/>
      </w:pPr>
    </w:p>
    <w:p>
      <w:pPr>
        <w:pStyle w:val="18"/>
        <w:ind w:firstLine="640"/>
      </w:pPr>
    </w:p>
    <w:p>
      <w:pPr>
        <w:pStyle w:val="18"/>
        <w:ind w:firstLine="640"/>
      </w:pPr>
    </w:p>
    <w:p>
      <w:pPr>
        <w:pStyle w:val="23"/>
        <w:wordWrap w:val="0"/>
      </w:pPr>
      <w:r>
        <w:rPr>
          <w:rFonts w:hint="eastAsia"/>
        </w:rPr>
        <w:t xml:space="preserve">重庆市沙坪坝区人民政府    </w:t>
      </w:r>
    </w:p>
    <w:p>
      <w:pPr>
        <w:pStyle w:val="23"/>
        <w:wordWrap w:val="0"/>
      </w:pPr>
      <w:r>
        <w:rPr>
          <w:rFonts w:hint="eastAsia"/>
        </w:rPr>
        <w:t xml:space="preserve">2020年6月9日       </w:t>
      </w:r>
    </w:p>
    <w:p>
      <w:pPr>
        <w:widowControl/>
        <w:jc w:val="left"/>
        <w:rPr>
          <w:rFonts w:ascii="Times New Roman" w:hAnsi="Times New Roman" w:eastAsia="方正仿宋_GBK" w:cs="方正仿宋_GBK"/>
          <w:color w:val="00B0F0"/>
          <w:kern w:val="0"/>
          <w:sz w:val="32"/>
          <w:szCs w:val="32"/>
          <w:shd w:val="clear" w:color="auto" w:fill="FFFFFF"/>
        </w:rPr>
      </w:pPr>
      <w:r>
        <w:br w:type="page"/>
      </w:r>
    </w:p>
    <w:p>
      <w:pPr>
        <w:spacing w:line="600" w:lineRule="atLeast"/>
        <w:jc w:val="center"/>
        <w:rPr>
          <w:rFonts w:ascii="方正小标宋_GBK" w:hAnsi="方正小标宋_GBK" w:eastAsia="方正小标宋_GBK" w:cs="方正小标宋_GBK"/>
          <w:kern w:val="0"/>
          <w:sz w:val="44"/>
          <w:szCs w:val="44"/>
          <w:shd w:val="clear" w:color="auto" w:fill="FFFFFF"/>
        </w:rPr>
      </w:pPr>
    </w:p>
    <w:p>
      <w:pPr>
        <w:pStyle w:val="3"/>
        <w:rPr>
          <w:shd w:val="clear" w:color="auto" w:fill="FFFFFF"/>
        </w:rPr>
      </w:pPr>
      <w:r>
        <w:rPr>
          <w:rFonts w:hint="eastAsia"/>
        </w:rPr>
        <w:t>沙坪坝区禁止活禽交易和宰杀</w:t>
      </w:r>
      <w:r>
        <w:br w:type="textWrapping"/>
      </w:r>
      <w:r>
        <w:rPr>
          <w:rFonts w:hint="eastAsia"/>
        </w:rPr>
        <w:t>鼓励经营白条禽肉冷链供应的实施办法</w:t>
      </w:r>
    </w:p>
    <w:p>
      <w:pPr>
        <w:spacing w:line="600" w:lineRule="atLeast"/>
        <w:jc w:val="center"/>
        <w:rPr>
          <w:rFonts w:ascii="方正小标宋_GBK" w:hAnsi="方正小标宋_GBK" w:eastAsia="方正小标宋_GBK" w:cs="方正小标宋_GBK"/>
          <w:kern w:val="0"/>
          <w:sz w:val="44"/>
          <w:szCs w:val="44"/>
          <w:shd w:val="clear" w:color="auto" w:fill="FFFFFF"/>
        </w:rPr>
      </w:pPr>
    </w:p>
    <w:p>
      <w:pPr>
        <w:pStyle w:val="18"/>
        <w:ind w:firstLine="640"/>
      </w:pPr>
      <w:r>
        <w:rPr>
          <w:rFonts w:hint="eastAsia"/>
        </w:rPr>
        <w:t>为进一步规范禽肉类市场秩序，根据《重庆市人民政府关于进一步规范活禽交易推行集中屠宰加强冷链供应工作的指导意见》（渝府发〔2020〕7号）精神，结合沙坪坝区实际，现就禁止活禽交易和宰杀，鼓励经营白条禽肉冷链供应制定如下办法。</w:t>
      </w:r>
    </w:p>
    <w:p>
      <w:pPr>
        <w:pStyle w:val="32"/>
        <w:ind w:firstLine="640"/>
      </w:pPr>
      <w:r>
        <w:rPr>
          <w:rFonts w:hint="eastAsia"/>
        </w:rPr>
        <w:t>一、禁止活禽交易和宰杀区域</w:t>
      </w:r>
    </w:p>
    <w:p>
      <w:pPr>
        <w:pStyle w:val="18"/>
        <w:ind w:firstLine="640"/>
      </w:pPr>
      <w:r>
        <w:rPr>
          <w:rFonts w:hint="eastAsia"/>
        </w:rPr>
        <w:t>沙坪坝区建制镇（街道）城市连片建成区全面禁止活禽交易，沙坪坝区辖区内全面禁止活禽商业性宰杀。本办法中所称活禽是指鸡、鸭、鹅、肉鸽、鹌鹑及其他经人工驯养的可食用活体禽类。兔、羊等可食用活体动物参照本意见管理。</w:t>
      </w:r>
    </w:p>
    <w:p>
      <w:pPr>
        <w:pStyle w:val="32"/>
        <w:ind w:firstLine="640"/>
      </w:pPr>
      <w:r>
        <w:rPr>
          <w:rFonts w:hint="eastAsia"/>
        </w:rPr>
        <w:t>二、鼓励经营白条禽肉冷链供应</w:t>
      </w:r>
    </w:p>
    <w:p>
      <w:pPr>
        <w:pStyle w:val="33"/>
        <w:ind w:firstLine="640"/>
      </w:pPr>
      <w:r>
        <w:rPr>
          <w:rFonts w:hint="eastAsia"/>
        </w:rPr>
        <w:t>（一）补助对象</w:t>
      </w:r>
    </w:p>
    <w:p>
      <w:pPr>
        <w:pStyle w:val="18"/>
        <w:ind w:firstLine="640"/>
      </w:pPr>
      <w:r>
        <w:rPr>
          <w:rFonts w:hint="eastAsia"/>
        </w:rPr>
        <w:t>鼓励相关市场主体由活禽交易和宰杀经营转向白条禽肉冷链供应，凡于2020年1月23日前取得营业执照，且由经营活禽交易和宰杀转向经营白条禽肉冷链供应2个月以上的农贸市场内和专营店的经营户，将给予冷链设施设备购置费补助。</w:t>
      </w:r>
    </w:p>
    <w:p>
      <w:pPr>
        <w:pStyle w:val="33"/>
        <w:ind w:firstLine="640"/>
      </w:pPr>
      <w:r>
        <w:rPr>
          <w:rFonts w:hint="eastAsia"/>
        </w:rPr>
        <w:t>（二）补助标准</w:t>
      </w:r>
    </w:p>
    <w:p>
      <w:pPr>
        <w:pStyle w:val="18"/>
        <w:ind w:firstLine="640"/>
      </w:pPr>
      <w:r>
        <w:rPr>
          <w:rFonts w:hint="eastAsia"/>
        </w:rPr>
        <w:t>已购置冷链设施设备的经营户按购置设施设备的实际费用补助；未购置冷链设施设备的经营户，由政府统一购买。费用补助或购买冷链设施设备最高不超过0.5万元/户。</w:t>
      </w:r>
    </w:p>
    <w:p>
      <w:pPr>
        <w:pStyle w:val="33"/>
        <w:ind w:firstLine="640"/>
      </w:pPr>
      <w:r>
        <w:rPr>
          <w:rFonts w:hint="eastAsia"/>
        </w:rPr>
        <w:t>（三）申报期限</w:t>
      </w:r>
    </w:p>
    <w:p>
      <w:pPr>
        <w:pStyle w:val="18"/>
        <w:ind w:firstLine="640"/>
      </w:pPr>
      <w:r>
        <w:rPr>
          <w:rFonts w:hint="eastAsia"/>
        </w:rPr>
        <w:t>符合前述补助条件的经营户应自本办法印发之日起至2020年6月20日向属地镇街进行申报，逾期未申报视为自动放弃。</w:t>
      </w:r>
    </w:p>
    <w:p>
      <w:pPr>
        <w:pStyle w:val="33"/>
        <w:ind w:firstLine="640"/>
      </w:pPr>
      <w:r>
        <w:rPr>
          <w:rFonts w:hint="eastAsia"/>
        </w:rPr>
        <w:t>（四）补助审核</w:t>
      </w:r>
    </w:p>
    <w:p>
      <w:pPr>
        <w:pStyle w:val="18"/>
        <w:ind w:firstLine="640"/>
      </w:pPr>
      <w:r>
        <w:rPr>
          <w:rFonts w:hint="eastAsia"/>
        </w:rPr>
        <w:t>镇街汇总建立各辖区内补助台账（附件1），于2020年6月30日前报区市场监督管理局。区市场监督管理局汇总全区补助经费审核表（附件2），并组织区农业农村委、区商务委及各镇街统一验收。</w:t>
      </w:r>
    </w:p>
    <w:p>
      <w:pPr>
        <w:pStyle w:val="33"/>
        <w:ind w:firstLine="640"/>
      </w:pPr>
      <w:r>
        <w:rPr>
          <w:rFonts w:hint="eastAsia"/>
        </w:rPr>
        <w:t>（五）经费来源及发放</w:t>
      </w:r>
    </w:p>
    <w:p>
      <w:pPr>
        <w:pStyle w:val="18"/>
        <w:ind w:firstLine="640"/>
      </w:pPr>
      <w:r>
        <w:rPr>
          <w:rFonts w:hint="eastAsia"/>
        </w:rPr>
        <w:t>规范活禽交易和宰杀经营户转向白条禽肉冷链供应所需补助经费，在区商贸发展专项资金中列支。确定补助对象后，由区商务委直接将补助经费拨付相关镇街。相关镇街收到下</w:t>
      </w:r>
      <w:r>
        <w:rPr>
          <w:rFonts w:hint="eastAsia"/>
          <w:lang w:eastAsia="zh-CN"/>
        </w:rPr>
        <w:t>拨</w:t>
      </w:r>
      <w:bookmarkStart w:id="0" w:name="_GoBack"/>
      <w:bookmarkEnd w:id="0"/>
      <w:r>
        <w:rPr>
          <w:rFonts w:hint="eastAsia"/>
        </w:rPr>
        <w:t>的补助经费后，10个工作日内，将补助经费或冷链设施设备发放到位。</w:t>
      </w:r>
    </w:p>
    <w:p>
      <w:pPr>
        <w:pStyle w:val="32"/>
        <w:ind w:firstLine="640"/>
      </w:pPr>
      <w:r>
        <w:rPr>
          <w:rFonts w:hint="eastAsia"/>
        </w:rPr>
        <w:t>三、加强联合监管执法</w:t>
      </w:r>
    </w:p>
    <w:p>
      <w:pPr>
        <w:pStyle w:val="18"/>
        <w:ind w:firstLine="640"/>
      </w:pPr>
      <w:r>
        <w:rPr>
          <w:rFonts w:hint="eastAsia"/>
        </w:rPr>
        <w:t>区市场监管局、农业农村委、商务委、城管局等相关部门各司其职、密切配合，严肃查处、取缔本区经营活禽交易和宰杀的违法行为。</w:t>
      </w:r>
    </w:p>
    <w:p>
      <w:pPr>
        <w:pStyle w:val="18"/>
        <w:ind w:firstLine="640"/>
      </w:pPr>
      <w:r>
        <w:rPr>
          <w:rFonts w:hint="eastAsia"/>
        </w:rPr>
        <w:t>本办法自印发之日起30日后施行。</w:t>
      </w:r>
    </w:p>
    <w:p>
      <w:pPr>
        <w:pStyle w:val="18"/>
        <w:ind w:firstLine="640"/>
      </w:pPr>
    </w:p>
    <w:p>
      <w:pPr>
        <w:pStyle w:val="18"/>
        <w:ind w:firstLine="640"/>
      </w:pPr>
      <w:r>
        <w:rPr>
          <w:rFonts w:hint="eastAsia"/>
        </w:rPr>
        <w:t>附件：</w:t>
      </w:r>
    </w:p>
    <w:p>
      <w:pPr>
        <w:pStyle w:val="18"/>
        <w:ind w:firstLine="640"/>
      </w:pPr>
      <w:r>
        <w:rPr>
          <w:rFonts w:hint="eastAsia"/>
        </w:rPr>
        <w:t>1．沙坪坝区活禽经营单位补助申报明细表</w:t>
      </w:r>
    </w:p>
    <w:p>
      <w:pPr>
        <w:pStyle w:val="18"/>
        <w:ind w:firstLine="640"/>
      </w:pPr>
      <w:r>
        <w:rPr>
          <w:rFonts w:hint="eastAsia"/>
        </w:rPr>
        <w:t>2．沙坪坝区活禽经营单位补助经费审核汇总表</w:t>
      </w:r>
    </w:p>
    <w:p>
      <w:pPr>
        <w:pStyle w:val="18"/>
        <w:ind w:firstLine="640"/>
      </w:pPr>
    </w:p>
    <w:p>
      <w:pPr>
        <w:pStyle w:val="18"/>
        <w:ind w:firstLine="640"/>
      </w:pPr>
    </w:p>
    <w:p>
      <w:pPr>
        <w:pStyle w:val="18"/>
        <w:ind w:firstLine="640"/>
      </w:pPr>
    </w:p>
    <w:p>
      <w:pPr>
        <w:pStyle w:val="23"/>
        <w:wordWrap w:val="0"/>
      </w:pPr>
      <w:r>
        <w:rPr>
          <w:rFonts w:hint="eastAsia"/>
        </w:rPr>
        <w:t xml:space="preserve">重庆市沙坪坝区人民政府    </w:t>
      </w:r>
    </w:p>
    <w:p>
      <w:pPr>
        <w:pStyle w:val="23"/>
        <w:wordWrap w:val="0"/>
      </w:pPr>
      <w:r>
        <w:rPr>
          <w:rFonts w:hint="eastAsia"/>
        </w:rPr>
        <w:t xml:space="preserve">2020年6月9日       </w:t>
      </w:r>
    </w:p>
    <w:p>
      <w:pPr>
        <w:pStyle w:val="25"/>
      </w:pPr>
      <w:r>
        <w:rPr>
          <w:rFonts w:hint="eastAsia"/>
        </w:rPr>
        <w:t>附件1</w:t>
      </w:r>
    </w:p>
    <w:p>
      <w:pPr>
        <w:spacing w:line="600" w:lineRule="atLeast"/>
        <w:jc w:val="center"/>
        <w:rPr>
          <w:rFonts w:ascii="方正仿宋_GBK" w:hAnsi="方正仿宋_GBK" w:eastAsia="方正仿宋_GBK" w:cs="方正仿宋_GBK"/>
          <w:sz w:val="32"/>
          <w:szCs w:val="32"/>
        </w:rPr>
      </w:pPr>
    </w:p>
    <w:p>
      <w:pPr>
        <w:pStyle w:val="35"/>
      </w:pPr>
      <w:r>
        <w:rPr>
          <w:rFonts w:hint="eastAsia"/>
        </w:rPr>
        <w:t>沙坪坝区活禽经营单位补助申报明细表</w:t>
      </w:r>
    </w:p>
    <w:p>
      <w:pPr>
        <w:spacing w:line="600" w:lineRule="atLeast"/>
        <w:jc w:val="center"/>
        <w:rPr>
          <w:rFonts w:ascii="方正仿宋_GBK" w:hAnsi="方正仿宋_GBK" w:eastAsia="方正仿宋_GBK" w:cs="方正仿宋_GBK"/>
          <w:sz w:val="32"/>
          <w:szCs w:val="32"/>
        </w:rPr>
      </w:pPr>
    </w:p>
    <w:p>
      <w:pPr>
        <w:pStyle w:val="39"/>
        <w:tabs>
          <w:tab w:val="left" w:pos="4820"/>
          <w:tab w:val="left" w:pos="6946"/>
        </w:tabs>
        <w:rPr>
          <w:shd w:val="clear" w:color="auto" w:fill="FFFFFF"/>
        </w:rPr>
      </w:pPr>
      <w:r>
        <w:rPr>
          <w:rFonts w:hint="eastAsia"/>
        </w:rPr>
        <w:t>填报街镇（公章）：</w:t>
      </w:r>
      <w:r>
        <w:rPr>
          <w:rFonts w:hint="eastAsia"/>
        </w:rPr>
        <w:tab/>
      </w:r>
      <w:r>
        <w:rPr>
          <w:rFonts w:hint="eastAsia"/>
        </w:rPr>
        <w:t>联系人：</w:t>
      </w:r>
      <w:r>
        <w:rPr>
          <w:rFonts w:hint="eastAsia"/>
        </w:rPr>
        <w:tab/>
      </w:r>
      <w:r>
        <w:rPr>
          <w:rFonts w:hint="eastAsia"/>
        </w:rPr>
        <w:t>联系电话：</w:t>
      </w:r>
    </w:p>
    <w:tbl>
      <w:tblPr>
        <w:tblStyle w:val="1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41"/>
        <w:gridCol w:w="1355"/>
        <w:gridCol w:w="946"/>
        <w:gridCol w:w="1843"/>
        <w:gridCol w:w="127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39"/>
              <w:jc w:val="center"/>
            </w:pPr>
            <w:r>
              <w:rPr>
                <w:rFonts w:hint="eastAsia"/>
              </w:rPr>
              <w:t>市场</w:t>
            </w:r>
          </w:p>
          <w:p>
            <w:pPr>
              <w:pStyle w:val="39"/>
              <w:jc w:val="center"/>
            </w:pPr>
            <w:r>
              <w:rPr>
                <w:rFonts w:hint="eastAsia"/>
              </w:rPr>
              <w:t>主体</w:t>
            </w:r>
          </w:p>
          <w:p>
            <w:pPr>
              <w:pStyle w:val="39"/>
              <w:jc w:val="center"/>
              <w:rPr>
                <w:rFonts w:eastAsia="宋体"/>
                <w:szCs w:val="22"/>
              </w:rPr>
            </w:pPr>
            <w:r>
              <w:rPr>
                <w:rFonts w:hint="eastAsia"/>
              </w:rPr>
              <w:t>类型</w:t>
            </w:r>
          </w:p>
        </w:tc>
        <w:tc>
          <w:tcPr>
            <w:tcW w:w="1241" w:type="dxa"/>
            <w:tcBorders>
              <w:top w:val="single" w:color="auto" w:sz="4" w:space="0"/>
              <w:left w:val="single" w:color="auto" w:sz="4" w:space="0"/>
              <w:bottom w:val="single" w:color="auto" w:sz="4" w:space="0"/>
              <w:right w:val="single" w:color="auto" w:sz="4" w:space="0"/>
            </w:tcBorders>
            <w:vAlign w:val="center"/>
          </w:tcPr>
          <w:p>
            <w:pPr>
              <w:pStyle w:val="39"/>
              <w:jc w:val="center"/>
              <w:rPr>
                <w:szCs w:val="22"/>
              </w:rPr>
            </w:pPr>
            <w:r>
              <w:rPr>
                <w:rFonts w:hint="eastAsia"/>
              </w:rPr>
              <w:t>名称</w:t>
            </w:r>
          </w:p>
        </w:tc>
        <w:tc>
          <w:tcPr>
            <w:tcW w:w="1355" w:type="dxa"/>
            <w:tcBorders>
              <w:top w:val="single" w:color="auto" w:sz="4" w:space="0"/>
              <w:left w:val="single" w:color="auto" w:sz="4" w:space="0"/>
              <w:bottom w:val="single" w:color="auto" w:sz="4" w:space="0"/>
              <w:right w:val="single" w:color="auto" w:sz="4" w:space="0"/>
            </w:tcBorders>
            <w:vAlign w:val="center"/>
          </w:tcPr>
          <w:p>
            <w:pPr>
              <w:pStyle w:val="39"/>
              <w:jc w:val="center"/>
              <w:rPr>
                <w:szCs w:val="22"/>
              </w:rPr>
            </w:pPr>
            <w:r>
              <w:rPr>
                <w:rFonts w:hint="eastAsia"/>
              </w:rPr>
              <w:t>营业执照注册号及时间</w:t>
            </w:r>
          </w:p>
        </w:tc>
        <w:tc>
          <w:tcPr>
            <w:tcW w:w="946" w:type="dxa"/>
            <w:tcBorders>
              <w:top w:val="single" w:color="auto" w:sz="4" w:space="0"/>
              <w:left w:val="single" w:color="auto" w:sz="4" w:space="0"/>
              <w:bottom w:val="single" w:color="auto" w:sz="4" w:space="0"/>
              <w:right w:val="single" w:color="auto" w:sz="4" w:space="0"/>
            </w:tcBorders>
            <w:vAlign w:val="center"/>
          </w:tcPr>
          <w:p>
            <w:pPr>
              <w:pStyle w:val="39"/>
              <w:jc w:val="center"/>
              <w:rPr>
                <w:szCs w:val="22"/>
              </w:rPr>
            </w:pPr>
            <w:r>
              <w:rPr>
                <w:rFonts w:hint="eastAsia"/>
              </w:rPr>
              <w:t>转向冷链供应时间</w:t>
            </w:r>
          </w:p>
        </w:tc>
        <w:tc>
          <w:tcPr>
            <w:tcW w:w="1843" w:type="dxa"/>
            <w:tcBorders>
              <w:top w:val="single" w:color="auto" w:sz="4" w:space="0"/>
              <w:left w:val="single" w:color="auto" w:sz="4" w:space="0"/>
              <w:bottom w:val="single" w:color="auto" w:sz="4" w:space="0"/>
              <w:right w:val="single" w:color="auto" w:sz="4" w:space="0"/>
            </w:tcBorders>
            <w:vAlign w:val="center"/>
          </w:tcPr>
          <w:p>
            <w:pPr>
              <w:pStyle w:val="39"/>
              <w:jc w:val="center"/>
              <w:rPr>
                <w:szCs w:val="22"/>
              </w:rPr>
            </w:pPr>
            <w:r>
              <w:rPr>
                <w:rFonts w:hint="eastAsia"/>
              </w:rPr>
              <w:t>地址</w:t>
            </w:r>
          </w:p>
        </w:tc>
        <w:tc>
          <w:tcPr>
            <w:tcW w:w="1277" w:type="dxa"/>
            <w:tcBorders>
              <w:top w:val="single" w:color="auto" w:sz="4" w:space="0"/>
              <w:left w:val="single" w:color="auto" w:sz="4" w:space="0"/>
              <w:bottom w:val="single" w:color="auto" w:sz="4" w:space="0"/>
              <w:right w:val="single" w:color="auto" w:sz="4" w:space="0"/>
            </w:tcBorders>
            <w:vAlign w:val="center"/>
          </w:tcPr>
          <w:p>
            <w:pPr>
              <w:pStyle w:val="39"/>
              <w:jc w:val="center"/>
              <w:rPr>
                <w:szCs w:val="22"/>
              </w:rPr>
            </w:pPr>
            <w:r>
              <w:rPr>
                <w:rFonts w:hint="eastAsia"/>
              </w:rPr>
              <w:t>联系人及</w:t>
            </w:r>
          </w:p>
          <w:p>
            <w:pPr>
              <w:pStyle w:val="39"/>
              <w:jc w:val="center"/>
              <w:rPr>
                <w:szCs w:val="22"/>
              </w:rPr>
            </w:pPr>
            <w:r>
              <w:rPr>
                <w:rFonts w:hint="eastAsia"/>
              </w:rPr>
              <w:t>联系方式</w:t>
            </w:r>
          </w:p>
        </w:tc>
        <w:tc>
          <w:tcPr>
            <w:tcW w:w="1296" w:type="dxa"/>
            <w:tcBorders>
              <w:top w:val="single" w:color="auto" w:sz="4" w:space="0"/>
              <w:left w:val="single" w:color="auto" w:sz="4" w:space="0"/>
              <w:bottom w:val="single" w:color="auto" w:sz="4" w:space="0"/>
              <w:right w:val="single" w:color="auto" w:sz="4" w:space="0"/>
            </w:tcBorders>
            <w:vAlign w:val="center"/>
          </w:tcPr>
          <w:p>
            <w:pPr>
              <w:pStyle w:val="39"/>
              <w:jc w:val="center"/>
              <w:rPr>
                <w:szCs w:val="22"/>
              </w:rPr>
            </w:pPr>
            <w:r>
              <w:rPr>
                <w:rFonts w:hint="eastAsia"/>
              </w:rPr>
              <w:t>经营补助</w:t>
            </w:r>
          </w:p>
          <w:p>
            <w:pPr>
              <w:pStyle w:val="39"/>
              <w:jc w:val="center"/>
              <w:rPr>
                <w:szCs w:val="22"/>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r>
              <w:rPr>
                <w:rFonts w:hint="eastAsia"/>
              </w:rPr>
              <w:t>农贸</w:t>
            </w:r>
          </w:p>
          <w:p>
            <w:pPr>
              <w:pStyle w:val="39"/>
              <w:jc w:val="center"/>
              <w:rPr>
                <w:rFonts w:eastAsia="宋体"/>
                <w:szCs w:val="22"/>
              </w:rPr>
            </w:pPr>
            <w:r>
              <w:rPr>
                <w:rFonts w:hint="eastAsia"/>
              </w:rPr>
              <w:t>市场</w:t>
            </w:r>
          </w:p>
        </w:tc>
        <w:tc>
          <w:tcPr>
            <w:tcW w:w="1241"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355"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94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r>
              <w:rPr>
                <w:rFonts w:hint="eastAsia"/>
              </w:rPr>
              <w:t>专营店</w:t>
            </w:r>
          </w:p>
        </w:tc>
        <w:tc>
          <w:tcPr>
            <w:tcW w:w="1241"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355"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94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r>
              <w:rPr>
                <w:rFonts w:hint="eastAsia"/>
              </w:rPr>
              <w:t>总计</w:t>
            </w:r>
          </w:p>
        </w:tc>
        <w:tc>
          <w:tcPr>
            <w:tcW w:w="1241"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355"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94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gridSpan w:val="7"/>
            <w:tcBorders>
              <w:top w:val="single" w:color="auto" w:sz="4" w:space="0"/>
              <w:left w:val="single" w:color="auto" w:sz="4" w:space="0"/>
              <w:bottom w:val="single" w:color="auto" w:sz="4" w:space="0"/>
              <w:right w:val="single" w:color="auto" w:sz="4" w:space="0"/>
            </w:tcBorders>
            <w:vAlign w:val="center"/>
          </w:tcPr>
          <w:p>
            <w:pPr>
              <w:pStyle w:val="39"/>
            </w:pPr>
            <w:r>
              <w:rPr>
                <w:rFonts w:hint="eastAsia"/>
              </w:rPr>
              <w:t>街镇意见：</w:t>
            </w:r>
          </w:p>
          <w:p>
            <w:pPr>
              <w:pStyle w:val="39"/>
            </w:pPr>
          </w:p>
          <w:p>
            <w:pPr>
              <w:pStyle w:val="39"/>
            </w:pPr>
          </w:p>
          <w:p>
            <w:pPr>
              <w:pStyle w:val="39"/>
            </w:pPr>
          </w:p>
          <w:p>
            <w:pPr>
              <w:pStyle w:val="39"/>
            </w:pPr>
          </w:p>
          <w:p>
            <w:pPr>
              <w:pStyle w:val="39"/>
            </w:pPr>
          </w:p>
          <w:p>
            <w:pPr>
              <w:pStyle w:val="39"/>
            </w:pPr>
          </w:p>
          <w:p>
            <w:pPr>
              <w:pStyle w:val="39"/>
              <w:jc w:val="right"/>
              <w:rPr>
                <w:rFonts w:eastAsia="宋体"/>
                <w:szCs w:val="22"/>
              </w:rPr>
            </w:pPr>
            <w:r>
              <w:rPr>
                <w:rFonts w:hint="eastAsia"/>
              </w:rPr>
              <w:t>年</w:t>
            </w:r>
            <w:r>
              <w:t xml:space="preserve">    </w:t>
            </w:r>
            <w:r>
              <w:rPr>
                <w:rFonts w:hint="eastAsia"/>
              </w:rPr>
              <w:t>月</w:t>
            </w:r>
            <w:r>
              <w:t xml:space="preserve">    </w:t>
            </w:r>
            <w:r>
              <w:rPr>
                <w:rFonts w:hint="eastAsia"/>
              </w:rPr>
              <w:t>日</w:t>
            </w:r>
          </w:p>
        </w:tc>
      </w:tr>
    </w:tbl>
    <w:p>
      <w:pPr>
        <w:pStyle w:val="39"/>
      </w:pPr>
      <w:r>
        <w:rPr>
          <w:rFonts w:hint="eastAsia"/>
        </w:rPr>
        <w:t>说明：</w:t>
      </w:r>
    </w:p>
    <w:p>
      <w:pPr>
        <w:pStyle w:val="39"/>
      </w:pPr>
      <w:r>
        <w:rPr>
          <w:rFonts w:hint="eastAsia"/>
        </w:rPr>
        <w:t>1．营业执照注册时间，系指营业执照上登记发照时间；</w:t>
      </w:r>
    </w:p>
    <w:p>
      <w:pPr>
        <w:pStyle w:val="39"/>
      </w:pPr>
      <w:r>
        <w:rPr>
          <w:rFonts w:hint="eastAsia"/>
        </w:rPr>
        <w:t>2．转向冷链供应时间，是指由原活禽交易宰杀转向白条禽肉冷链供应开始时间。</w:t>
      </w:r>
    </w:p>
    <w:p>
      <w:pPr>
        <w:pStyle w:val="25"/>
      </w:pPr>
      <w:r>
        <w:rPr>
          <w:rFonts w:hint="eastAsia"/>
        </w:rPr>
        <w:t>附件2</w:t>
      </w:r>
    </w:p>
    <w:p>
      <w:pPr>
        <w:spacing w:line="600" w:lineRule="atLeast"/>
        <w:jc w:val="center"/>
        <w:rPr>
          <w:rFonts w:ascii="方正仿宋_GBK" w:hAnsi="方正仿宋_GBK" w:eastAsia="方正仿宋_GBK" w:cs="方正仿宋_GBK"/>
          <w:sz w:val="32"/>
          <w:szCs w:val="32"/>
        </w:rPr>
      </w:pPr>
    </w:p>
    <w:p>
      <w:pPr>
        <w:pStyle w:val="35"/>
      </w:pPr>
      <w:r>
        <w:rPr>
          <w:rFonts w:hint="eastAsia"/>
        </w:rPr>
        <w:t>沙坪坝区活禽经营单位补助经费审核汇总表</w:t>
      </w:r>
    </w:p>
    <w:p>
      <w:pPr>
        <w:spacing w:line="600" w:lineRule="atLeast"/>
        <w:jc w:val="center"/>
        <w:rPr>
          <w:rFonts w:ascii="方正仿宋_GBK" w:hAnsi="方正仿宋_GBK" w:eastAsia="方正仿宋_GBK" w:cs="方正仿宋_GBK"/>
          <w:sz w:val="32"/>
          <w:szCs w:val="32"/>
        </w:rPr>
      </w:pPr>
    </w:p>
    <w:tbl>
      <w:tblPr>
        <w:tblStyle w:val="1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787"/>
        <w:gridCol w:w="3372"/>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vAlign w:val="center"/>
          </w:tcPr>
          <w:p>
            <w:pPr>
              <w:pStyle w:val="39"/>
              <w:jc w:val="center"/>
              <w:rPr>
                <w:szCs w:val="22"/>
              </w:rPr>
            </w:pPr>
            <w:r>
              <w:rPr>
                <w:rFonts w:hint="eastAsia"/>
              </w:rPr>
              <w:t>街镇</w:t>
            </w: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szCs w:val="22"/>
              </w:rPr>
            </w:pPr>
            <w:r>
              <w:rPr>
                <w:rFonts w:hint="eastAsia"/>
              </w:rPr>
              <w:t>转向经营市场主体总数（个）</w:t>
            </w:r>
          </w:p>
        </w:tc>
        <w:tc>
          <w:tcPr>
            <w:tcW w:w="3372" w:type="dxa"/>
            <w:tcBorders>
              <w:top w:val="single" w:color="auto" w:sz="4" w:space="0"/>
              <w:left w:val="single" w:color="auto" w:sz="4" w:space="0"/>
              <w:bottom w:val="single" w:color="auto" w:sz="4" w:space="0"/>
              <w:right w:val="single" w:color="auto" w:sz="4" w:space="0"/>
            </w:tcBorders>
            <w:vAlign w:val="center"/>
          </w:tcPr>
          <w:p>
            <w:pPr>
              <w:pStyle w:val="39"/>
              <w:jc w:val="center"/>
            </w:pPr>
            <w:r>
              <w:rPr>
                <w:rFonts w:hint="eastAsia"/>
              </w:rPr>
              <w:t>自行购置冷链设备</w:t>
            </w:r>
          </w:p>
          <w:p>
            <w:pPr>
              <w:pStyle w:val="39"/>
              <w:jc w:val="center"/>
              <w:rPr>
                <w:szCs w:val="22"/>
              </w:rPr>
            </w:pPr>
            <w:r>
              <w:rPr>
                <w:rFonts w:hint="eastAsia"/>
              </w:rPr>
              <w:t>实际费用补助合计</w:t>
            </w:r>
          </w:p>
        </w:tc>
        <w:tc>
          <w:tcPr>
            <w:tcW w:w="2566" w:type="dxa"/>
            <w:tcBorders>
              <w:top w:val="single" w:color="auto" w:sz="4" w:space="0"/>
              <w:left w:val="single" w:color="auto" w:sz="4" w:space="0"/>
              <w:bottom w:val="single" w:color="auto" w:sz="4" w:space="0"/>
              <w:right w:val="single" w:color="auto" w:sz="4" w:space="0"/>
            </w:tcBorders>
            <w:vAlign w:val="center"/>
          </w:tcPr>
          <w:p>
            <w:pPr>
              <w:pStyle w:val="39"/>
              <w:jc w:val="center"/>
              <w:rPr>
                <w:szCs w:val="22"/>
              </w:rPr>
            </w:pPr>
            <w:r>
              <w:rPr>
                <w:rFonts w:hint="eastAsia"/>
              </w:rPr>
              <w:t>政府购买冷链设施设备补助合计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256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256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256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r>
              <w:rPr>
                <w:rFonts w:hint="eastAsia"/>
              </w:rPr>
              <w:t>合计</w:t>
            </w: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c>
          <w:tcPr>
            <w:tcW w:w="2566" w:type="dxa"/>
            <w:tcBorders>
              <w:top w:val="single" w:color="auto" w:sz="4" w:space="0"/>
              <w:left w:val="single" w:color="auto" w:sz="4" w:space="0"/>
              <w:bottom w:val="single" w:color="auto" w:sz="4" w:space="0"/>
              <w:right w:val="single" w:color="auto" w:sz="4" w:space="0"/>
            </w:tcBorders>
            <w:vAlign w:val="center"/>
          </w:tcPr>
          <w:p>
            <w:pPr>
              <w:pStyle w:val="39"/>
              <w:jc w:val="center"/>
              <w:rPr>
                <w:rFonts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gridSpan w:val="4"/>
            <w:tcBorders>
              <w:top w:val="single" w:color="auto" w:sz="4" w:space="0"/>
              <w:left w:val="single" w:color="auto" w:sz="4" w:space="0"/>
              <w:bottom w:val="single" w:color="auto" w:sz="4" w:space="0"/>
              <w:right w:val="single" w:color="auto" w:sz="4" w:space="0"/>
            </w:tcBorders>
            <w:vAlign w:val="center"/>
          </w:tcPr>
          <w:p>
            <w:pPr>
              <w:pStyle w:val="39"/>
              <w:rPr>
                <w:rFonts w:eastAsia="宋体"/>
                <w:szCs w:val="22"/>
              </w:rPr>
            </w:pPr>
            <w:r>
              <w:rPr>
                <w:rFonts w:hint="eastAsia"/>
              </w:rPr>
              <w:t>镇街意见（签章）：</w:t>
            </w:r>
          </w:p>
          <w:p>
            <w:pPr>
              <w:pStyle w:val="39"/>
            </w:pPr>
          </w:p>
          <w:p>
            <w:pPr>
              <w:pStyle w:val="39"/>
            </w:pPr>
          </w:p>
          <w:p>
            <w:pPr>
              <w:pStyle w:val="39"/>
              <w:jc w:val="right"/>
              <w:rPr>
                <w:rFonts w:eastAsia="宋体"/>
                <w:szCs w:val="22"/>
              </w:rPr>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gridSpan w:val="4"/>
            <w:tcBorders>
              <w:top w:val="single" w:color="auto" w:sz="4" w:space="0"/>
              <w:left w:val="single" w:color="auto" w:sz="4" w:space="0"/>
              <w:bottom w:val="single" w:color="auto" w:sz="4" w:space="0"/>
              <w:right w:val="single" w:color="auto" w:sz="4" w:space="0"/>
            </w:tcBorders>
            <w:vAlign w:val="center"/>
          </w:tcPr>
          <w:p>
            <w:pPr>
              <w:pStyle w:val="39"/>
              <w:rPr>
                <w:rFonts w:eastAsia="宋体"/>
                <w:szCs w:val="22"/>
              </w:rPr>
            </w:pPr>
            <w:r>
              <w:rPr>
                <w:rFonts w:hint="eastAsia"/>
              </w:rPr>
              <w:t>区农业农村委意见（签章）：</w:t>
            </w:r>
          </w:p>
          <w:p>
            <w:pPr>
              <w:pStyle w:val="39"/>
            </w:pPr>
          </w:p>
          <w:p>
            <w:pPr>
              <w:pStyle w:val="39"/>
            </w:pPr>
          </w:p>
          <w:p>
            <w:pPr>
              <w:pStyle w:val="39"/>
              <w:jc w:val="right"/>
              <w:rPr>
                <w:rFonts w:eastAsia="宋体"/>
                <w:szCs w:val="22"/>
              </w:rPr>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gridSpan w:val="4"/>
            <w:tcBorders>
              <w:top w:val="single" w:color="auto" w:sz="4" w:space="0"/>
              <w:left w:val="single" w:color="auto" w:sz="4" w:space="0"/>
              <w:bottom w:val="single" w:color="auto" w:sz="4" w:space="0"/>
              <w:right w:val="single" w:color="auto" w:sz="4" w:space="0"/>
            </w:tcBorders>
            <w:vAlign w:val="center"/>
          </w:tcPr>
          <w:p>
            <w:pPr>
              <w:pStyle w:val="39"/>
              <w:rPr>
                <w:rFonts w:eastAsia="宋体"/>
                <w:szCs w:val="22"/>
              </w:rPr>
            </w:pPr>
            <w:r>
              <w:rPr>
                <w:rFonts w:hint="eastAsia"/>
              </w:rPr>
              <w:t>区市场监管局意见（签章）：</w:t>
            </w:r>
          </w:p>
          <w:p>
            <w:pPr>
              <w:pStyle w:val="39"/>
            </w:pPr>
          </w:p>
          <w:p>
            <w:pPr>
              <w:pStyle w:val="39"/>
            </w:pPr>
          </w:p>
          <w:p>
            <w:pPr>
              <w:pStyle w:val="39"/>
              <w:jc w:val="right"/>
              <w:rPr>
                <w:rFonts w:eastAsia="宋体"/>
                <w:szCs w:val="22"/>
              </w:rPr>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gridSpan w:val="4"/>
            <w:tcBorders>
              <w:top w:val="single" w:color="auto" w:sz="4" w:space="0"/>
              <w:left w:val="single" w:color="auto" w:sz="4" w:space="0"/>
              <w:bottom w:val="single" w:color="auto" w:sz="4" w:space="0"/>
              <w:right w:val="single" w:color="auto" w:sz="4" w:space="0"/>
            </w:tcBorders>
            <w:vAlign w:val="center"/>
          </w:tcPr>
          <w:p>
            <w:pPr>
              <w:pStyle w:val="39"/>
              <w:rPr>
                <w:rFonts w:eastAsia="宋体"/>
                <w:szCs w:val="22"/>
              </w:rPr>
            </w:pPr>
            <w:r>
              <w:rPr>
                <w:rFonts w:hint="eastAsia"/>
              </w:rPr>
              <w:t>区商务委意见（签章）</w:t>
            </w:r>
          </w:p>
          <w:p>
            <w:pPr>
              <w:pStyle w:val="39"/>
            </w:pPr>
          </w:p>
          <w:p>
            <w:pPr>
              <w:pStyle w:val="39"/>
            </w:pPr>
          </w:p>
          <w:p>
            <w:pPr>
              <w:pStyle w:val="39"/>
              <w:jc w:val="right"/>
              <w:rPr>
                <w:rFonts w:eastAsia="宋体"/>
                <w:szCs w:val="22"/>
              </w:rPr>
            </w:pPr>
            <w:r>
              <w:rPr>
                <w:rFonts w:hint="eastAsia"/>
              </w:rPr>
              <w:t>年</w:t>
            </w:r>
            <w:r>
              <w:t xml:space="preserve">    </w:t>
            </w:r>
            <w:r>
              <w:rPr>
                <w:rFonts w:hint="eastAsia"/>
              </w:rPr>
              <w:t>月</w:t>
            </w:r>
            <w:r>
              <w:t xml:space="preserve">    </w:t>
            </w:r>
            <w:r>
              <w:rPr>
                <w:rFonts w:hint="eastAsia"/>
              </w:rPr>
              <w:t>日</w:t>
            </w:r>
          </w:p>
        </w:tc>
      </w:tr>
    </w:tbl>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18"/>
        <w:ind w:firstLine="640"/>
      </w:pPr>
    </w:p>
    <w:p>
      <w:pPr>
        <w:pStyle w:val="29"/>
      </w:pPr>
      <w:r>
        <w:rPr>
          <w:rFonts w:hint="eastAsia"/>
        </w:rPr>
        <w:t>重庆市沙坪坝区人民政府办公室</w:t>
      </w:r>
      <w:r>
        <w:rPr>
          <w:rFonts w:hint="eastAsia"/>
        </w:rPr>
        <w:tab/>
      </w:r>
      <w:r>
        <w:rPr>
          <w:rFonts w:hint="eastAsia"/>
        </w:rPr>
        <w:t>2020年6月9日印发</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462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257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902oV1wEAAG8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vdNqF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659A"/>
    <w:rsid w:val="00172A27"/>
    <w:rsid w:val="001B637F"/>
    <w:rsid w:val="00563EC5"/>
    <w:rsid w:val="005C5B1B"/>
    <w:rsid w:val="0071167E"/>
    <w:rsid w:val="008E1D4C"/>
    <w:rsid w:val="00924AF6"/>
    <w:rsid w:val="00A75BD7"/>
    <w:rsid w:val="00AC1174"/>
    <w:rsid w:val="00AD27BE"/>
    <w:rsid w:val="00B01E9D"/>
    <w:rsid w:val="00C272F4"/>
    <w:rsid w:val="00C52331"/>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DD37DFD"/>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Date"/>
    <w:basedOn w:val="1"/>
    <w:next w:val="1"/>
    <w:link w:val="38"/>
    <w:uiPriority w:val="0"/>
    <w:pPr>
      <w:ind w:left="100" w:leftChars="2500"/>
    </w:pPr>
  </w:style>
  <w:style w:type="paragraph" w:styleId="7">
    <w:name w:val="Balloon Text"/>
    <w:basedOn w:val="1"/>
    <w:link w:val="16"/>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qFormat/>
    <w:uiPriority w:val="0"/>
    <w:rPr>
      <w:sz w:val="21"/>
      <w:szCs w:val="21"/>
    </w:rPr>
  </w:style>
  <w:style w:type="paragraph" w:customStyle="1" w:styleId="15">
    <w:name w:val="p0"/>
    <w:basedOn w:val="1"/>
    <w:uiPriority w:val="0"/>
    <w:pPr>
      <w:widowControl/>
    </w:pPr>
    <w:rPr>
      <w:rFonts w:ascii="Calibri" w:hAnsi="Calibri" w:eastAsia="宋体" w:cs="宋体"/>
      <w:kern w:val="0"/>
      <w:szCs w:val="32"/>
    </w:rPr>
  </w:style>
  <w:style w:type="character" w:customStyle="1" w:styleId="16">
    <w:name w:val="批注框文本 Char"/>
    <w:basedOn w:val="11"/>
    <w:link w:val="7"/>
    <w:uiPriority w:val="0"/>
    <w:rPr>
      <w:rFonts w:asciiTheme="minorHAnsi" w:hAnsiTheme="minorHAnsi" w:eastAsiaTheme="minorEastAsia" w:cstheme="minorBidi"/>
      <w:kern w:val="2"/>
      <w:sz w:val="18"/>
      <w:szCs w:val="18"/>
    </w:rPr>
  </w:style>
  <w:style w:type="character" w:customStyle="1" w:styleId="17">
    <w:name w:val="标题 1 Char"/>
    <w:basedOn w:val="11"/>
    <w:link w:val="2"/>
    <w:qFormat/>
    <w:uiPriority w:val="0"/>
    <w:rPr>
      <w:rFonts w:ascii="方正小标宋_GBK" w:eastAsia="方正小标宋_GBK" w:hAnsiTheme="minorHAnsi" w:cstheme="minorBidi"/>
      <w:bCs/>
      <w:kern w:val="44"/>
      <w:sz w:val="44"/>
      <w:szCs w:val="44"/>
    </w:rPr>
  </w:style>
  <w:style w:type="paragraph" w:customStyle="1" w:styleId="18">
    <w:name w:val="@正文"/>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1"/>
    <w:link w:val="18"/>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1"/>
    <w:link w:val="19"/>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1"/>
    <w:link w:val="21"/>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1"/>
    <w:link w:val="23"/>
    <w:uiPriority w:val="0"/>
    <w:rPr>
      <w:rFonts w:eastAsia="方正仿宋_GBK" w:cs="方正仿宋_GBK"/>
      <w:sz w:val="32"/>
      <w:szCs w:val="32"/>
    </w:rPr>
  </w:style>
  <w:style w:type="character" w:customStyle="1" w:styleId="27">
    <w:name w:val="页脚 Char"/>
    <w:link w:val="8"/>
    <w:uiPriority w:val="0"/>
    <w:rPr>
      <w:rFonts w:asciiTheme="minorHAnsi" w:hAnsiTheme="minorHAnsi" w:eastAsiaTheme="minorEastAsia" w:cstheme="minorBidi"/>
      <w:kern w:val="2"/>
      <w:sz w:val="18"/>
      <w:szCs w:val="24"/>
    </w:rPr>
  </w:style>
  <w:style w:type="character" w:customStyle="1" w:styleId="28">
    <w:name w:val="@附件 Char"/>
    <w:basedOn w:val="11"/>
    <w:link w:val="25"/>
    <w:qFormat/>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1"/>
    <w:link w:val="3"/>
    <w:qFormat/>
    <w:uiPriority w:val="0"/>
    <w:rPr>
      <w:rFonts w:eastAsia="方正小标宋_GBK" w:cstheme="majorBidi"/>
      <w:bCs/>
      <w:kern w:val="2"/>
      <w:sz w:val="44"/>
      <w:szCs w:val="32"/>
    </w:rPr>
  </w:style>
  <w:style w:type="character" w:customStyle="1" w:styleId="31">
    <w:name w:val="@印发 Char"/>
    <w:basedOn w:val="11"/>
    <w:link w:val="29"/>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1"/>
    <w:link w:val="32"/>
    <w:qFormat/>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1"/>
    <w:link w:val="33"/>
    <w:uiPriority w:val="0"/>
    <w:rPr>
      <w:rFonts w:eastAsia="方正楷体_GBK" w:cs="方正仿宋_GBK"/>
      <w:sz w:val="32"/>
      <w:szCs w:val="32"/>
    </w:rPr>
  </w:style>
  <w:style w:type="character" w:customStyle="1" w:styleId="37">
    <w:name w:val="@附标 Char"/>
    <w:basedOn w:val="11"/>
    <w:link w:val="35"/>
    <w:uiPriority w:val="0"/>
    <w:rPr>
      <w:rFonts w:ascii="方正小标宋_GBK" w:eastAsia="方正小标宋_GBK" w:cs="方正仿宋_GBK"/>
      <w:sz w:val="44"/>
      <w:szCs w:val="32"/>
    </w:rPr>
  </w:style>
  <w:style w:type="character" w:customStyle="1" w:styleId="38">
    <w:name w:val="日期 Char"/>
    <w:basedOn w:val="11"/>
    <w:link w:val="6"/>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1"/>
    <w:link w:val="39"/>
    <w:uiPriority w:val="0"/>
    <w:rPr>
      <w:rFonts w:eastAsia="方正仿宋_GBK" w:cstheme="minorBidi"/>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239</Words>
  <Characters>1364</Characters>
  <Lines>11</Lines>
  <Paragraphs>3</Paragraphs>
  <TotalTime>42</TotalTime>
  <ScaleCrop>false</ScaleCrop>
  <LinksUpToDate>false</LinksUpToDate>
  <CharactersWithSpaces>1600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cp:lastModifiedBy>
  <cp:lastPrinted>2022-06-10T08:11:00Z</cp:lastPrinted>
  <dcterms:modified xsi:type="dcterms:W3CDTF">2022-10-09T06:35:06Z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