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712"/>
        <w:gridCol w:w="1066"/>
        <w:gridCol w:w="340"/>
        <w:gridCol w:w="723"/>
        <w:gridCol w:w="177"/>
        <w:gridCol w:w="900"/>
        <w:gridCol w:w="1218"/>
        <w:gridCol w:w="362"/>
        <w:gridCol w:w="57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沙坪坝区委党校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49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党校物业管理运行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沙坪坝区委党校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491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86.81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5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86.81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9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5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2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主要用于党校校园物业管理、绿化管护、学员楼电梯维保、学员楼电视网络以及教学楼互联网、党校专线费用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2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保障校园基本运转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2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保障校园正常运转，物业、绿化及网络等费用及时支付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物业企业服务人数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30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人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　≥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物业服务质量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定性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社会稳定性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定性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费用按时支付率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≥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学员及教职工满意度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≥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沙坪坝区委党校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49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对外培训工作经费　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沙坪坝区委党校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491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968.14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5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968.14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9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5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2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主要承接区外党政机关、企事业单位委托培训各级各类党员、干部、职工等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2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根据2019年编办下达的三定方案，新增加内设机构社教科，其职责包括对外培训工作。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2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完成3600余人次培训，实现1000万预算外收入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培训人次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30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人次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≥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3600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培训收入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30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万元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≥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培训费用按时支付率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≥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学员满意率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≥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沙坪坝区委党校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49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智慧校园运维费　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沙坪坝区委党校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491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0.9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5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9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5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2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党校现有学员管理平台“智慧校园”APP运维，该应用已于2017-2020年期间完成三期建设，目前每年需要进行日常维护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2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大数据局审批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2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确保智慧校园正常使用，故障率控制在10%以内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维护及时率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30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≥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系统故障率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≤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培训费用按时支付率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≥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社会稳定性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定性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使用者满意率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≥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沙坪坝区委党校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49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区委党校办公用房租金　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沙坪坝区委党校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491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105.34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5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105.34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9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5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2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区委党校租用迈瑞城投公司晒光坪81号房屋租金用作办公、教学、学员餐厅及宿舍等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2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渝迈瑞城投司函〔2024〕186号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2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按进度及时支付租金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租用面积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平方米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=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4877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租金按时支付率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≥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社会稳定性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定性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出租方满意度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≥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90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0F2C"/>
    <w:rsid w:val="5625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沙区区委党校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2025-01-13T10:36:00Z</dcterms:created>
  <dc:creator>财务室</dc:creator>
  <cp:lastModifiedBy>财务室</cp:lastModifiedBy>
  <dcterms:modified xsi:type="dcterms:W3CDTF">2025-01-13T10:58:04Z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