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60"/>
        </w:tabs>
        <w:jc w:val="left"/>
        <w:rPr>
          <w:rFonts w:ascii="方正小标宋_GBK" w:eastAsia="方正小标宋_GBK"/>
          <w:color w:val="FF0000"/>
          <w:w w:val="55"/>
          <w:kern w:val="0"/>
          <w:sz w:val="100"/>
          <w:szCs w:val="82"/>
        </w:rPr>
      </w:pPr>
      <w:r>
        <w:rPr>
          <w:rFonts w:eastAsia="方正仿宋_GBK"/>
          <w:color w:val="000000"/>
          <w:w w:val="55"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2228850</wp:posOffset>
                </wp:positionV>
                <wp:extent cx="5667375" cy="19050"/>
                <wp:effectExtent l="19050" t="38100" r="47625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67375" cy="1905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75pt;margin-top:175.5pt;height:1.5pt;width:446.25pt;mso-position-horizontal-relative:page;mso-position-vertical-relative:page;z-index:251659264;mso-width-relative:page;mso-height-relative:page;" filled="f" stroked="t" coordsize="21600,21600" o:gfxdata="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TXJD2toAAAAMAQAADwAAAAAAAAABACAAAAA4AAAAZHJzL2Rvd25yZXYueG1sUEsB&#10;AhQAFAAAAAgAh07iQPXw4xTdAQAAdQMAAA4AAAAAAAAAAQAgAAAAPwEAAGRycy9lMm9Eb2MueG1s&#10;UEsFBgAAAAAGAAYAWQEAAI4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color w:val="FF0000"/>
          <w:w w:val="55"/>
          <w:kern w:val="0"/>
          <w:sz w:val="100"/>
          <w:szCs w:val="82"/>
        </w:rPr>
        <w:t>重庆市沙坪坝区政务</w:t>
      </w:r>
      <w:r>
        <w:rPr>
          <w:rFonts w:ascii="方正小标宋_GBK" w:eastAsia="方正小标宋_GBK"/>
          <w:color w:val="FF0000"/>
          <w:w w:val="55"/>
          <w:kern w:val="0"/>
          <w:sz w:val="100"/>
          <w:szCs w:val="82"/>
        </w:rPr>
        <w:t>服务管理办公室</w:t>
      </w:r>
    </w:p>
    <w:p>
      <w:pPr>
        <w:spacing w:line="640" w:lineRule="exact"/>
        <w:jc w:val="center"/>
        <w:rPr>
          <w:rFonts w:eastAsia="方正仿宋_GBK"/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Cs w:val="32"/>
        </w:rPr>
        <w:t xml:space="preserve">                                                 </w:t>
      </w: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重庆市沙坪坝区政务服务管理办公室</w:t>
      </w: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eastAsia="方正小标宋_GBK"/>
          <w:sz w:val="44"/>
          <w:szCs w:val="44"/>
        </w:rPr>
        <w:t>2020</w:t>
      </w:r>
      <w:r>
        <w:rPr>
          <w:rFonts w:hint="eastAsia" w:ascii="方正小标宋_GBK" w:eastAsia="方正小标宋_GBK"/>
          <w:sz w:val="44"/>
          <w:szCs w:val="44"/>
        </w:rPr>
        <w:t>年度法治政府建设情况的报告</w:t>
      </w:r>
    </w:p>
    <w:p>
      <w:pPr>
        <w:spacing w:line="594" w:lineRule="exact"/>
        <w:rPr>
          <w:rFonts w:ascii="方正小标宋_GBK" w:eastAsia="方正小标宋_GBK"/>
          <w:sz w:val="44"/>
          <w:szCs w:val="44"/>
        </w:rPr>
      </w:pPr>
    </w:p>
    <w:p>
      <w:pPr>
        <w:pStyle w:val="8"/>
        <w:shd w:val="clear" w:color="auto" w:fill="FFFFFF"/>
        <w:spacing w:beforeAutospacing="0" w:afterAutospacing="0" w:line="594" w:lineRule="exact"/>
        <w:ind w:firstLine="640" w:firstLineChars="200"/>
        <w:rPr>
          <w:rFonts w:ascii="方正仿宋_GBK" w:hAnsi="微软雅黑" w:eastAsia="方正仿宋_GBK"/>
          <w:sz w:val="23"/>
          <w:szCs w:val="23"/>
        </w:rPr>
      </w:pPr>
      <w:r>
        <w:rPr>
          <w:rFonts w:eastAsia="方正仿宋_GBK"/>
          <w:color w:val="000000"/>
          <w:sz w:val="32"/>
          <w:szCs w:val="32"/>
        </w:rPr>
        <w:t>2020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年，区政务服务办认真落实《重庆市沙坪坝区法治政府建设实施意见（</w:t>
      </w:r>
      <w:r>
        <w:rPr>
          <w:rFonts w:eastAsia="方正仿宋_GBK"/>
          <w:color w:val="000000"/>
          <w:sz w:val="32"/>
          <w:szCs w:val="32"/>
        </w:rPr>
        <w:t>2016—2020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年）》</w:t>
      </w:r>
      <w:r>
        <w:rPr>
          <w:rFonts w:hint="eastAsia" w:ascii="方正仿宋_GBK" w:hAnsi="微软雅黑" w:eastAsia="方正仿宋_GBK"/>
          <w:sz w:val="32"/>
          <w:szCs w:val="32"/>
        </w:rPr>
        <w:t>《</w:t>
      </w:r>
      <w:r>
        <w:rPr>
          <w:rFonts w:eastAsia="方正仿宋_GBK"/>
          <w:sz w:val="32"/>
          <w:szCs w:val="32"/>
        </w:rPr>
        <w:t>2020</w:t>
      </w:r>
      <w:r>
        <w:rPr>
          <w:rFonts w:hint="eastAsia" w:ascii="方正仿宋_GBK" w:hAnsi="微软雅黑" w:eastAsia="方正仿宋_GBK"/>
          <w:sz w:val="32"/>
          <w:szCs w:val="32"/>
        </w:rPr>
        <w:t>年沙坪坝区法治政府建设工作要点》目标任务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，切实依法深化行政审批制度改革，推进法治政府建设工作。现将有关情况报告如下：</w:t>
      </w:r>
    </w:p>
    <w:p>
      <w:pPr>
        <w:pStyle w:val="8"/>
        <w:shd w:val="clear" w:color="auto" w:fill="FFFFFF"/>
        <w:spacing w:beforeAutospacing="0" w:afterAutospacing="0" w:line="594" w:lineRule="exact"/>
        <w:rPr>
          <w:rFonts w:ascii="方正黑体_GBK" w:hAnsi="微软雅黑" w:eastAsia="方正黑体_GBK"/>
          <w:color w:val="000000"/>
          <w:sz w:val="23"/>
          <w:szCs w:val="23"/>
        </w:rPr>
      </w:pPr>
      <w:r>
        <w:rPr>
          <w:rFonts w:hint="eastAsia" w:ascii="方正黑体_GBK" w:hAnsi="微软雅黑" w:eastAsia="方正黑体_GBK"/>
          <w:color w:val="000000"/>
          <w:sz w:val="32"/>
          <w:szCs w:val="32"/>
        </w:rPr>
        <w:t>  一、主要举措和成效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微软雅黑" w:eastAsia="方正仿宋_GBK"/>
          <w:sz w:val="23"/>
          <w:szCs w:val="23"/>
        </w:rPr>
      </w:pPr>
      <w:r>
        <w:rPr>
          <w:rFonts w:hint="eastAsia" w:ascii="方正仿宋_GBK" w:hAnsi="微软雅黑" w:eastAsia="方正仿宋_GBK"/>
          <w:sz w:val="32"/>
          <w:szCs w:val="32"/>
        </w:rPr>
        <w:t>（一）线上“一网通办”有新提升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微软雅黑" w:eastAsia="方正仿宋_GBK"/>
          <w:sz w:val="23"/>
          <w:szCs w:val="23"/>
        </w:rPr>
      </w:pPr>
      <w:r>
        <w:rPr>
          <w:rStyle w:val="12"/>
          <w:rFonts w:hint="eastAsia" w:ascii="方正仿宋_GBK" w:hAnsi="微软雅黑" w:eastAsia="方正仿宋_GBK"/>
          <w:sz w:val="32"/>
          <w:szCs w:val="32"/>
        </w:rPr>
        <w:t>一是更多政务服务事项网上办理。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</w:rPr>
        <w:t>切实提高政务服务事项网上办理比例，大幅提升政务服务便捷性。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目前，我区“网上办”比例达</w:t>
      </w:r>
      <w:r>
        <w:rPr>
          <w:rFonts w:eastAsia="方正仿宋_GBK"/>
          <w:color w:val="000000"/>
          <w:sz w:val="32"/>
          <w:szCs w:val="32"/>
        </w:rPr>
        <w:t>93.7%</w:t>
      </w:r>
      <w:r>
        <w:rPr>
          <w:rStyle w:val="12"/>
          <w:rFonts w:hint="eastAsia" w:ascii="方正仿宋_GBK" w:hAnsi="微软雅黑" w:eastAsia="方正仿宋_GBK"/>
          <w:color w:val="000000"/>
          <w:sz w:val="32"/>
          <w:szCs w:val="32"/>
        </w:rPr>
        <w:t>，</w:t>
      </w:r>
      <w:r>
        <w:rPr>
          <w:rFonts w:hint="eastAsia" w:ascii="方正仿宋_GBK" w:eastAsia="方正仿宋_GBK"/>
          <w:color w:val="000000"/>
          <w:sz w:val="32"/>
          <w:szCs w:val="32"/>
          <w:shd w:val="clear" w:color="auto" w:fill="FFFFFF"/>
        </w:rPr>
        <w:t>实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</w:rPr>
        <w:t>现从网上咨询、网上申报到网上预审、网上办理、网上反馈“应上尽上、全程在线”。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  <w:t> 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微软雅黑" w:eastAsia="方正仿宋_GBK"/>
          <w:sz w:val="23"/>
          <w:szCs w:val="23"/>
        </w:rPr>
      </w:pPr>
      <w:r>
        <w:rPr>
          <w:rStyle w:val="12"/>
          <w:rFonts w:hint="eastAsia" w:ascii="方正仿宋_GBK" w:eastAsia="方正仿宋_GBK"/>
          <w:color w:val="333333"/>
          <w:sz w:val="32"/>
          <w:szCs w:val="32"/>
          <w:shd w:val="clear" w:color="auto" w:fill="FFFFFF"/>
        </w:rPr>
        <w:t>二是全面实行政府权责清单制度。</w:t>
      </w:r>
      <w:r>
        <w:rPr>
          <w:rFonts w:hint="eastAsia" w:ascii="方正仿宋_GBK" w:hAnsi="微软雅黑" w:eastAsia="方正仿宋_GBK"/>
          <w:sz w:val="32"/>
          <w:szCs w:val="32"/>
        </w:rPr>
        <w:t>形成统一的</w:t>
      </w:r>
      <w:r>
        <w:rPr>
          <w:rFonts w:eastAsia="方正仿宋_GBK"/>
          <w:sz w:val="32"/>
          <w:szCs w:val="32"/>
        </w:rPr>
        <w:t>10</w:t>
      </w:r>
      <w:r>
        <w:rPr>
          <w:rFonts w:hint="eastAsia" w:ascii="方正仿宋_GBK" w:hAnsi="微软雅黑" w:eastAsia="方正仿宋_GBK"/>
          <w:sz w:val="32"/>
          <w:szCs w:val="32"/>
        </w:rPr>
        <w:t>类行政权力和公共服务事项“三级四同”清单，全区</w:t>
      </w:r>
      <w:r>
        <w:rPr>
          <w:rFonts w:eastAsia="方正仿宋_GBK"/>
          <w:sz w:val="32"/>
          <w:szCs w:val="32"/>
        </w:rPr>
        <w:t>38</w:t>
      </w:r>
      <w:r>
        <w:rPr>
          <w:rFonts w:hint="eastAsia" w:ascii="方正仿宋_GBK" w:hAnsi="微软雅黑" w:eastAsia="方正仿宋_GBK"/>
          <w:sz w:val="32"/>
          <w:szCs w:val="32"/>
        </w:rPr>
        <w:t>个部门共发布政务服务事项</w:t>
      </w:r>
      <w:r>
        <w:rPr>
          <w:rFonts w:eastAsia="方正仿宋_GBK"/>
          <w:sz w:val="32"/>
          <w:szCs w:val="32"/>
        </w:rPr>
        <w:t>4959</w:t>
      </w:r>
      <w:r>
        <w:rPr>
          <w:rFonts w:hint="eastAsia" w:ascii="方正仿宋_GBK" w:hAnsi="微软雅黑" w:eastAsia="方正仿宋_GBK"/>
          <w:sz w:val="32"/>
          <w:szCs w:val="32"/>
        </w:rPr>
        <w:t>项，实现应领尽领尽发布，规范编制依申请办理类事项实施清单</w:t>
      </w:r>
      <w:r>
        <w:rPr>
          <w:rFonts w:eastAsia="方正仿宋_GBK"/>
          <w:sz w:val="32"/>
          <w:szCs w:val="32"/>
        </w:rPr>
        <w:t>1321</w:t>
      </w:r>
      <w:r>
        <w:rPr>
          <w:rFonts w:hint="eastAsia" w:ascii="方正仿宋_GBK" w:hAnsi="微软雅黑" w:eastAsia="方正仿宋_GBK"/>
          <w:sz w:val="32"/>
          <w:szCs w:val="32"/>
        </w:rPr>
        <w:t>项；</w:t>
      </w:r>
      <w:r>
        <w:rPr>
          <w:rFonts w:eastAsia="方正仿宋_GBK"/>
          <w:sz w:val="32"/>
          <w:szCs w:val="32"/>
        </w:rPr>
        <w:t>22</w:t>
      </w:r>
      <w:r>
        <w:rPr>
          <w:rFonts w:hint="eastAsia" w:ascii="方正仿宋_GBK" w:hAnsi="微软雅黑" w:eastAsia="方正仿宋_GBK"/>
          <w:sz w:val="32"/>
          <w:szCs w:val="32"/>
        </w:rPr>
        <w:t>个街镇发布事项</w:t>
      </w:r>
      <w:r>
        <w:rPr>
          <w:rFonts w:eastAsia="方正仿宋_GBK"/>
          <w:sz w:val="32"/>
          <w:szCs w:val="32"/>
        </w:rPr>
        <w:t>3643</w:t>
      </w:r>
      <w:r>
        <w:rPr>
          <w:rFonts w:hint="eastAsia" w:ascii="方正仿宋_GBK" w:hAnsi="微软雅黑" w:eastAsia="方正仿宋_GBK"/>
          <w:sz w:val="32"/>
          <w:szCs w:val="32"/>
        </w:rPr>
        <w:t>项。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 </w:t>
      </w:r>
    </w:p>
    <w:p>
      <w:pPr>
        <w:pStyle w:val="8"/>
        <w:shd w:val="clear" w:color="auto" w:fill="FFFFFF"/>
        <w:spacing w:beforeAutospacing="0" w:afterAutospacing="0" w:line="594" w:lineRule="exact"/>
        <w:ind w:right="119" w:firstLine="642" w:firstLineChars="200"/>
        <w:rPr>
          <w:rFonts w:ascii="方正仿宋_GBK" w:hAnsi="微软雅黑" w:eastAsia="方正仿宋_GBK"/>
          <w:sz w:val="23"/>
          <w:szCs w:val="23"/>
        </w:rPr>
      </w:pPr>
      <w:r>
        <w:rPr>
          <w:rStyle w:val="12"/>
          <w:rFonts w:hint="eastAsia" w:ascii="方正仿宋_GBK" w:hAnsi="微软雅黑" w:eastAsia="方正仿宋_GBK"/>
          <w:color w:val="000000"/>
          <w:sz w:val="32"/>
          <w:szCs w:val="32"/>
        </w:rPr>
        <w:t>三是推进“智慧政务”建设。</w:t>
      </w:r>
      <w:r>
        <w:rPr>
          <w:rFonts w:hint="eastAsia" w:ascii="方正仿宋_GBK" w:hAnsi="微软雅黑" w:eastAsia="方正仿宋_GBK"/>
          <w:sz w:val="32"/>
          <w:szCs w:val="32"/>
        </w:rPr>
        <w:t>对政务服务流程进行再造，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建设了“沙</w:t>
      </w:r>
      <w:r>
        <w:rPr>
          <w:rFonts w:hint="eastAsia" w:ascii="方正仿宋_GBK" w:hAnsi="微软雅黑" w:eastAsia="方正仿宋_GBK"/>
          <w:sz w:val="32"/>
          <w:szCs w:val="32"/>
        </w:rPr>
        <w:t>坪坝智慧政务”系统，结合实际在全市率先对“渝快办”网上办事大厅沙坪坝主站、“一窗受理”、“一件事一次办”等版块进行升级，显著提升了服务效能。建设“政务服务”微信公众号，实现政务服务预约、申报、 进度查询、办理评价等全流程“掌上服务”。</w:t>
      </w:r>
    </w:p>
    <w:p>
      <w:pPr>
        <w:pStyle w:val="8"/>
        <w:shd w:val="clear" w:color="auto" w:fill="FFFFFF"/>
        <w:spacing w:beforeAutospacing="0" w:afterAutospacing="0" w:line="594" w:lineRule="exact"/>
        <w:ind w:firstLine="640" w:firstLineChars="200"/>
        <w:rPr>
          <w:rFonts w:ascii="方正仿宋_GBK" w:hAnsi="微软雅黑" w:eastAsia="方正仿宋_GBK"/>
          <w:sz w:val="23"/>
          <w:szCs w:val="23"/>
        </w:rPr>
      </w:pPr>
      <w:r>
        <w:rPr>
          <w:rFonts w:hint="eastAsia" w:ascii="方正仿宋_GBK" w:hAnsi="微软雅黑" w:eastAsia="方正仿宋_GBK"/>
          <w:sz w:val="32"/>
          <w:szCs w:val="32"/>
        </w:rPr>
        <w:t>（二）线下“只进一扇门”有新突破</w:t>
      </w:r>
    </w:p>
    <w:p>
      <w:pPr>
        <w:pStyle w:val="8"/>
        <w:shd w:val="clear" w:color="auto" w:fill="FFFFFF"/>
        <w:spacing w:beforeAutospacing="0" w:afterAutospacing="0" w:line="594" w:lineRule="exact"/>
        <w:ind w:firstLine="642" w:firstLineChars="200"/>
        <w:rPr>
          <w:rFonts w:ascii="方正仿宋_GBK" w:hAnsi="微软雅黑" w:eastAsia="方正仿宋_GBK"/>
          <w:sz w:val="23"/>
          <w:szCs w:val="23"/>
        </w:rPr>
      </w:pPr>
      <w:r>
        <w:rPr>
          <w:rStyle w:val="12"/>
          <w:rFonts w:hint="eastAsia" w:ascii="方正仿宋_GBK" w:hAnsi="微软雅黑" w:eastAsia="方正仿宋_GBK"/>
          <w:sz w:val="32"/>
          <w:szCs w:val="32"/>
        </w:rPr>
        <w:t>一是推进“多门”变“一门”。</w:t>
      </w:r>
      <w:r>
        <w:rPr>
          <w:rFonts w:hint="eastAsia" w:ascii="方正仿宋_GBK" w:hAnsi="微软雅黑" w:eastAsia="方正仿宋_GBK"/>
          <w:sz w:val="32"/>
          <w:szCs w:val="32"/>
        </w:rPr>
        <w:t>在</w:t>
      </w:r>
      <w:r>
        <w:rPr>
          <w:rFonts w:eastAsia="方正仿宋_GBK"/>
          <w:sz w:val="32"/>
          <w:szCs w:val="32"/>
        </w:rPr>
        <w:t>28</w:t>
      </w:r>
      <w:r>
        <w:rPr>
          <w:rFonts w:hint="eastAsia" w:ascii="方正仿宋_GBK" w:hAnsi="微软雅黑" w:eastAsia="方正仿宋_GBK"/>
          <w:sz w:val="32"/>
          <w:szCs w:val="32"/>
        </w:rPr>
        <w:t>个行政审批职能部门“事项、人员、印章、证照（文书）、发票”应进必进的基础上，推进除许可外的其他依申请办理类事项办理单位及事项入驻，提升了政务服务大厅“一站式”服务功能。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二是推进“多窗”变“一窗”。</w:t>
      </w:r>
      <w:r>
        <w:rPr>
          <w:rFonts w:hint="eastAsia" w:ascii="方正仿宋_GBK" w:hAnsi="微软雅黑" w:eastAsia="方正仿宋_GBK"/>
          <w:sz w:val="32"/>
          <w:szCs w:val="32"/>
        </w:rPr>
        <w:t>按市场监管、建设及公共三个领域分类设置“一窗通办”窗口。设置</w:t>
      </w:r>
      <w:r>
        <w:rPr>
          <w:rFonts w:eastAsia="方正仿宋_GBK"/>
          <w:sz w:val="32"/>
          <w:szCs w:val="32"/>
        </w:rPr>
        <w:t>7</w:t>
      </w:r>
      <w:r>
        <w:rPr>
          <w:rFonts w:hint="eastAsia" w:ascii="方正仿宋_GBK" w:hAnsi="微软雅黑" w:eastAsia="方正仿宋_GBK"/>
          <w:sz w:val="32"/>
          <w:szCs w:val="32"/>
        </w:rPr>
        <w:t>个无差别受理综合窗口，可办理</w:t>
      </w:r>
      <w:r>
        <w:rPr>
          <w:rFonts w:eastAsia="方正仿宋_GBK"/>
          <w:sz w:val="32"/>
          <w:szCs w:val="32"/>
        </w:rPr>
        <w:t>19</w:t>
      </w:r>
      <w:r>
        <w:rPr>
          <w:rFonts w:hint="eastAsia" w:ascii="方正仿宋_GBK" w:hAnsi="微软雅黑" w:eastAsia="方正仿宋_GBK"/>
          <w:sz w:val="32"/>
          <w:szCs w:val="32"/>
        </w:rPr>
        <w:t>个部门</w:t>
      </w:r>
      <w:r>
        <w:rPr>
          <w:rFonts w:eastAsia="方正仿宋_GBK"/>
          <w:sz w:val="32"/>
          <w:szCs w:val="32"/>
        </w:rPr>
        <w:t>229</w:t>
      </w:r>
      <w:r>
        <w:rPr>
          <w:rFonts w:hint="eastAsia" w:ascii="方正仿宋_GBK" w:hAnsi="微软雅黑" w:eastAsia="方正仿宋_GBK"/>
          <w:sz w:val="32"/>
          <w:szCs w:val="32"/>
        </w:rPr>
        <w:t>项政务服务事项。实行一窗受理、分类审批、统一出件，使群众进“一扇门”，到“一个窗”，就能办成“一件事”。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三是纪检监察全流程监管。</w:t>
      </w:r>
      <w:r>
        <w:rPr>
          <w:rFonts w:hint="eastAsia" w:ascii="方正仿宋_GBK" w:hAnsi="微软雅黑" w:eastAsia="方正仿宋_GBK"/>
          <w:sz w:val="32"/>
          <w:szCs w:val="32"/>
        </w:rPr>
        <w:t>将纪检监察与政务服务深度融合，在全市率先推出“纪检监察</w:t>
      </w:r>
      <w:r>
        <w:rPr>
          <w:rFonts w:hint="eastAsia" w:ascii="方正仿宋_GBK" w:hAnsi="微软雅黑" w:eastAsia="方正仿宋_GBK" w:cs="宋体"/>
          <w:sz w:val="32"/>
          <w:szCs w:val="32"/>
        </w:rPr>
        <w:t>+</w:t>
      </w:r>
      <w:r>
        <w:rPr>
          <w:rFonts w:hint="eastAsia" w:ascii="方正仿宋_GBK" w:hAnsi="微软雅黑" w:eastAsia="方正仿宋_GBK"/>
          <w:sz w:val="32"/>
          <w:szCs w:val="32"/>
        </w:rPr>
        <w:t>政务服务”工作新模式，纪委监委工作组已进驻大厅；配合启动“营商环境监控平台” 建设，建成后将实现全过程在线监察、预警纠错，各环节留痕管理、实时监控，实现可网办、可留痕、可预期、可监督。 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（三）让企业和群众“最多跑一次”有新速度</w:t>
      </w:r>
    </w:p>
    <w:p>
      <w:pPr>
        <w:pStyle w:val="8"/>
        <w:shd w:val="clear" w:color="auto" w:fill="FFFFFF"/>
        <w:spacing w:beforeAutospacing="0" w:afterAutospacing="0" w:line="594" w:lineRule="exact"/>
        <w:ind w:firstLine="642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一是大力推进减时间、减材料、减环节、减跑动。</w:t>
      </w:r>
      <w:r>
        <w:rPr>
          <w:rFonts w:hint="eastAsia" w:ascii="方正仿宋_GBK" w:hAnsi="微软雅黑" w:eastAsia="方正仿宋_GBK"/>
          <w:sz w:val="32"/>
          <w:szCs w:val="32"/>
        </w:rPr>
        <w:t>紧盯企</w:t>
      </w:r>
      <w:r>
        <w:rPr>
          <w:rFonts w:hint="eastAsia" w:eastAsia="方正仿宋_GBK"/>
          <w:color w:val="000000"/>
          <w:sz w:val="32"/>
          <w:szCs w:val="32"/>
        </w:rPr>
        <w:t>业开办、项目落地等重点领域，精简办事流程，激发市场活力。全区行政</w:t>
      </w:r>
      <w:r>
        <w:rPr>
          <w:rFonts w:eastAsia="方正仿宋_GBK"/>
          <w:color w:val="000000"/>
          <w:sz w:val="32"/>
          <w:szCs w:val="32"/>
        </w:rPr>
        <w:t>审批时限压缩87.8%，居全市前列。行政许可即办比例提升至54.8%，全程网办提升至83.18%，</w:t>
      </w:r>
      <w:r>
        <w:rPr>
          <w:rFonts w:hint="eastAsia" w:eastAsia="方正仿宋_GBK"/>
          <w:color w:val="000000"/>
          <w:sz w:val="32"/>
          <w:szCs w:val="32"/>
        </w:rPr>
        <w:t>跑动次数下降</w:t>
      </w:r>
      <w:r>
        <w:rPr>
          <w:rFonts w:eastAsia="方正仿宋_GBK"/>
          <w:color w:val="000000"/>
          <w:sz w:val="32"/>
          <w:szCs w:val="32"/>
        </w:rPr>
        <w:t>到0.17次；企业开办时限压缩至1天，实现</w:t>
      </w:r>
      <w:r>
        <w:rPr>
          <w:rFonts w:hint="eastAsia" w:eastAsia="方正仿宋_GBK"/>
          <w:color w:val="000000"/>
          <w:sz w:val="32"/>
          <w:szCs w:val="32"/>
        </w:rPr>
        <w:t>“零材料、零收费、零见面、零跑路”的“四零审批”；推行重大项目“帮办制”。</w:t>
      </w:r>
    </w:p>
    <w:p>
      <w:pPr>
        <w:pStyle w:val="8"/>
        <w:shd w:val="clear" w:color="auto" w:fill="FFFFFF"/>
        <w:spacing w:beforeAutospacing="0" w:afterAutospacing="0" w:line="594" w:lineRule="exact"/>
        <w:ind w:firstLine="642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b/>
          <w:color w:val="000000"/>
          <w:sz w:val="32"/>
          <w:szCs w:val="32"/>
        </w:rPr>
        <w:t>二是探索“一件事一次办”改革。</w:t>
      </w:r>
      <w:r>
        <w:rPr>
          <w:rFonts w:hint="eastAsia" w:eastAsia="方正仿宋_GBK"/>
          <w:color w:val="000000"/>
          <w:sz w:val="32"/>
          <w:szCs w:val="32"/>
        </w:rPr>
        <w:t>以企业和群众眼中完整的“一件事”整合多部门服务事项，推出</w:t>
      </w:r>
      <w:r>
        <w:rPr>
          <w:rFonts w:eastAsia="方正仿宋_GBK"/>
          <w:color w:val="000000"/>
          <w:sz w:val="32"/>
          <w:szCs w:val="32"/>
        </w:rPr>
        <w:t>了200个“</w:t>
      </w:r>
      <w:r>
        <w:rPr>
          <w:rFonts w:hint="eastAsia" w:eastAsia="方正仿宋_GBK"/>
          <w:color w:val="000000"/>
          <w:sz w:val="32"/>
          <w:szCs w:val="32"/>
        </w:rPr>
        <w:t>一件事一次办”套餐服务， 实现“一次告知、一表申报、一窗受理、一次办成”。</w:t>
      </w:r>
    </w:p>
    <w:p>
      <w:pPr>
        <w:pStyle w:val="8"/>
        <w:shd w:val="clear" w:color="auto" w:fill="FFFFFF"/>
        <w:spacing w:beforeAutospacing="0" w:afterAutospacing="0" w:line="594" w:lineRule="exact"/>
        <w:ind w:firstLine="642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b/>
          <w:color w:val="000000"/>
          <w:sz w:val="32"/>
          <w:szCs w:val="32"/>
        </w:rPr>
        <w:t>三是推动“最多跑一次”向基层延伸。</w:t>
      </w:r>
      <w:r>
        <w:rPr>
          <w:rFonts w:hint="eastAsia" w:eastAsia="方正仿宋_GBK"/>
          <w:color w:val="000000"/>
          <w:sz w:val="32"/>
          <w:szCs w:val="32"/>
        </w:rPr>
        <w:t>镇级政务服务事项</w:t>
      </w:r>
      <w:r>
        <w:rPr>
          <w:rFonts w:eastAsia="方正仿宋_GBK"/>
          <w:color w:val="000000"/>
          <w:sz w:val="32"/>
          <w:szCs w:val="32"/>
        </w:rPr>
        <w:t>200项，村社区可代办事项122项，努力实现群众“办事不出</w:t>
      </w:r>
      <w:r>
        <w:rPr>
          <w:rFonts w:hint="eastAsia" w:eastAsia="方正仿宋_GBK"/>
          <w:color w:val="000000"/>
          <w:sz w:val="32"/>
          <w:szCs w:val="32"/>
        </w:rPr>
        <w:t>镇街”。</w:t>
      </w:r>
    </w:p>
    <w:p>
      <w:pPr>
        <w:pStyle w:val="8"/>
        <w:shd w:val="clear" w:color="auto" w:fill="FFFFFF"/>
        <w:spacing w:beforeAutospacing="0" w:afterAutospacing="0" w:line="594" w:lineRule="exact"/>
        <w:ind w:firstLine="642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b/>
          <w:color w:val="000000"/>
          <w:sz w:val="32"/>
          <w:szCs w:val="32"/>
        </w:rPr>
        <w:t>四是打造24小时不打烊政务服务。</w:t>
      </w:r>
      <w:r>
        <w:rPr>
          <w:rFonts w:hint="eastAsia" w:eastAsia="方正仿宋_GBK"/>
          <w:color w:val="000000"/>
          <w:sz w:val="32"/>
          <w:szCs w:val="32"/>
        </w:rPr>
        <w:t>实现</w:t>
      </w:r>
      <w:r>
        <w:rPr>
          <w:rFonts w:eastAsia="方正仿宋_GBK"/>
          <w:color w:val="000000"/>
          <w:sz w:val="32"/>
          <w:szCs w:val="32"/>
        </w:rPr>
        <w:t>“7×24”</w:t>
      </w:r>
      <w:r>
        <w:rPr>
          <w:rFonts w:hint="eastAsia" w:eastAsia="方正仿宋_GBK"/>
          <w:color w:val="000000"/>
          <w:sz w:val="32"/>
          <w:szCs w:val="32"/>
        </w:rPr>
        <w:t>小时政务自助服务，进一步推动商场、银行、邮局、车站、街道、村及园区开展政务服务自助办理，形成多方位、全天候办事格局。</w:t>
      </w:r>
    </w:p>
    <w:p>
      <w:pPr>
        <w:pStyle w:val="8"/>
        <w:shd w:val="clear" w:color="auto" w:fill="FFFFFF"/>
        <w:spacing w:beforeAutospacing="0" w:afterAutospacing="0"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（四）双城政务服务协同有新成效</w:t>
      </w:r>
    </w:p>
    <w:p>
      <w:pPr>
        <w:pStyle w:val="8"/>
        <w:shd w:val="clear" w:color="auto" w:fill="FFFFFF"/>
        <w:spacing w:beforeAutospacing="0" w:afterAutospacing="0"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与成都武侯区、雄安新区、西安雁塔区等签订“跨省通办”政务服务战略合作协议，成功打印出全国首张“区块链+政务服务”营业执照，率先在重庆市实现“跨省通办”的全流程线上办理，有效解决企业和群众异地办事“多地跑”“折返跑”等问题。</w:t>
      </w:r>
    </w:p>
    <w:p>
      <w:pPr>
        <w:pStyle w:val="8"/>
        <w:shd w:val="clear" w:color="auto" w:fill="FFFFFF"/>
        <w:spacing w:beforeAutospacing="0" w:afterAutospacing="0" w:line="594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（五）公共资源交易监管</w:t>
      </w:r>
      <w:r>
        <w:rPr>
          <w:rFonts w:hint="eastAsia" w:ascii="方正仿宋_GBK" w:hAnsi="宋体" w:eastAsia="方正仿宋_GBK"/>
          <w:bCs/>
          <w:sz w:val="32"/>
          <w:szCs w:val="32"/>
        </w:rPr>
        <w:t>有新举措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一是搭建监管体系</w:t>
      </w:r>
      <w:r>
        <w:rPr>
          <w:rFonts w:hint="eastAsia" w:ascii="方正仿宋_GBK" w:hAnsi="宋体" w:eastAsia="方正仿宋_GBK"/>
          <w:bCs/>
          <w:sz w:val="32"/>
          <w:szCs w:val="32"/>
        </w:rPr>
        <w:t>。在全市率先完成监管新体系搭建，推动形成“一委一局一中心”公共资源交易监管格局。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二是完善监管机制。</w:t>
      </w:r>
      <w:r>
        <w:rPr>
          <w:rFonts w:hint="eastAsia" w:ascii="方正仿宋_GBK" w:hAnsi="宋体" w:eastAsia="方正仿宋_GBK"/>
          <w:bCs/>
          <w:sz w:val="32"/>
          <w:szCs w:val="32"/>
        </w:rPr>
        <w:t>推动形成“五统一、一加强”运行模式，逐步探索出强化公共资源交易监管的基层样本</w:t>
      </w:r>
      <w:r>
        <w:rPr>
          <w:rFonts w:eastAsia="方正仿宋_GBK"/>
          <w:bCs/>
          <w:sz w:val="32"/>
          <w:szCs w:val="32"/>
        </w:rPr>
        <w:t>。2020年，共完成工程建设项目招标投标直接监管项目188个，评审金额83.26亿元，中标节约金额6.58亿元。招标方案核准及变更核准359件。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三是破除限制壁垒。</w:t>
      </w:r>
      <w:r>
        <w:rPr>
          <w:rFonts w:eastAsia="方正仿宋_GBK"/>
          <w:bCs/>
          <w:sz w:val="32"/>
          <w:szCs w:val="32"/>
        </w:rPr>
        <w:t>开展工程项目招投标、政府采购营商环境专项整治，依法纠正不合理限制或排斥潜在投标人、供应商和业绩造假等违法违规行为179次，查处业绩造假等违法违规行为3件，依法处理评标专家12人，违规投标人3家，代理机构2家。</w:t>
      </w:r>
    </w:p>
    <w:p>
      <w:pPr>
        <w:pStyle w:val="8"/>
        <w:shd w:val="clear" w:color="auto" w:fill="FFFFFF"/>
        <w:spacing w:beforeAutospacing="0" w:afterAutospacing="0" w:line="594" w:lineRule="exact"/>
        <w:ind w:right="119" w:firstLine="640" w:firstLineChars="200"/>
        <w:rPr>
          <w:rFonts w:ascii="方正黑体_GBK" w:hAnsi="宋体" w:eastAsia="方正黑体_GBK"/>
          <w:bCs/>
          <w:sz w:val="32"/>
          <w:szCs w:val="32"/>
        </w:rPr>
      </w:pPr>
      <w:r>
        <w:rPr>
          <w:rFonts w:hint="eastAsia" w:ascii="方正黑体_GBK" w:hAnsi="宋体" w:eastAsia="方正黑体_GBK"/>
          <w:bCs/>
          <w:sz w:val="32"/>
          <w:szCs w:val="32"/>
        </w:rPr>
        <w:t>二、党政主要负责人履行推进法治建设第一责任人职责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一是持续强化依法行政理念。党政主要负责人带头尊法学法用法，把习近平总书记关于依法治国的系列讲话和《宪法》、《行政诉讼法》等法律法规列入领导班子学习计划。培养领导干部法治思维、提升领导干部法治能力，引导广大干部职工努力在法治轨道上推进工作。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二是坚决压实依法行政责任。党政主要负责人认真履行推进法治建设第一责任人职责，要求各业务科室、窗口单位以及下属单位全面履行法治政府建设的职责，自觉运用法治思维和法治方式推动各项工作。根据窗口行业特点，制定了法治政府建设工作计划，坚持与政务服务工作同部署、同实施、同考核。落实法治政府建设目标管理责任制，做到了主要领导亲自抓、相关负责人具体抓，形成了层层抓落实的良好局面。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三是忠诚坚定遵纪守法</w:t>
      </w:r>
      <w:r>
        <w:rPr>
          <w:rFonts w:eastAsia="方正仿宋_GBK"/>
          <w:bCs/>
          <w:sz w:val="32"/>
          <w:szCs w:val="32"/>
        </w:rPr>
        <w:t>。2020年，班</w:t>
      </w:r>
      <w:r>
        <w:rPr>
          <w:rFonts w:hint="eastAsia" w:ascii="方正仿宋_GBK" w:hAnsi="宋体" w:eastAsia="方正仿宋_GBK"/>
          <w:bCs/>
          <w:sz w:val="32"/>
          <w:szCs w:val="32"/>
        </w:rPr>
        <w:t>子成员及干部职工未发现违法违纪问题。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黑体_GBK" w:hAnsi="宋体" w:eastAsia="方正黑体_GBK"/>
          <w:bCs/>
          <w:sz w:val="32"/>
          <w:szCs w:val="32"/>
        </w:rPr>
      </w:pPr>
      <w:r>
        <w:rPr>
          <w:rFonts w:hint="eastAsia" w:ascii="方正黑体_GBK" w:hAnsi="宋体" w:eastAsia="方正黑体_GBK"/>
          <w:bCs/>
          <w:sz w:val="32"/>
          <w:szCs w:val="32"/>
        </w:rPr>
        <w:t>三、存在的不足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一是运用法治思维、法治手段解决问题的意识和能力还需要进一步加强。二是对法治政府建设宣传力度需要进一步加强。三是对法治政府建设相关的学习、培训需要进一步加强。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黑体_GBK" w:hAnsi="宋体" w:eastAsia="方正黑体_GBK"/>
          <w:bCs/>
          <w:sz w:val="32"/>
          <w:szCs w:val="32"/>
        </w:rPr>
      </w:pPr>
      <w:r>
        <w:rPr>
          <w:rFonts w:hint="eastAsia" w:ascii="方正黑体_GBK" w:hAnsi="宋体" w:eastAsia="方正黑体_GBK"/>
          <w:bCs/>
          <w:sz w:val="32"/>
          <w:szCs w:val="32"/>
        </w:rPr>
        <w:t>四</w:t>
      </w:r>
      <w:r>
        <w:rPr>
          <w:rFonts w:hint="eastAsia" w:ascii="方正黑体_GBK" w:eastAsia="方正黑体_GBK"/>
          <w:bCs/>
          <w:sz w:val="32"/>
          <w:szCs w:val="32"/>
        </w:rPr>
        <w:t>、2021年</w:t>
      </w:r>
      <w:r>
        <w:rPr>
          <w:rFonts w:hint="eastAsia" w:ascii="方正黑体_GBK" w:hAnsi="宋体" w:eastAsia="方正黑体_GBK"/>
          <w:bCs/>
          <w:sz w:val="32"/>
          <w:szCs w:val="32"/>
        </w:rPr>
        <w:t>及“十四五”期间推进法治政府建设的工作思路目标举措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宋体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2021年及“十四五”期间，我办将围绕法治政府建设这个</w:t>
      </w:r>
      <w:r>
        <w:rPr>
          <w:rFonts w:hint="eastAsia" w:ascii="方正仿宋_GBK" w:hAnsi="宋体" w:eastAsia="方正仿宋_GBK"/>
          <w:bCs/>
          <w:sz w:val="32"/>
          <w:szCs w:val="32"/>
        </w:rPr>
        <w:t>中心，突出依法审批、便民高效两个重点，着重抓好法制宣传教育、制度完善落实、规范事项管理以及科学管理大厅等工作，为优化营商环境奠定法制化审批基础。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一是打造全天服务体系。建设沙区政务“指尖办”平台，通过网上大厅、手机APP、自助窗口、自助服务一体机等多种方式提供</w:t>
      </w:r>
      <w:r>
        <w:rPr>
          <w:rFonts w:eastAsia="方正仿宋_GBK"/>
          <w:bCs/>
          <w:sz w:val="32"/>
          <w:szCs w:val="32"/>
        </w:rPr>
        <w:t>24小时</w:t>
      </w:r>
      <w:r>
        <w:rPr>
          <w:rFonts w:hint="eastAsia" w:ascii="方正仿宋_GBK" w:hAnsi="宋体" w:eastAsia="方正仿宋_GBK"/>
          <w:bCs/>
          <w:sz w:val="32"/>
          <w:szCs w:val="32"/>
        </w:rPr>
        <w:t>不间断的沟通、查询、申报服务，打造全天服务体系。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二是推行行政审批标准化。推动审批流程标准化、审批要件标准化、大厅服务标准化，使各事项、各环节、全流程均有审批标准可依，解决审批办件“凭经验、凭感觉、凭关系”的问题。通过强化窗口培训，向企业学习，树立政务服务的“顾客意识”，提升服务质效。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三是持续推动“跨省通办”工作。及时领取事项，发布并编制实施清单。设置“跨省通办”专窗，强化窗口业务学习和培训。持续深化成渝双城经济圈建设。推动“跨省通办”工作在我区有效落地。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四是提升基层政务服务能力。加强街镇公共服务中心、村（社区）便民服务中心建设，明确街镇政务服务工作负责人，推进高频政务服务事项办理向基层延伸，扩大街镇、村（社区）“就近办”比例。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五是推进“纪委+政务服务”深度融合。建设“沙坪坝区营商环境监管平台”，实现对重点领域事项办理环节、办理时限、咨询投诉、退件情况等全过程在线监察、预警纠错，各环节留痕管理、实时监控，实现可网办、可留痕、可预期、可监督。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645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六是加强公共资源交易监管。严格落</w:t>
      </w:r>
      <w:r>
        <w:rPr>
          <w:rFonts w:eastAsia="方正仿宋_GBK"/>
          <w:bCs/>
          <w:sz w:val="32"/>
          <w:szCs w:val="32"/>
        </w:rPr>
        <w:t>实114号</w:t>
      </w:r>
      <w:r>
        <w:rPr>
          <w:rFonts w:hint="eastAsia" w:ascii="方正仿宋_GBK" w:hAnsi="宋体" w:eastAsia="方正仿宋_GBK"/>
          <w:bCs/>
          <w:sz w:val="32"/>
          <w:szCs w:val="32"/>
        </w:rPr>
        <w:t>系列文件要求，做好新范本的使用工作，在工程建设领域全面实施经评审的最低投标价法。加大全流程电子招投标使用范围和比例，推广使用重庆市网上中介超市选取限额以下中介服务的做法。</w:t>
      </w:r>
    </w:p>
    <w:p>
      <w:pPr>
        <w:pStyle w:val="8"/>
        <w:shd w:val="clear" w:color="auto" w:fill="FFFFFF"/>
        <w:spacing w:beforeAutospacing="0" w:afterAutospacing="0" w:line="594" w:lineRule="exact"/>
        <w:ind w:right="120"/>
        <w:rPr>
          <w:rFonts w:hint="eastAsia" w:ascii="方正仿宋_GBK" w:hAnsi="宋体" w:eastAsia="方正仿宋_GBK"/>
          <w:bCs/>
          <w:sz w:val="32"/>
          <w:szCs w:val="32"/>
        </w:rPr>
      </w:pPr>
    </w:p>
    <w:p>
      <w:pPr>
        <w:pStyle w:val="8"/>
        <w:shd w:val="clear" w:color="auto" w:fill="FFFFFF"/>
        <w:spacing w:beforeAutospacing="0" w:afterAutospacing="0" w:line="594" w:lineRule="exact"/>
        <w:ind w:right="120" w:firstLine="3680" w:firstLineChars="1150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重庆市沙坪坝区政务服务管理办公室</w:t>
      </w:r>
    </w:p>
    <w:p>
      <w:pPr>
        <w:pStyle w:val="8"/>
        <w:shd w:val="clear" w:color="auto" w:fill="FFFFFF"/>
        <w:spacing w:beforeAutospacing="0" w:afterAutospacing="0" w:line="594" w:lineRule="exact"/>
        <w:ind w:right="120" w:firstLine="4960" w:firstLineChars="1550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202</w:t>
      </w:r>
      <w:r>
        <w:rPr>
          <w:rFonts w:hint="default" w:eastAsia="方正仿宋_GBK"/>
          <w:bCs/>
          <w:sz w:val="32"/>
          <w:szCs w:val="32"/>
          <w:lang w:val="en"/>
        </w:rPr>
        <w:t>1</w:t>
      </w:r>
      <w:bookmarkStart w:id="0" w:name="_GoBack"/>
      <w:bookmarkEnd w:id="0"/>
      <w:r>
        <w:rPr>
          <w:rFonts w:eastAsia="方正仿宋_GBK"/>
          <w:bCs/>
          <w:sz w:val="32"/>
          <w:szCs w:val="32"/>
        </w:rPr>
        <w:t>年1月20日</w:t>
      </w:r>
    </w:p>
    <w:sectPr>
      <w:footerReference r:id="rId3" w:type="default"/>
      <w:footerReference r:id="rId4" w:type="even"/>
      <w:pgSz w:w="11906" w:h="16838"/>
      <w:pgMar w:top="1985" w:right="1446" w:bottom="1644" w:left="1446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 w:eastAsiaTheme="minorEastAsia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 w:eastAsiaTheme="minorEastAsia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6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evenAndOddHeaders w:val="true"/>
  <w:noPunctuationKerning w:val="true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E6"/>
    <w:rsid w:val="00025233"/>
    <w:rsid w:val="00025CEC"/>
    <w:rsid w:val="00074CFB"/>
    <w:rsid w:val="00075D69"/>
    <w:rsid w:val="000948B3"/>
    <w:rsid w:val="000A2391"/>
    <w:rsid w:val="000A3301"/>
    <w:rsid w:val="000B1259"/>
    <w:rsid w:val="000B600E"/>
    <w:rsid w:val="000C5560"/>
    <w:rsid w:val="000F51EF"/>
    <w:rsid w:val="001010E7"/>
    <w:rsid w:val="00106FF9"/>
    <w:rsid w:val="001213B6"/>
    <w:rsid w:val="00136746"/>
    <w:rsid w:val="001607D0"/>
    <w:rsid w:val="00167317"/>
    <w:rsid w:val="001A1B90"/>
    <w:rsid w:val="001A3FC9"/>
    <w:rsid w:val="001C1D57"/>
    <w:rsid w:val="001D5CC7"/>
    <w:rsid w:val="001E646D"/>
    <w:rsid w:val="001F7890"/>
    <w:rsid w:val="0021764E"/>
    <w:rsid w:val="0022167D"/>
    <w:rsid w:val="00226771"/>
    <w:rsid w:val="0023765A"/>
    <w:rsid w:val="00237B83"/>
    <w:rsid w:val="00262B09"/>
    <w:rsid w:val="00262B2C"/>
    <w:rsid w:val="0026574F"/>
    <w:rsid w:val="002821F9"/>
    <w:rsid w:val="002A6E45"/>
    <w:rsid w:val="002B0B1E"/>
    <w:rsid w:val="002B2100"/>
    <w:rsid w:val="002B2444"/>
    <w:rsid w:val="002C429C"/>
    <w:rsid w:val="002C6AD5"/>
    <w:rsid w:val="002F39F6"/>
    <w:rsid w:val="00310F86"/>
    <w:rsid w:val="00313014"/>
    <w:rsid w:val="003140A3"/>
    <w:rsid w:val="00323B43"/>
    <w:rsid w:val="003D37D8"/>
    <w:rsid w:val="003D3D3D"/>
    <w:rsid w:val="003E6473"/>
    <w:rsid w:val="00416030"/>
    <w:rsid w:val="00417534"/>
    <w:rsid w:val="00420F3C"/>
    <w:rsid w:val="004358AB"/>
    <w:rsid w:val="004632EF"/>
    <w:rsid w:val="00476804"/>
    <w:rsid w:val="0048590C"/>
    <w:rsid w:val="0049393D"/>
    <w:rsid w:val="004A237C"/>
    <w:rsid w:val="004A5D52"/>
    <w:rsid w:val="004B117A"/>
    <w:rsid w:val="004B46B3"/>
    <w:rsid w:val="004C7452"/>
    <w:rsid w:val="004D1314"/>
    <w:rsid w:val="004D5D32"/>
    <w:rsid w:val="005100D3"/>
    <w:rsid w:val="0051577C"/>
    <w:rsid w:val="00525121"/>
    <w:rsid w:val="005312E7"/>
    <w:rsid w:val="0053512A"/>
    <w:rsid w:val="00536641"/>
    <w:rsid w:val="005425FB"/>
    <w:rsid w:val="00571A56"/>
    <w:rsid w:val="00576CBC"/>
    <w:rsid w:val="00583046"/>
    <w:rsid w:val="0059157E"/>
    <w:rsid w:val="005A6310"/>
    <w:rsid w:val="005B0185"/>
    <w:rsid w:val="005D179E"/>
    <w:rsid w:val="005E66B3"/>
    <w:rsid w:val="00617E4E"/>
    <w:rsid w:val="00634FC7"/>
    <w:rsid w:val="00653778"/>
    <w:rsid w:val="00655A63"/>
    <w:rsid w:val="0066379A"/>
    <w:rsid w:val="00664D15"/>
    <w:rsid w:val="00693C3B"/>
    <w:rsid w:val="006D4082"/>
    <w:rsid w:val="006F2FC5"/>
    <w:rsid w:val="00703E8C"/>
    <w:rsid w:val="00704C2D"/>
    <w:rsid w:val="00762E66"/>
    <w:rsid w:val="00786319"/>
    <w:rsid w:val="007C2C3D"/>
    <w:rsid w:val="007C6098"/>
    <w:rsid w:val="007D3D2F"/>
    <w:rsid w:val="007F5897"/>
    <w:rsid w:val="007F5BD4"/>
    <w:rsid w:val="008028BA"/>
    <w:rsid w:val="0080430E"/>
    <w:rsid w:val="00806DBA"/>
    <w:rsid w:val="00822429"/>
    <w:rsid w:val="00824135"/>
    <w:rsid w:val="0087029F"/>
    <w:rsid w:val="00871362"/>
    <w:rsid w:val="00871AE6"/>
    <w:rsid w:val="008851D3"/>
    <w:rsid w:val="00886384"/>
    <w:rsid w:val="00895253"/>
    <w:rsid w:val="008A0954"/>
    <w:rsid w:val="008B62E6"/>
    <w:rsid w:val="008B7726"/>
    <w:rsid w:val="008C1C67"/>
    <w:rsid w:val="008C731D"/>
    <w:rsid w:val="008F558A"/>
    <w:rsid w:val="008F76F2"/>
    <w:rsid w:val="0090175D"/>
    <w:rsid w:val="00916FC6"/>
    <w:rsid w:val="00935DAE"/>
    <w:rsid w:val="00937256"/>
    <w:rsid w:val="0096198A"/>
    <w:rsid w:val="009650E7"/>
    <w:rsid w:val="009720DE"/>
    <w:rsid w:val="009879D8"/>
    <w:rsid w:val="00987AF9"/>
    <w:rsid w:val="009B1171"/>
    <w:rsid w:val="009B737F"/>
    <w:rsid w:val="009C0A4E"/>
    <w:rsid w:val="009E1DDC"/>
    <w:rsid w:val="009F1A39"/>
    <w:rsid w:val="00A268A1"/>
    <w:rsid w:val="00A521F1"/>
    <w:rsid w:val="00A60B6E"/>
    <w:rsid w:val="00A87D4D"/>
    <w:rsid w:val="00AA6645"/>
    <w:rsid w:val="00AB593E"/>
    <w:rsid w:val="00AD121C"/>
    <w:rsid w:val="00AF2DEF"/>
    <w:rsid w:val="00B0067C"/>
    <w:rsid w:val="00B54B2C"/>
    <w:rsid w:val="00B659DC"/>
    <w:rsid w:val="00B80FED"/>
    <w:rsid w:val="00B856FA"/>
    <w:rsid w:val="00B90205"/>
    <w:rsid w:val="00B93E12"/>
    <w:rsid w:val="00BC365F"/>
    <w:rsid w:val="00BD2C8C"/>
    <w:rsid w:val="00BD60EE"/>
    <w:rsid w:val="00BF2575"/>
    <w:rsid w:val="00BF268D"/>
    <w:rsid w:val="00C12B7A"/>
    <w:rsid w:val="00C146F9"/>
    <w:rsid w:val="00C15472"/>
    <w:rsid w:val="00C20184"/>
    <w:rsid w:val="00C24027"/>
    <w:rsid w:val="00C55E15"/>
    <w:rsid w:val="00C56CBB"/>
    <w:rsid w:val="00C67E6A"/>
    <w:rsid w:val="00CA7C04"/>
    <w:rsid w:val="00CB7E7B"/>
    <w:rsid w:val="00CE7745"/>
    <w:rsid w:val="00D22D60"/>
    <w:rsid w:val="00D25F30"/>
    <w:rsid w:val="00D411A1"/>
    <w:rsid w:val="00D472F8"/>
    <w:rsid w:val="00D550D3"/>
    <w:rsid w:val="00D8131A"/>
    <w:rsid w:val="00E270C2"/>
    <w:rsid w:val="00E273F5"/>
    <w:rsid w:val="00E57538"/>
    <w:rsid w:val="00E62C8D"/>
    <w:rsid w:val="00E92C14"/>
    <w:rsid w:val="00E9443F"/>
    <w:rsid w:val="00EB3659"/>
    <w:rsid w:val="00EC766D"/>
    <w:rsid w:val="00EF0121"/>
    <w:rsid w:val="00EF2BA7"/>
    <w:rsid w:val="00F2715E"/>
    <w:rsid w:val="00F44C6D"/>
    <w:rsid w:val="00F537B9"/>
    <w:rsid w:val="00F85546"/>
    <w:rsid w:val="00FA65EA"/>
    <w:rsid w:val="00FB2D20"/>
    <w:rsid w:val="00FD4371"/>
    <w:rsid w:val="00FE0876"/>
    <w:rsid w:val="00FF699A"/>
    <w:rsid w:val="0172196A"/>
    <w:rsid w:val="02746888"/>
    <w:rsid w:val="0F6E08C3"/>
    <w:rsid w:val="13FB00E7"/>
    <w:rsid w:val="16FD5099"/>
    <w:rsid w:val="1F3130A9"/>
    <w:rsid w:val="1F9F410C"/>
    <w:rsid w:val="1FDEF8CC"/>
    <w:rsid w:val="272054CA"/>
    <w:rsid w:val="28B317DA"/>
    <w:rsid w:val="2FFE0703"/>
    <w:rsid w:val="34E14971"/>
    <w:rsid w:val="38775BB7"/>
    <w:rsid w:val="3B0524B0"/>
    <w:rsid w:val="3B17A76F"/>
    <w:rsid w:val="3C0129CB"/>
    <w:rsid w:val="3C6743C6"/>
    <w:rsid w:val="3D89162D"/>
    <w:rsid w:val="3F7E3420"/>
    <w:rsid w:val="3FAF127F"/>
    <w:rsid w:val="43A40D56"/>
    <w:rsid w:val="455B0221"/>
    <w:rsid w:val="4C8F1380"/>
    <w:rsid w:val="4CBB1B3A"/>
    <w:rsid w:val="4D2B7ACC"/>
    <w:rsid w:val="524A6284"/>
    <w:rsid w:val="52D817C7"/>
    <w:rsid w:val="56F43459"/>
    <w:rsid w:val="57AB1FE8"/>
    <w:rsid w:val="5A5456C6"/>
    <w:rsid w:val="5A8DB475"/>
    <w:rsid w:val="5AF12E0D"/>
    <w:rsid w:val="5FFEB83D"/>
    <w:rsid w:val="61CE268F"/>
    <w:rsid w:val="64651054"/>
    <w:rsid w:val="65C3325C"/>
    <w:rsid w:val="68A65281"/>
    <w:rsid w:val="68E363F6"/>
    <w:rsid w:val="68FB64F3"/>
    <w:rsid w:val="6AC324F0"/>
    <w:rsid w:val="6C022D75"/>
    <w:rsid w:val="6FA904F0"/>
    <w:rsid w:val="6FFF5ED0"/>
    <w:rsid w:val="72C83A05"/>
    <w:rsid w:val="75242CDA"/>
    <w:rsid w:val="76B4530C"/>
    <w:rsid w:val="76C5039E"/>
    <w:rsid w:val="7CD173C9"/>
    <w:rsid w:val="7E776CE9"/>
    <w:rsid w:val="9DDF2F5F"/>
    <w:rsid w:val="DF5F4009"/>
    <w:rsid w:val="E3F76BD4"/>
    <w:rsid w:val="FFF5F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1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rFonts w:ascii="Tahoma" w:hAnsi="Tahoma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eastAsia="仿宋_GB2312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454</Words>
  <Characters>2592</Characters>
  <Lines>21</Lines>
  <Paragraphs>6</Paragraphs>
  <TotalTime>35</TotalTime>
  <ScaleCrop>false</ScaleCrop>
  <LinksUpToDate>false</LinksUpToDate>
  <CharactersWithSpaces>3040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2021-07-24T11:22:00Z</dcterms:created>
  <dc:creator>蒲睿</dc:creator>
  <cp:lastModifiedBy>kylin</cp:lastModifiedBy>
  <cp:lastPrinted>2020-01-09T14:46:00Z</cp:lastPrinted>
  <dcterms:modified xsi:type="dcterms:W3CDTF">2022-01-04T15:07:00Z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E84457A8431A4845BB67D887BAD5DFB7</vt:lpwstr>
  </property>
</Properties>
</file>