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adjustRightInd w:val="0"/>
        <w:snapToGrid w:val="0"/>
        <w:spacing w:beforeAutospacing="0" w:afterAutospacing="0" w:line="594" w:lineRule="exact"/>
        <w:ind w:right="75"/>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Style w:val="7"/>
          <w:rFonts w:hint="eastAsia" w:ascii="方正小标宋_GBK" w:hAnsi="方正小标宋_GBK" w:eastAsia="方正小标宋_GBK" w:cs="方正小标宋_GBK"/>
          <w:b w:val="0"/>
          <w:color w:val="000000" w:themeColor="text1"/>
          <w:sz w:val="44"/>
          <w:szCs w:val="44"/>
          <w:shd w:val="clear" w:color="auto" w:fill="FFFFFF"/>
          <w14:textFill>
            <w14:solidFill>
              <w14:schemeClr w14:val="tx1"/>
            </w14:solidFill>
          </w14:textFill>
        </w:rPr>
        <w:t>重庆市沙坪坝区中梁镇人民政府</w:t>
      </w:r>
    </w:p>
    <w:p>
      <w:pPr>
        <w:pStyle w:val="4"/>
        <w:widowControl/>
        <w:adjustRightInd w:val="0"/>
        <w:snapToGrid w:val="0"/>
        <w:spacing w:beforeAutospacing="0" w:afterAutospacing="0" w:line="594" w:lineRule="exact"/>
        <w:ind w:right="75"/>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Style w:val="7"/>
          <w:rFonts w:hint="eastAsia" w:ascii="方正小标宋_GBK" w:hAnsi="方正小标宋_GBK" w:eastAsia="方正小标宋_GBK" w:cs="方正小标宋_GBK"/>
          <w:b w:val="0"/>
          <w:color w:val="000000" w:themeColor="text1"/>
          <w:sz w:val="44"/>
          <w:szCs w:val="44"/>
          <w:shd w:val="clear" w:color="auto" w:fill="FFFFFF"/>
          <w14:textFill>
            <w14:solidFill>
              <w14:schemeClr w14:val="tx1"/>
            </w14:solidFill>
          </w14:textFill>
        </w:rPr>
        <w:t>2022年度部门决算情况说明</w:t>
      </w:r>
    </w:p>
    <w:p>
      <w:pPr>
        <w:pStyle w:val="4"/>
        <w:widowControl/>
        <w:adjustRightInd w:val="0"/>
        <w:snapToGrid w:val="0"/>
        <w:spacing w:beforeAutospacing="0" w:afterAutospacing="0" w:line="594" w:lineRule="exact"/>
        <w:ind w:right="75" w:firstLine="640" w:firstLineChars="200"/>
        <w:rPr>
          <w:rStyle w:val="7"/>
          <w:rFonts w:hint="eastAsia"/>
          <w:b w:val="0"/>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黑体_GBK" w:eastAsia="方正黑体_GBK"/>
          <w:color w:val="000000" w:themeColor="text1"/>
          <w:sz w:val="32"/>
          <w:szCs w:val="32"/>
          <w14:textFill>
            <w14:solidFill>
              <w14:schemeClr w14:val="tx1"/>
            </w14:solidFill>
          </w14:textFill>
        </w:rPr>
      </w:pPr>
      <w:r>
        <w:rPr>
          <w:rStyle w:val="7"/>
          <w:rFonts w:hint="eastAsia" w:ascii="方正黑体_GBK" w:eastAsia="方正黑体_GBK"/>
          <w:b w:val="0"/>
          <w:color w:val="000000" w:themeColor="text1"/>
          <w:sz w:val="32"/>
          <w:szCs w:val="32"/>
          <w:shd w:val="clear" w:color="auto" w:fill="FFFFFF"/>
          <w14:textFill>
            <w14:solidFill>
              <w14:schemeClr w14:val="tx1"/>
            </w14:solidFill>
          </w14:textFill>
        </w:rPr>
        <w:t>一、部门基本情况</w:t>
      </w:r>
    </w:p>
    <w:p>
      <w:pPr>
        <w:pStyle w:val="4"/>
        <w:shd w:val="clear" w:color="auto" w:fill="FFFFFF"/>
        <w:adjustRightInd w:val="0"/>
        <w:snapToGrid w:val="0"/>
        <w:spacing w:beforeAutospacing="0" w:afterAutospacing="0" w:line="594" w:lineRule="exact"/>
        <w:ind w:firstLine="640" w:firstLineChars="200"/>
        <w:jc w:val="both"/>
        <w:rPr>
          <w:rFonts w:ascii="Times New Roman" w:hAnsi="Times New Roman" w:eastAsia="方正黑体_GBK"/>
          <w:color w:val="000000" w:themeColor="text1"/>
          <w:sz w:val="32"/>
          <w:szCs w:val="32"/>
          <w14:textFill>
            <w14:solidFill>
              <w14:schemeClr w14:val="tx1"/>
            </w14:solidFill>
          </w14:textFill>
        </w:rPr>
      </w:pPr>
      <w:r>
        <w:rPr>
          <w:rStyle w:val="7"/>
          <w:rFonts w:ascii="Times New Roman" w:hAnsi="Times New Roman" w:eastAsia="方正楷体_GBK"/>
          <w:b w:val="0"/>
          <w:color w:val="000000" w:themeColor="text1"/>
          <w:sz w:val="32"/>
          <w:szCs w:val="32"/>
          <w14:textFill>
            <w14:solidFill>
              <w14:schemeClr w14:val="tx1"/>
            </w14:solidFill>
          </w14:textFill>
        </w:rPr>
        <w:t>（一）职能职责。</w:t>
      </w:r>
    </w:p>
    <w:p>
      <w:pPr>
        <w:pStyle w:val="4"/>
        <w:shd w:val="clear" w:color="auto" w:fill="FFFFFF"/>
        <w:adjustRightInd w:val="0"/>
        <w:snapToGrid w:val="0"/>
        <w:spacing w:beforeAutospacing="0" w:afterAutospacing="0" w:line="594" w:lineRule="exact"/>
        <w:ind w:firstLine="640" w:firstLineChars="200"/>
        <w:jc w:val="both"/>
        <w:rPr>
          <w:rFonts w:ascii="Times New Roman" w:hAnsi="Times New Roman" w:eastAsia="方正仿宋_GBK"/>
          <w:color w:val="000000" w:themeColor="text1"/>
          <w:sz w:val="32"/>
          <w:szCs w:val="32"/>
          <w14:textFill>
            <w14:solidFill>
              <w14:schemeClr w14:val="tx1"/>
            </w14:solidFill>
          </w14:textFill>
        </w:rPr>
      </w:pPr>
      <w:r>
        <w:rPr>
          <w:rStyle w:val="30"/>
          <w:rFonts w:ascii="Times New Roman" w:hAnsi="Times New Roman" w:eastAsia="方正仿宋_GBK"/>
          <w:b w:val="0"/>
          <w:bCs w:val="0"/>
          <w:color w:val="000000" w:themeColor="text1"/>
          <w:sz w:val="32"/>
          <w:szCs w:val="32"/>
          <w:shd w:val="clear" w:color="auto" w:fill="FFFFFF"/>
          <w14:textFill>
            <w14:solidFill>
              <w14:schemeClr w14:val="tx1"/>
            </w14:solidFill>
          </w14:textFill>
        </w:rPr>
        <w:t>中梁镇人民</w:t>
      </w:r>
      <w:r>
        <w:rPr>
          <w:rFonts w:ascii="Times New Roman" w:hAnsi="Times New Roman" w:eastAsia="方正仿宋_GBK"/>
          <w:color w:val="000000" w:themeColor="text1"/>
          <w:sz w:val="32"/>
          <w:szCs w:val="32"/>
          <w:shd w:val="clear" w:color="auto" w:fill="FFFFFF"/>
          <w14:textFill>
            <w14:solidFill>
              <w14:schemeClr w14:val="tx1"/>
            </w14:solidFill>
          </w14:textFill>
        </w:rPr>
        <w:t>政府是基层国家行政机关，行使本行政区的行政职能。1.制定和组织实施经济、科技和社会发展计划，组织指导好各行业生产，搞好商品流通，协调好本镇与外地区的经济交流与合作，抓好招商引资，促进经济发展。2.制定并组织实施村镇建设规划，部署重点工程建设，地方道路建设及公共设施，水利设施的管理，负责土地、林木、水等自然资源和生态环境的保护，做好护林防火工作。3.负责本行政区域内的民政、计划生育、文化教育、卫生、体育等社会公益事业的综合性工作，维护一切经济单位和个人的正当经济权益，取缔非法经济活动，调解和处理民事纠纷，打击刑事犯罪维护社会稳定。4.按计划组织本级财政收入和地方税的征收，完成国家财政计划，不断培植税源，管好财政资金，增强财政实力。5.抓好精神文明建设，丰富群众文化生活，反对封建迷信，破除陈规陋习，树立社会主义新风尚。6.完成上级政府交办的</w:t>
      </w:r>
      <w:r>
        <w:rPr>
          <w:rFonts w:hint="eastAsia" w:ascii="Times New Roman" w:hAnsi="Times New Roman" w:eastAsia="方正仿宋_GBK"/>
          <w:color w:val="000000" w:themeColor="text1"/>
          <w:sz w:val="32"/>
          <w:szCs w:val="32"/>
          <w:shd w:val="clear" w:color="auto" w:fill="FFFFFF"/>
          <w14:textFill>
            <w14:solidFill>
              <w14:schemeClr w14:val="tx1"/>
            </w14:solidFill>
          </w14:textFill>
        </w:rPr>
        <w:t>其他</w:t>
      </w:r>
      <w:r>
        <w:rPr>
          <w:rFonts w:ascii="Times New Roman" w:hAnsi="Times New Roman" w:eastAsia="方正仿宋_GBK"/>
          <w:color w:val="000000" w:themeColor="text1"/>
          <w:sz w:val="32"/>
          <w:szCs w:val="32"/>
          <w:shd w:val="clear" w:color="auto" w:fill="FFFFFF"/>
          <w14:textFill>
            <w14:solidFill>
              <w14:schemeClr w14:val="tx1"/>
            </w14:solidFill>
          </w14:textFill>
        </w:rPr>
        <w:t>事项。</w:t>
      </w:r>
      <w:r>
        <w:rPr>
          <w:rFonts w:ascii="Times New Roman" w:hAnsi="Times New Roman" w:eastAsia="方正仿宋_GBK"/>
          <w:color w:val="000000" w:themeColor="text1"/>
          <w:sz w:val="32"/>
          <w:szCs w:val="32"/>
          <w14:textFill>
            <w14:solidFill>
              <w14:schemeClr w14:val="tx1"/>
            </w14:solidFill>
          </w14:textFill>
        </w:rPr>
        <w:t> </w:t>
      </w:r>
    </w:p>
    <w:p>
      <w:pPr>
        <w:pStyle w:val="4"/>
        <w:shd w:val="clear" w:color="auto" w:fill="FFFFFF"/>
        <w:adjustRightInd w:val="0"/>
        <w:snapToGrid w:val="0"/>
        <w:spacing w:beforeAutospacing="0" w:afterAutospacing="0" w:line="594" w:lineRule="exact"/>
        <w:ind w:firstLine="640" w:firstLineChars="200"/>
        <w:jc w:val="both"/>
        <w:rPr>
          <w:rStyle w:val="7"/>
          <w:rFonts w:ascii="Times New Roman" w:hAnsi="Times New Roman" w:eastAsia="方正楷体_GBK"/>
          <w:b w:val="0"/>
          <w:color w:val="000000" w:themeColor="text1"/>
          <w:sz w:val="32"/>
          <w:szCs w:val="32"/>
          <w:highlight w:val="yellow"/>
          <w14:textFill>
            <w14:solidFill>
              <w14:schemeClr w14:val="tx1"/>
            </w14:solidFill>
          </w14:textFill>
        </w:rPr>
      </w:pPr>
      <w:r>
        <w:rPr>
          <w:rStyle w:val="7"/>
          <w:rFonts w:ascii="Times New Roman" w:hAnsi="Times New Roman" w:eastAsia="方正楷体_GBK"/>
          <w:b w:val="0"/>
          <w:color w:val="000000" w:themeColor="text1"/>
          <w:sz w:val="32"/>
          <w:szCs w:val="32"/>
          <w14:textFill>
            <w14:solidFill>
              <w14:schemeClr w14:val="tx1"/>
            </w14:solidFill>
          </w14:textFill>
        </w:rPr>
        <w:t>（二）机构设置。</w:t>
      </w:r>
    </w:p>
    <w:p>
      <w:pPr>
        <w:overflowPunct w:val="0"/>
        <w:adjustRightInd w:val="0"/>
        <w:snapToGrid w:val="0"/>
        <w:spacing w:line="594" w:lineRule="exact"/>
        <w:ind w:firstLine="640" w:firstLineChars="200"/>
        <w:rPr>
          <w:rFonts w:ascii="Times New Roman" w:hAnsi="Times New Roman" w:eastAsia="方正仿宋_GBK" w:cs="Times New Roman"/>
          <w:color w:val="000000" w:themeColor="text1"/>
          <w:sz w:val="32"/>
          <w:szCs w:val="32"/>
          <w:highlight w:val="yellow"/>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shd w:val="clear" w:color="auto" w:fill="FFFFFF"/>
          <w14:textFill>
            <w14:solidFill>
              <w14:schemeClr w14:val="tx1"/>
            </w14:solidFill>
          </w14:textFill>
        </w:rPr>
        <w:t>沙坪坝区中梁镇内设机构8个，具体设置情况如下：党政办公室、党建工作办公室、经济发展办公室、民政和社区事务办公室、平安建设办公室、规划建设管理环保办公室、财政办公室、应急管理办公室</w:t>
      </w:r>
    </w:p>
    <w:p>
      <w:pPr>
        <w:overflowPunct w:val="0"/>
        <w:adjustRightInd w:val="0"/>
        <w:snapToGrid w:val="0"/>
        <w:spacing w:line="594" w:lineRule="exact"/>
        <w:ind w:firstLine="640" w:firstLineChars="200"/>
        <w:rPr>
          <w:rFonts w:ascii="Times New Roman" w:hAnsi="Times New Roman" w:eastAsia="方正楷体_GBK" w:cs="Times New Roman"/>
          <w:color w:val="000000" w:themeColor="text1"/>
          <w:sz w:val="32"/>
          <w:szCs w:val="32"/>
          <w:shd w:val="clear" w:color="auto" w:fill="FFFFFF"/>
          <w14:textFill>
            <w14:solidFill>
              <w14:schemeClr w14:val="tx1"/>
            </w14:solidFill>
          </w14:textFill>
        </w:rPr>
      </w:pPr>
      <w:r>
        <w:rPr>
          <w:rStyle w:val="7"/>
          <w:rFonts w:ascii="Times New Roman" w:hAnsi="Times New Roman" w:eastAsia="方正楷体_GBK" w:cs="Times New Roman"/>
          <w:b w:val="0"/>
          <w:color w:val="000000" w:themeColor="text1"/>
          <w:sz w:val="32"/>
          <w:szCs w:val="32"/>
          <w14:textFill>
            <w14:solidFill>
              <w14:schemeClr w14:val="tx1"/>
            </w14:solidFill>
          </w14:textFill>
        </w:rPr>
        <w:t>（三）单位构成。</w:t>
      </w:r>
    </w:p>
    <w:p>
      <w:pPr>
        <w:overflowPunct w:val="0"/>
        <w:adjustRightInd w:val="0"/>
        <w:snapToGrid w:val="0"/>
        <w:spacing w:line="594" w:lineRule="exact"/>
        <w:ind w:firstLine="640" w:firstLineChars="200"/>
        <w:rPr>
          <w:rFonts w:ascii="Times New Roman" w:hAnsi="Times New Roman" w:eastAsia="方正仿宋_GBK"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从预算单位构成看，纳入本部门2022年度决算编制的二级预算单位主要包括农</w:t>
      </w:r>
      <w:r>
        <w:rPr>
          <w:rFonts w:ascii="Times New Roman" w:hAnsi="Times New Roman" w:eastAsia="方正仿宋_GBK" w:cs="Times New Roman"/>
          <w:color w:val="000000" w:themeColor="text1"/>
          <w:sz w:val="32"/>
          <w:szCs w:val="32"/>
          <w:shd w:val="clear" w:color="auto" w:fill="FFFFFF"/>
          <w14:textFill>
            <w14:solidFill>
              <w14:schemeClr w14:val="tx1"/>
            </w14:solidFill>
          </w14:textFill>
        </w:rPr>
        <w:t>业服务中心、文化服务中心、劳动就业和社会保障服务所、退役军人服务站、综合行政执法大队。其中，综合行政执法大队与综合行政执法办公室实行统筹运行的机制。</w:t>
      </w:r>
    </w:p>
    <w:p>
      <w:pPr>
        <w:pStyle w:val="4"/>
        <w:widowControl/>
        <w:adjustRightInd w:val="0"/>
        <w:snapToGrid w:val="0"/>
        <w:spacing w:beforeAutospacing="0" w:afterAutospacing="0" w:line="594" w:lineRule="exact"/>
        <w:ind w:right="75" w:firstLine="640" w:firstLineChars="200"/>
        <w:rPr>
          <w:rFonts w:hint="eastAsia" w:ascii="方正黑体_GBK" w:eastAsia="方正黑体_GBK"/>
          <w:color w:val="000000" w:themeColor="text1"/>
          <w:sz w:val="32"/>
          <w:szCs w:val="32"/>
          <w14:textFill>
            <w14:solidFill>
              <w14:schemeClr w14:val="tx1"/>
            </w14:solidFill>
          </w14:textFill>
        </w:rPr>
      </w:pPr>
      <w:r>
        <w:rPr>
          <w:rStyle w:val="7"/>
          <w:rFonts w:hint="eastAsia" w:ascii="方正黑体_GBK" w:eastAsia="方正黑体_GBK"/>
          <w:b w:val="0"/>
          <w:color w:val="000000" w:themeColor="text1"/>
          <w:sz w:val="32"/>
          <w:szCs w:val="32"/>
          <w:shd w:val="clear" w:color="auto" w:fill="FFFFFF"/>
          <w14:textFill>
            <w14:solidFill>
              <w14:schemeClr w14:val="tx1"/>
            </w14:solidFill>
          </w14:textFill>
        </w:rPr>
        <w:t>二、部门决算情况说明</w:t>
      </w:r>
    </w:p>
    <w:p>
      <w:pPr>
        <w:pStyle w:val="4"/>
        <w:widowControl/>
        <w:adjustRightInd w:val="0"/>
        <w:snapToGrid w:val="0"/>
        <w:spacing w:beforeAutospacing="0" w:afterAutospacing="0" w:line="594" w:lineRule="exact"/>
        <w:ind w:right="75"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（一）收入支出决算总体情况说明</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1.总体情况。</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2022年度收入总计7,577.85万元，支出总计7,577.85万元。收支较上年决算数减少5,075.66万元,下降40.1%，主要原因是2022年下达专项项目经费减少。</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2.收入情况。</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2022年度收入合计7,577.85万元，较上年决算数减少5,075.66万元，下降40.1%，主要原因是2022年下达专项项目经费减少。其中：财政拨款收入7,577.85万元，占100%。</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3.支出情况。</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2022年度支出合计7,577.85万元，较上年决算减少5,075.66万元，下降40.1%，主要原因是2022年下达专项项目经费减少。其中：基本支出1,532.62万元，占20.2%；项目支出6,045.23万元，占79.8%。</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4.结转结余情况。2022年度年末结转和结余0.00元，与上年决算数持平。</w:t>
      </w:r>
    </w:p>
    <w:p>
      <w:pPr>
        <w:pStyle w:val="4"/>
        <w:widowControl/>
        <w:adjustRightInd w:val="0"/>
        <w:snapToGrid w:val="0"/>
        <w:spacing w:beforeAutospacing="0" w:afterAutospacing="0" w:line="594" w:lineRule="exact"/>
        <w:ind w:right="75"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（二）财政拨款收入支出决算总体情况说明</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2022年度财政拨款收、支总计7,577.85万元。与2021年相比，财政拨款收、支总计各减少5,075.66万元，下降40.1%。主要原因是2022年下达专项项目经费减少。</w:t>
      </w:r>
    </w:p>
    <w:p>
      <w:pPr>
        <w:pStyle w:val="4"/>
        <w:widowControl/>
        <w:adjustRightInd w:val="0"/>
        <w:snapToGrid w:val="0"/>
        <w:spacing w:beforeAutospacing="0" w:afterAutospacing="0" w:line="594" w:lineRule="exact"/>
        <w:ind w:right="75" w:firstLine="640" w:firstLineChars="200"/>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（三）一般公共预算财政拨款收入支出决算情况说明</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1.收入情况。</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一般公共预算财政拨款收入7,284.82万元，较上年决算数减少4,592.83万元，下降38.7%。主要原因是2022年下达专项项目经费减少，较年初预算数增加5,694.37万元，增长358%。主要原因是年中追加项目经费，主要包括地质灾害防治专项经费445.57万元，2022年市财政衔接推进乡村振兴补助资金400万元等专项经费收入。此外，年初财政拨款结转和结余0.00元。</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2.支出情况。2022年度一般公共预算财政拨款支出7,284.82万元，较上年决算数减少4,592.83万元，下降38.7%。主要原因是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2022年下达专项项目经费减少</w:t>
      </w: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。较年初预算数增加5,694.37万元，增长358%。主要原因是</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年中追加项目经费，主要包括：地质灾害防治专项经费445.57万元，2022年市财政衔接推进乡村振兴补助资金347万元等专项经费支出</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3.结转结余情况。2022年度年末一般公共预算财政拨款结转和结余0.00元，与上年决算数持平。</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4.比较情况。本部门2022年度一般公共预算财政拨款支出主要用于以下几个方面：</w:t>
      </w:r>
    </w:p>
    <w:p>
      <w:pPr>
        <w:pStyle w:val="4"/>
        <w:widowControl/>
        <w:adjustRightInd w:val="0"/>
        <w:snapToGrid w:val="0"/>
        <w:spacing w:beforeAutospacing="0" w:afterAutospacing="0" w:line="594" w:lineRule="exact"/>
        <w:ind w:right="75" w:firstLine="640" w:firstLineChars="200"/>
        <w:rPr>
          <w:rFonts w:ascii="Times New Roman" w:hAnsi="Times New Roman" w:eastAsia="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（1）一般公共服务支出1,100.31万元，占15.1%，较年初预算数增加697.17万元，增长172.9%，主要原因是2022年调入新进职工</w:t>
      </w:r>
      <w:r>
        <w:rPr>
          <w:rFonts w:ascii="Times New Roman" w:hAnsi="方正仿宋_GBK" w:eastAsia="方正仿宋_GBK"/>
          <w:color w:val="000000" w:themeColor="text1"/>
          <w:sz w:val="32"/>
          <w:szCs w:val="32"/>
          <w14:textFill>
            <w14:solidFill>
              <w14:schemeClr w14:val="tx1"/>
            </w14:solidFill>
          </w14:textFill>
        </w:rPr>
        <w:t>以及部门划转的转移支付纳入决算</w:t>
      </w: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，例如</w:t>
      </w:r>
      <w:r>
        <w:rPr>
          <w:rFonts w:ascii="Times New Roman" w:hAnsi="方正仿宋_GBK" w:eastAsia="方正仿宋_GBK"/>
          <w:color w:val="000000" w:themeColor="text1"/>
          <w:sz w:val="32"/>
          <w:szCs w:val="32"/>
          <w14:textFill>
            <w14:solidFill>
              <w14:schemeClr w14:val="tx1"/>
            </w14:solidFill>
          </w14:textFill>
        </w:rPr>
        <w:t>夜巡队员工资、基层综治员工资等专项经费</w:t>
      </w:r>
      <w:r>
        <w:rPr>
          <w:rFonts w:hint="eastAsia" w:ascii="Times New Roman" w:hAnsi="方正仿宋_GBK" w:eastAsia="方正仿宋_GBK"/>
          <w:color w:val="000000" w:themeColor="text1"/>
          <w:sz w:val="32"/>
          <w:szCs w:val="32"/>
          <w14:textFill>
            <w14:solidFill>
              <w14:schemeClr w14:val="tx1"/>
            </w14:solidFill>
          </w14:textFill>
        </w:rPr>
        <w:t>。</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（2）公共安全支出57.28万元，占0.8%，较年初预算数增加57.28万元，增长%，主要原因是</w:t>
      </w:r>
      <w:r>
        <w:rPr>
          <w:rFonts w:ascii="Times New Roman" w:hAnsi="方正仿宋_GBK" w:eastAsia="方正仿宋_GBK"/>
          <w:color w:val="000000" w:themeColor="text1"/>
          <w:sz w:val="32"/>
          <w:szCs w:val="32"/>
          <w14:textFill>
            <w14:solidFill>
              <w14:schemeClr w14:val="tx1"/>
            </w14:solidFill>
          </w14:textFill>
        </w:rPr>
        <w:t>部门划转转移支付纳入决算，主要包括交通安全劝导员补贴等专项资金。</w:t>
      </w:r>
    </w:p>
    <w:p>
      <w:pPr>
        <w:pStyle w:val="4"/>
        <w:shd w:val="clear" w:color="auto" w:fill="FFFFFF"/>
        <w:adjustRightInd w:val="0"/>
        <w:snapToGrid w:val="0"/>
        <w:spacing w:beforeAutospacing="0" w:afterAutospacing="0" w:line="594" w:lineRule="exact"/>
        <w:ind w:firstLine="640" w:firstLineChars="200"/>
        <w:jc w:val="both"/>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（3）文化旅游体育与传媒支出86.39万元，占1.2%，较年初预算数增加21.33万元，增长32.8%，</w:t>
      </w:r>
      <w:r>
        <w:rPr>
          <w:rFonts w:ascii="Times New Roman" w:hAnsi="Times New Roman" w:eastAsia="方正仿宋_GBK"/>
          <w:color w:val="000000" w:themeColor="text1"/>
          <w:sz w:val="32"/>
          <w:szCs w:val="32"/>
          <w14:textFill>
            <w14:solidFill>
              <w14:schemeClr w14:val="tx1"/>
            </w14:solidFill>
          </w14:textFill>
        </w:rPr>
        <w:t>主要原因是</w:t>
      </w:r>
      <w:r>
        <w:rPr>
          <w:rFonts w:hint="eastAsia" w:ascii="Times New Roman" w:hAnsi="Times New Roman" w:eastAsia="方正仿宋_GBK"/>
          <w:color w:val="000000" w:themeColor="text1"/>
          <w:sz w:val="32"/>
          <w:szCs w:val="32"/>
          <w14:textFill>
            <w14:solidFill>
              <w14:schemeClr w14:val="tx1"/>
            </w14:solidFill>
          </w14:textFill>
        </w:rPr>
        <w:t>追加事业单位人员经费以及</w:t>
      </w:r>
      <w:r>
        <w:rPr>
          <w:rFonts w:ascii="Times New Roman" w:hAnsi="方正仿宋_GBK" w:eastAsia="方正仿宋_GBK"/>
          <w:color w:val="000000" w:themeColor="text1"/>
          <w:sz w:val="32"/>
          <w:szCs w:val="32"/>
          <w14:textFill>
            <w14:solidFill>
              <w14:schemeClr w14:val="tx1"/>
            </w14:solidFill>
          </w14:textFill>
        </w:rPr>
        <w:t>部门划转的转移支付纳入决算，主要包括</w:t>
      </w:r>
      <w:r>
        <w:rPr>
          <w:rFonts w:hint="eastAsia" w:ascii="Times New Roman" w:hAnsi="方正仿宋_GBK" w:eastAsia="方正仿宋_GBK"/>
          <w:color w:val="000000" w:themeColor="text1"/>
          <w:sz w:val="32"/>
          <w:szCs w:val="32"/>
          <w14:textFill>
            <w14:solidFill>
              <w14:schemeClr w14:val="tx1"/>
            </w14:solidFill>
          </w14:textFill>
        </w:rPr>
        <w:t>公共文化活动</w:t>
      </w:r>
      <w:r>
        <w:rPr>
          <w:rFonts w:ascii="Times New Roman" w:hAnsi="方正仿宋_GBK" w:eastAsia="方正仿宋_GBK"/>
          <w:color w:val="000000" w:themeColor="text1"/>
          <w:sz w:val="32"/>
          <w:szCs w:val="32"/>
          <w14:textFill>
            <w14:solidFill>
              <w14:schemeClr w14:val="tx1"/>
            </w14:solidFill>
          </w14:textFill>
        </w:rPr>
        <w:t>等专项资金。</w:t>
      </w:r>
    </w:p>
    <w:p>
      <w:pPr>
        <w:pStyle w:val="4"/>
        <w:shd w:val="clear" w:color="auto" w:fill="FFFFFF"/>
        <w:adjustRightInd w:val="0"/>
        <w:snapToGrid w:val="0"/>
        <w:spacing w:beforeAutospacing="0" w:afterAutospacing="0" w:line="594" w:lineRule="exact"/>
        <w:ind w:firstLine="640" w:firstLineChars="200"/>
        <w:jc w:val="both"/>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（4）社会保障与就业支出987.93万元，占13.6%，较年初预算数增加693.53万元，增长235.6%，主要原因是追加事业人员经费以及部门划转的转移支付纳入决算，主要包括村社干部补贴、低保员工作补贴、优抚对象慰问等</w:t>
      </w:r>
    </w:p>
    <w:p>
      <w:pPr>
        <w:pStyle w:val="4"/>
        <w:shd w:val="clear" w:color="auto" w:fill="FFFFFF"/>
        <w:adjustRightInd w:val="0"/>
        <w:snapToGrid w:val="0"/>
        <w:spacing w:beforeAutospacing="0" w:afterAutospacing="0" w:line="594" w:lineRule="exact"/>
        <w:ind w:firstLine="640" w:firstLineChars="200"/>
        <w:jc w:val="both"/>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（5）卫生健康支出111.44万元，占1.5%，较年初预算数增加60.12万元，增长117.1%，</w:t>
      </w:r>
      <w:r>
        <w:rPr>
          <w:rFonts w:ascii="Times New Roman" w:hAnsi="Times New Roman" w:eastAsia="方正仿宋_GBK"/>
          <w:color w:val="000000" w:themeColor="text1"/>
          <w:sz w:val="32"/>
          <w:szCs w:val="32"/>
          <w14:textFill>
            <w14:solidFill>
              <w14:schemeClr w14:val="tx1"/>
            </w14:solidFill>
          </w14:textFill>
        </w:rPr>
        <w:t>主要原因是</w:t>
      </w:r>
      <w:r>
        <w:rPr>
          <w:rFonts w:ascii="Times New Roman" w:hAnsi="方正仿宋_GBK" w:eastAsia="方正仿宋_GBK"/>
          <w:color w:val="000000" w:themeColor="text1"/>
          <w:sz w:val="32"/>
          <w:szCs w:val="32"/>
          <w14:textFill>
            <w14:solidFill>
              <w14:schemeClr w14:val="tx1"/>
            </w14:solidFill>
          </w14:textFill>
        </w:rPr>
        <w:t>部门划转的转移支付纳入决算，主要包括防范新型冠状病毒、</w:t>
      </w:r>
      <w:r>
        <w:rPr>
          <w:rFonts w:hint="eastAsia" w:ascii="Times New Roman" w:hAnsi="方正仿宋_GBK" w:eastAsia="方正仿宋_GBK"/>
          <w:color w:val="000000" w:themeColor="text1"/>
          <w:sz w:val="32"/>
          <w:szCs w:val="32"/>
          <w14:textFill>
            <w14:solidFill>
              <w14:schemeClr w14:val="tx1"/>
            </w14:solidFill>
          </w14:textFill>
        </w:rPr>
        <w:t>计划生育事务</w:t>
      </w:r>
      <w:r>
        <w:rPr>
          <w:rFonts w:ascii="Times New Roman" w:hAnsi="方正仿宋_GBK" w:eastAsia="方正仿宋_GBK"/>
          <w:color w:val="000000" w:themeColor="text1"/>
          <w:sz w:val="32"/>
          <w:szCs w:val="32"/>
          <w14:textFill>
            <w14:solidFill>
              <w14:schemeClr w14:val="tx1"/>
            </w14:solidFill>
          </w14:textFill>
        </w:rPr>
        <w:t>等专项资金。</w:t>
      </w:r>
    </w:p>
    <w:p>
      <w:pPr>
        <w:pStyle w:val="4"/>
        <w:shd w:val="clear" w:color="auto" w:fill="FFFFFF"/>
        <w:adjustRightInd w:val="0"/>
        <w:snapToGrid w:val="0"/>
        <w:spacing w:beforeAutospacing="0" w:afterAutospacing="0" w:line="594" w:lineRule="exact"/>
        <w:ind w:firstLine="640" w:firstLineChars="200"/>
        <w:jc w:val="both"/>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（6）节能环保支出126.75万元，占1.7%，较年初预算数增加126.75万元，增长100%，主要原因是</w:t>
      </w:r>
      <w:r>
        <w:rPr>
          <w:rFonts w:ascii="Times New Roman" w:hAnsi="方正仿宋_GBK" w:eastAsia="方正仿宋_GBK"/>
          <w:color w:val="000000" w:themeColor="text1"/>
          <w:sz w:val="32"/>
          <w:szCs w:val="32"/>
          <w14:textFill>
            <w14:solidFill>
              <w14:schemeClr w14:val="tx1"/>
            </w14:solidFill>
          </w14:textFill>
        </w:rPr>
        <w:t>部门划转的转移支付纳入决算，主要包括</w:t>
      </w:r>
      <w:r>
        <w:rPr>
          <w:rFonts w:hint="eastAsia" w:ascii="Times New Roman" w:hAnsi="方正仿宋_GBK" w:eastAsia="方正仿宋_GBK"/>
          <w:color w:val="000000" w:themeColor="text1"/>
          <w:sz w:val="32"/>
          <w:szCs w:val="32"/>
          <w14:textFill>
            <w14:solidFill>
              <w14:schemeClr w14:val="tx1"/>
            </w14:solidFill>
          </w14:textFill>
        </w:rPr>
        <w:t>污水管网治理</w:t>
      </w:r>
      <w:r>
        <w:rPr>
          <w:rFonts w:ascii="Times New Roman" w:hAnsi="方正仿宋_GBK" w:eastAsia="方正仿宋_GBK"/>
          <w:color w:val="000000" w:themeColor="text1"/>
          <w:sz w:val="32"/>
          <w:szCs w:val="32"/>
          <w14:textFill>
            <w14:solidFill>
              <w14:schemeClr w14:val="tx1"/>
            </w14:solidFill>
          </w14:textFill>
        </w:rPr>
        <w:t>等专项资金</w:t>
      </w:r>
      <w:r>
        <w:rPr>
          <w:rFonts w:hint="eastAsia" w:ascii="Times New Roman" w:hAnsi="方正仿宋_GBK" w:eastAsia="方正仿宋_GBK"/>
          <w:color w:val="000000" w:themeColor="text1"/>
          <w:sz w:val="32"/>
          <w:szCs w:val="32"/>
          <w14:textFill>
            <w14:solidFill>
              <w14:schemeClr w14:val="tx1"/>
            </w14:solidFill>
          </w14:textFill>
        </w:rPr>
        <w:t>。</w:t>
      </w:r>
    </w:p>
    <w:p>
      <w:pPr>
        <w:pStyle w:val="4"/>
        <w:widowControl/>
        <w:adjustRightInd w:val="0"/>
        <w:snapToGrid w:val="0"/>
        <w:spacing w:beforeAutospacing="0" w:afterAutospacing="0" w:line="594" w:lineRule="exact"/>
        <w:ind w:right="75" w:firstLine="640" w:firstLineChars="200"/>
        <w:rPr>
          <w:rFonts w:eastAsia="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（7）城乡社区支出480.88万元，占6.6%，较年初预算数减少91.38万元，下降16%，主要原因是城区环卫管护等支出2023年支付。</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（8）农林水支出3,394.41万元，占46.6%，较年初预算数增加3,259.44万元，增长2414.9%，主要原因是</w:t>
      </w:r>
      <w:r>
        <w:rPr>
          <w:rFonts w:ascii="Times New Roman" w:hAnsi="方正仿宋_GBK" w:eastAsia="方正仿宋_GBK"/>
          <w:color w:val="000000" w:themeColor="text1"/>
          <w:sz w:val="32"/>
          <w:szCs w:val="32"/>
          <w14:textFill>
            <w14:solidFill>
              <w14:schemeClr w14:val="tx1"/>
            </w14:solidFill>
          </w14:textFill>
        </w:rPr>
        <w:t>部门划转的转移支付纳入决算，主要包括</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2022年市财政衔接推进乡村振兴补助资金、2022年农村综合改革</w:t>
      </w:r>
      <w:r>
        <w:rPr>
          <w:rFonts w:ascii="Times New Roman" w:hAnsi="方正仿宋_GBK" w:eastAsia="方正仿宋_GBK"/>
          <w:color w:val="000000" w:themeColor="text1"/>
          <w:sz w:val="32"/>
          <w:szCs w:val="32"/>
          <w14:textFill>
            <w14:solidFill>
              <w14:schemeClr w14:val="tx1"/>
            </w14:solidFill>
          </w14:textFill>
        </w:rPr>
        <w:t>等专项资金</w:t>
      </w:r>
      <w:r>
        <w:rPr>
          <w:rFonts w:hint="eastAsia" w:ascii="Times New Roman" w:hAnsi="方正仿宋_GBK" w:eastAsia="方正仿宋_GBK"/>
          <w:color w:val="000000" w:themeColor="text1"/>
          <w:sz w:val="32"/>
          <w:szCs w:val="32"/>
          <w14:textFill>
            <w14:solidFill>
              <w14:schemeClr w14:val="tx1"/>
            </w14:solidFill>
          </w14:textFill>
        </w:rPr>
        <w:t>。</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（9）交通运输支出377.40万元，占5.2%，较年初预算数增加377.40万元，增长100%，主要原因是</w:t>
      </w:r>
      <w:r>
        <w:rPr>
          <w:rFonts w:ascii="Times New Roman" w:hAnsi="方正仿宋_GBK" w:eastAsia="方正仿宋_GBK"/>
          <w:color w:val="000000" w:themeColor="text1"/>
          <w:sz w:val="32"/>
          <w:szCs w:val="32"/>
          <w14:textFill>
            <w14:solidFill>
              <w14:schemeClr w14:val="tx1"/>
            </w14:solidFill>
          </w14:textFill>
        </w:rPr>
        <w:t>部门划转的转移支付纳入决算，</w:t>
      </w:r>
      <w:r>
        <w:rPr>
          <w:rFonts w:hint="eastAsia" w:ascii="Times New Roman" w:hAnsi="方正仿宋_GBK" w:eastAsia="方正仿宋_GBK"/>
          <w:color w:val="000000" w:themeColor="text1"/>
          <w:sz w:val="32"/>
          <w:szCs w:val="32"/>
          <w14:textFill>
            <w14:solidFill>
              <w14:schemeClr w14:val="tx1"/>
            </w14:solidFill>
          </w14:textFill>
        </w:rPr>
        <w:t>主要包括四好农村公路项目专项资金。</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（10）自然资源海洋气象等支出11.45万元，占0.2%，较年初预算数增加11.45万元，增长100%，</w:t>
      </w:r>
      <w:r>
        <w:rPr>
          <w:rFonts w:ascii="Times New Roman" w:hAnsi="Times New Roman" w:eastAsia="方正仿宋_GBK"/>
          <w:color w:val="000000" w:themeColor="text1"/>
          <w:sz w:val="32"/>
          <w:szCs w:val="32"/>
          <w14:textFill>
            <w14:solidFill>
              <w14:schemeClr w14:val="tx1"/>
            </w14:solidFill>
          </w14:textFill>
        </w:rPr>
        <w:t>主要原因是</w:t>
      </w:r>
      <w:r>
        <w:rPr>
          <w:rFonts w:ascii="Times New Roman" w:hAnsi="方正仿宋_GBK" w:eastAsia="方正仿宋_GBK"/>
          <w:color w:val="000000" w:themeColor="text1"/>
          <w:sz w:val="32"/>
          <w:szCs w:val="32"/>
          <w14:textFill>
            <w14:solidFill>
              <w14:schemeClr w14:val="tx1"/>
            </w14:solidFill>
          </w14:textFill>
        </w:rPr>
        <w:t>部门划转的转移支付纳入决算，例如矿山生态修复专项资金等。</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（11）住房保障支出88.83万元，占1.2%，较年初预算数增加44.83万元，增长101.9%，主要原因是增加新进职工公积金和住房公积金基数调整后补缴。</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（12）灾害防治及应急管理支出461.75万元，占6.3%，较年初预算数增加436.45万元，增长1725.1%，主要原因是</w:t>
      </w:r>
      <w:r>
        <w:rPr>
          <w:rFonts w:ascii="Times New Roman" w:hAnsi="方正仿宋_GBK" w:eastAsia="方正仿宋_GBK"/>
          <w:color w:val="000000" w:themeColor="text1"/>
          <w:sz w:val="32"/>
          <w:szCs w:val="32"/>
          <w14:textFill>
            <w14:solidFill>
              <w14:schemeClr w14:val="tx1"/>
            </w14:solidFill>
          </w14:textFill>
        </w:rPr>
        <w:t>部门划转的转移支付纳入决算，例如地质灾害</w:t>
      </w:r>
      <w:r>
        <w:rPr>
          <w:rFonts w:hint="eastAsia" w:ascii="Times New Roman" w:hAnsi="方正仿宋_GBK" w:eastAsia="方正仿宋_GBK"/>
          <w:color w:val="000000" w:themeColor="text1"/>
          <w:sz w:val="32"/>
          <w:szCs w:val="32"/>
          <w14:textFill>
            <w14:solidFill>
              <w14:schemeClr w14:val="tx1"/>
            </w14:solidFill>
          </w14:textFill>
        </w:rPr>
        <w:t>补助</w:t>
      </w:r>
      <w:r>
        <w:rPr>
          <w:rFonts w:ascii="Times New Roman" w:hAnsi="方正仿宋_GBK" w:eastAsia="方正仿宋_GBK"/>
          <w:color w:val="000000" w:themeColor="text1"/>
          <w:sz w:val="32"/>
          <w:szCs w:val="32"/>
          <w14:textFill>
            <w14:solidFill>
              <w14:schemeClr w14:val="tx1"/>
            </w14:solidFill>
          </w14:textFill>
        </w:rPr>
        <w:t>专项资金。</w:t>
      </w:r>
    </w:p>
    <w:p>
      <w:pPr>
        <w:pStyle w:val="4"/>
        <w:widowControl/>
        <w:adjustRightInd w:val="0"/>
        <w:snapToGrid w:val="0"/>
        <w:spacing w:beforeAutospacing="0" w:afterAutospacing="0" w:line="594" w:lineRule="exact"/>
        <w:ind w:right="75"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（四）一般公共预算财政拨款基本支出决算情况说明</w:t>
      </w:r>
    </w:p>
    <w:p>
      <w:pPr>
        <w:pStyle w:val="4"/>
        <w:shd w:val="clear" w:color="auto" w:fill="FFFFFF"/>
        <w:adjustRightInd w:val="0"/>
        <w:snapToGrid w:val="0"/>
        <w:spacing w:beforeAutospacing="0" w:afterAutospacing="0" w:line="594" w:lineRule="exact"/>
        <w:ind w:firstLine="640" w:firstLineChars="200"/>
        <w:jc w:val="both"/>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2022年度一般公共预算财政拨款基本支出1,532.62万元。其中：人员经费1,151.85万元，较上年决算数增加71.35万元，增长6.6%，主要原因是2022年人员调整新进职工较多。人员经费用途主要包括</w:t>
      </w:r>
      <w:r>
        <w:rPr>
          <w:rFonts w:ascii="Times New Roman" w:hAnsi="方正仿宋_GBK" w:eastAsia="方正仿宋_GBK"/>
          <w:color w:val="000000" w:themeColor="text1"/>
          <w:sz w:val="32"/>
          <w:szCs w:val="32"/>
          <w14:textFill>
            <w14:solidFill>
              <w14:schemeClr w14:val="tx1"/>
            </w14:solidFill>
          </w14:textFill>
        </w:rPr>
        <w:t>基本工资、津贴补贴、奖金、社会保障缴费、职业年金、机关事业单位基本养老保险缴费、其他工资福利</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。公用经费380.77万元，较上年决算数减少97.32万元，下降20.4%，主要原因是疫情原因，减少培训费、会议费等公用经费支出。公用经费用途主要包括</w:t>
      </w:r>
      <w:r>
        <w:rPr>
          <w:rFonts w:ascii="Times New Roman" w:hAnsi="方正仿宋_GBK" w:eastAsia="方正仿宋_GBK"/>
          <w:color w:val="000000" w:themeColor="text1"/>
          <w:sz w:val="32"/>
          <w:szCs w:val="32"/>
          <w14:textFill>
            <w14:solidFill>
              <w14:schemeClr w14:val="tx1"/>
            </w14:solidFill>
          </w14:textFill>
        </w:rPr>
        <w:t>办公费、印刷费、咨询费、手续费、水费、电费、邮电费、差旅费、维修费、租赁费、会议费、培训费、劳务费、公务接待费、公务用车运行维护费、其他交通费、其他商品服务支出。</w:t>
      </w:r>
    </w:p>
    <w:p>
      <w:pPr>
        <w:pStyle w:val="4"/>
        <w:widowControl/>
        <w:adjustRightInd w:val="0"/>
        <w:snapToGrid w:val="0"/>
        <w:spacing w:beforeAutospacing="0" w:afterAutospacing="0" w:line="594" w:lineRule="exact"/>
        <w:ind w:firstLine="640" w:firstLineChars="200"/>
        <w:rPr>
          <w:rStyle w:val="7"/>
          <w:rFonts w:ascii="方正仿宋_GBK" w:hAnsi="方正楷体_GBK" w:eastAsia="方正仿宋_GBK" w:cs="方正楷体_GBK"/>
          <w:b w:val="0"/>
          <w:color w:val="000000" w:themeColor="text1"/>
          <w:sz w:val="32"/>
          <w:szCs w:val="32"/>
          <w:shd w:val="clear" w:color="auto" w:fill="FFFFFF"/>
          <w14:textFill>
            <w14:solidFill>
              <w14:schemeClr w14:val="tx1"/>
            </w14:solidFill>
          </w14:textFill>
        </w:rPr>
      </w:pPr>
      <w:r>
        <w:rPr>
          <w:rStyle w:val="7"/>
          <w:rFonts w:hint="eastAsia" w:ascii="方正仿宋_GBK" w:hAnsi="方正楷体_GBK" w:eastAsia="方正仿宋_GBK" w:cs="方正楷体_GBK"/>
          <w:b w:val="0"/>
          <w:color w:val="000000" w:themeColor="text1"/>
          <w:sz w:val="32"/>
          <w:szCs w:val="32"/>
          <w:shd w:val="clear" w:color="auto" w:fill="FFFFFF"/>
          <w14:textFill>
            <w14:solidFill>
              <w14:schemeClr w14:val="tx1"/>
            </w14:solidFill>
          </w14:textFill>
        </w:rPr>
        <w:t>（五）政府性基金预算收支决算情况说明。</w:t>
      </w:r>
    </w:p>
    <w:p>
      <w:pPr>
        <w:pStyle w:val="4"/>
        <w:widowControl/>
        <w:adjustRightInd w:val="0"/>
        <w:snapToGrid w:val="0"/>
        <w:spacing w:beforeAutospacing="0" w:afterAutospacing="0"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政府性基金预算财政拨款年初结转结余0.00万元，年末结转结余0.00万元。本年收入293.02万元，较上年决算数减少482.84万元，下降62.2%，主要原因是上级部门划转的专项经费减少。本年支出293.02万元，较上年决算数减少482.84万元，下降62.2%，主要原因是上级部门划转的专项经费减少。</w:t>
      </w:r>
    </w:p>
    <w:p>
      <w:pPr>
        <w:pStyle w:val="4"/>
        <w:widowControl/>
        <w:adjustRightInd w:val="0"/>
        <w:snapToGrid w:val="0"/>
        <w:spacing w:beforeAutospacing="0" w:afterAutospacing="0" w:line="594" w:lineRule="exact"/>
        <w:ind w:firstLine="640" w:firstLineChars="200"/>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（六）国有资本经营预算财政拨款支出决算情况说明。</w:t>
      </w:r>
    </w:p>
    <w:p>
      <w:pPr>
        <w:pStyle w:val="4"/>
        <w:widowControl/>
        <w:adjustRightInd w:val="0"/>
        <w:snapToGrid w:val="0"/>
        <w:spacing w:beforeAutospacing="0" w:afterAutospacing="0" w:line="594" w:lineRule="exact"/>
        <w:ind w:firstLine="640"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本部门2022年度无国有资本经营预算财政拨款支出。</w:t>
      </w:r>
    </w:p>
    <w:p>
      <w:pPr>
        <w:pStyle w:val="4"/>
        <w:widowControl/>
        <w:adjustRightInd w:val="0"/>
        <w:snapToGrid w:val="0"/>
        <w:spacing w:beforeAutospacing="0" w:afterAutospacing="0" w:line="594" w:lineRule="exact"/>
        <w:ind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Style w:val="7"/>
          <w:rFonts w:hint="eastAsia" w:ascii="方正黑体_GBK" w:hAnsi="方正黑体_GBK" w:eastAsia="方正黑体_GBK" w:cs="方正黑体_GBK"/>
          <w:b w:val="0"/>
          <w:color w:val="000000" w:themeColor="text1"/>
          <w:sz w:val="32"/>
          <w:szCs w:val="32"/>
          <w:shd w:val="clear" w:color="auto" w:fill="FFFFFF"/>
          <w14:textFill>
            <w14:solidFill>
              <w14:schemeClr w14:val="tx1"/>
            </w14:solidFill>
          </w14:textFill>
        </w:rPr>
        <w:t>三、“三公”经费情况说明</w:t>
      </w:r>
    </w:p>
    <w:p>
      <w:pPr>
        <w:pStyle w:val="4"/>
        <w:widowControl/>
        <w:adjustRightInd w:val="0"/>
        <w:snapToGrid w:val="0"/>
        <w:spacing w:beforeAutospacing="0" w:afterAutospacing="0" w:line="594" w:lineRule="exact"/>
        <w:ind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（一）“三公”经费支出总体情况说明</w:t>
      </w:r>
    </w:p>
    <w:p>
      <w:pPr>
        <w:pStyle w:val="4"/>
        <w:widowControl/>
        <w:adjustRightInd w:val="0"/>
        <w:snapToGrid w:val="0"/>
        <w:spacing w:beforeAutospacing="0" w:afterAutospacing="0"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三公”经费支出共计14.37万元，较年初预算数减少2.03万元，下降12.4%，主要原因是疫情原因，减少公务接待等支出。较上年支出数增加1.32万元，增长10.1%，主要原因是2022年司法编制车辆1辆纳入我单位公务用车核算，造成公务用车维护费增加。</w:t>
      </w:r>
    </w:p>
    <w:p>
      <w:pPr>
        <w:pStyle w:val="4"/>
        <w:widowControl/>
        <w:adjustRightInd w:val="0"/>
        <w:snapToGrid w:val="0"/>
        <w:spacing w:beforeAutospacing="0" w:afterAutospacing="0" w:line="594" w:lineRule="exact"/>
        <w:ind w:right="75" w:firstLine="640" w:firstLineChars="200"/>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（二）“三公”经费分项支出情况</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2022年度本部门因公出国（境）费用0.00万元，与上年支出和本年年初预算一致。原因是2021年、2022年均未发生因公出国（境）活动。</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2022年度本部门公务车购置费0.00万元，与上年支出和本年年初预算一致。原因是2021年、2022年均未购置公务车。</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公务车运行维护费14.37万元，主要用于</w:t>
      </w:r>
      <w:r>
        <w:rPr>
          <w:rFonts w:ascii="Times New Roman" w:hAnsi="方正仿宋_GBK" w:eastAsia="方正仿宋_GBK"/>
          <w:color w:val="000000" w:themeColor="text1"/>
          <w:sz w:val="32"/>
          <w:szCs w:val="32"/>
          <w:shd w:val="clear" w:color="auto" w:fill="FFFFFF"/>
          <w14:textFill>
            <w14:solidFill>
              <w14:schemeClr w14:val="tx1"/>
            </w14:solidFill>
          </w14:textFill>
        </w:rPr>
        <w:t>机要文件交换</w:t>
      </w:r>
      <w:r>
        <w:rPr>
          <w:rFonts w:hint="eastAsia" w:ascii="Times New Roman" w:hAnsi="方正仿宋_GBK" w:eastAsia="方正仿宋_GBK"/>
          <w:color w:val="000000" w:themeColor="text1"/>
          <w:sz w:val="32"/>
          <w:szCs w:val="32"/>
          <w:shd w:val="clear" w:color="auto" w:fill="FFFFFF"/>
          <w14:textFill>
            <w14:solidFill>
              <w14:schemeClr w14:val="tx1"/>
            </w14:solidFill>
          </w14:textFill>
        </w:rPr>
        <w:t>，</w:t>
      </w:r>
      <w:r>
        <w:rPr>
          <w:rFonts w:ascii="Times New Roman" w:hAnsi="方正仿宋_GBK" w:eastAsia="方正仿宋_GBK"/>
          <w:color w:val="000000" w:themeColor="text1"/>
          <w:sz w:val="32"/>
          <w:szCs w:val="32"/>
          <w:shd w:val="clear" w:color="auto" w:fill="FFFFFF"/>
          <w14:textFill>
            <w14:solidFill>
              <w14:schemeClr w14:val="tx1"/>
            </w14:solidFill>
          </w14:textFill>
        </w:rPr>
        <w:t>市、区内因公出行、</w:t>
      </w:r>
      <w:r>
        <w:rPr>
          <w:rFonts w:hint="eastAsia" w:ascii="Times New Roman" w:hAnsi="方正仿宋_GBK" w:eastAsia="方正仿宋_GBK"/>
          <w:color w:val="000000" w:themeColor="text1"/>
          <w:sz w:val="32"/>
          <w:szCs w:val="32"/>
          <w:shd w:val="clear" w:color="auto" w:fill="FFFFFF"/>
          <w14:textFill>
            <w14:solidFill>
              <w14:schemeClr w14:val="tx1"/>
            </w14:solidFill>
          </w14:textFill>
        </w:rPr>
        <w:t>森林防火巡查</w:t>
      </w:r>
      <w:r>
        <w:rPr>
          <w:rFonts w:ascii="Times New Roman" w:hAnsi="方正仿宋_GBK" w:eastAsia="方正仿宋_GBK"/>
          <w:color w:val="000000" w:themeColor="text1"/>
          <w:sz w:val="32"/>
          <w:szCs w:val="32"/>
          <w:shd w:val="clear" w:color="auto" w:fill="FFFFFF"/>
          <w14:textFill>
            <w14:solidFill>
              <w14:schemeClr w14:val="tx1"/>
            </w14:solidFill>
          </w14:textFill>
        </w:rPr>
        <w:t>等工作所需车辆的燃料费、维修费、过桥过路费、保险费等</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。费用支出较年初预算数减少0.03万元，下降0.2%，主要原因是</w:t>
      </w:r>
      <w:r>
        <w:rPr>
          <w:rFonts w:ascii="Times New Roman" w:hAnsi="方正仿宋_GBK" w:eastAsia="方正仿宋_GBK"/>
          <w:color w:val="000000" w:themeColor="text1"/>
          <w:sz w:val="32"/>
          <w:szCs w:val="32"/>
          <w14:textFill>
            <w14:solidFill>
              <w14:schemeClr w14:val="tx1"/>
            </w14:solidFill>
          </w14:textFill>
        </w:rPr>
        <w:t>进一步落实规范公务车管理要求，</w:t>
      </w:r>
      <w:r>
        <w:rPr>
          <w:rFonts w:ascii="Times New Roman" w:hAnsi="方正仿宋_GBK" w:eastAsia="方正仿宋_GBK"/>
          <w:color w:val="000000" w:themeColor="text1"/>
          <w:sz w:val="32"/>
          <w:szCs w:val="32"/>
          <w:shd w:val="clear" w:color="auto" w:fill="FFFFFF"/>
          <w14:textFill>
            <w14:solidFill>
              <w14:schemeClr w14:val="tx1"/>
            </w14:solidFill>
          </w14:textFill>
        </w:rPr>
        <w:t>公车运行维护成本下降</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。较上年支出数增加3.00万元，增长26.4%，主要原因是2022年司法编制车辆1辆纳入我单位公务用车核算，造成公务用车维护费增加。</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公务接待费0.00万元，费用支出较年初预算数减少2.00万元，下降100%，主要原因是疫情原因，2022年未发生公务接待事项。较上年支出数减少1.68万元，下降100%，主要是因为疫情原因，2022年未发生公务接待事项。</w:t>
      </w:r>
    </w:p>
    <w:p>
      <w:pPr>
        <w:pStyle w:val="4"/>
        <w:widowControl/>
        <w:adjustRightInd w:val="0"/>
        <w:snapToGrid w:val="0"/>
        <w:spacing w:beforeAutospacing="0" w:afterAutospacing="0" w:line="594" w:lineRule="exact"/>
        <w:ind w:right="75"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（三）“三公”经费实物量情况</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本部门因公出国（境）共计0个团组，0人；公务用车购置0辆，公务车保有量为6辆；国内公务接待0批次0人，其中：国内外事接待0批次，0人；国（境）外公务接待0批次，0人。2022年本部门人均接待费0.00元，车均购置费0.00万元，车均维护费2.40万元。</w:t>
      </w:r>
    </w:p>
    <w:p>
      <w:pPr>
        <w:pStyle w:val="4"/>
        <w:widowControl/>
        <w:adjustRightInd w:val="0"/>
        <w:snapToGrid w:val="0"/>
        <w:spacing w:beforeAutospacing="0" w:afterAutospacing="0" w:line="594" w:lineRule="exact"/>
        <w:ind w:right="75"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Style w:val="7"/>
          <w:rFonts w:hint="eastAsia" w:ascii="方正黑体_GBK" w:hAnsi="方正黑体_GBK" w:eastAsia="方正黑体_GBK" w:cs="方正黑体_GBK"/>
          <w:b w:val="0"/>
          <w:color w:val="000000" w:themeColor="text1"/>
          <w:sz w:val="32"/>
          <w:szCs w:val="32"/>
          <w:shd w:val="clear" w:color="auto" w:fill="FFFFFF"/>
          <w14:textFill>
            <w14:solidFill>
              <w14:schemeClr w14:val="tx1"/>
            </w14:solidFill>
          </w14:textFill>
        </w:rPr>
        <w:t>四、其他需要说明的事项</w:t>
      </w:r>
    </w:p>
    <w:p>
      <w:pPr>
        <w:pStyle w:val="4"/>
        <w:widowControl/>
        <w:adjustRightInd w:val="0"/>
        <w:snapToGrid w:val="0"/>
        <w:spacing w:beforeAutospacing="0" w:afterAutospacing="0" w:line="594" w:lineRule="exact"/>
        <w:ind w:right="75"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（一）财政拨款会议费和培训费情况说明</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年度会议费支出3.11万元，较上年决算数减少9.02万元，下降74.4%，主要原因是疫情原因，提倡线上会议，减少线下会议。本年度培训费支出0.49万元，较上年决算数减少1.68万元，下降77.4%，主要原因是疫情原因，减少线下培训。</w:t>
      </w:r>
    </w:p>
    <w:p>
      <w:pPr>
        <w:pStyle w:val="4"/>
        <w:widowControl/>
        <w:adjustRightInd w:val="0"/>
        <w:snapToGrid w:val="0"/>
        <w:spacing w:beforeAutospacing="0" w:afterAutospacing="0" w:line="594" w:lineRule="exact"/>
        <w:ind w:right="75" w:firstLine="640" w:firstLineChars="200"/>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（二）机关运行经费支出情况说明</w:t>
      </w:r>
    </w:p>
    <w:p>
      <w:pPr>
        <w:pStyle w:val="4"/>
        <w:widowControl/>
        <w:adjustRightInd w:val="0"/>
        <w:snapToGrid w:val="0"/>
        <w:spacing w:beforeAutospacing="0" w:afterAutospacing="0" w:line="594" w:lineRule="exact"/>
        <w:ind w:right="75" w:firstLine="640" w:firstLineChars="200"/>
        <w:rPr>
          <w:rFonts w:ascii="Times New Roman" w:hAnsi="方正仿宋_GBK" w:eastAsia="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2022年度本部门机关运行经费支出378.06万元，主要用于开支办公费、印刷费、咨询费、手续费、水费、电费、邮电费、差旅费、维修费、租赁费、会议费、培训费、劳务费、公务</w:t>
      </w:r>
      <w:r>
        <w:rPr>
          <w:rFonts w:ascii="Times New Roman" w:hAnsi="方正仿宋_GBK" w:eastAsia="方正仿宋_GBK"/>
          <w:color w:val="000000" w:themeColor="text1"/>
          <w:sz w:val="32"/>
          <w:szCs w:val="32"/>
          <w:shd w:val="clear" w:color="auto" w:fill="FFFFFF"/>
          <w14:textFill>
            <w14:solidFill>
              <w14:schemeClr w14:val="tx1"/>
            </w14:solidFill>
          </w14:textFill>
        </w:rPr>
        <w:t>接待费、公务用车运行维护费、其他交通费、其他商品服务支出。机关运行经费较上年决算数减少32.40万元，下降7.9%，主要原因</w:t>
      </w:r>
      <w:r>
        <w:rPr>
          <w:rFonts w:hint="eastAsia" w:ascii="Times New Roman" w:hAnsi="方正仿宋_GBK" w:eastAsia="方正仿宋_GBK"/>
          <w:color w:val="000000" w:themeColor="text1"/>
          <w:sz w:val="32"/>
          <w:szCs w:val="32"/>
          <w:shd w:val="clear" w:color="auto" w:fill="FFFFFF"/>
          <w14:textFill>
            <w14:solidFill>
              <w14:schemeClr w14:val="tx1"/>
            </w14:solidFill>
          </w14:textFill>
        </w:rPr>
        <w:t>：</w:t>
      </w:r>
      <w:r>
        <w:rPr>
          <w:rFonts w:ascii="Times New Roman" w:hAnsi="方正仿宋_GBK" w:eastAsia="方正仿宋_GBK"/>
          <w:color w:val="000000" w:themeColor="text1"/>
          <w:sz w:val="32"/>
          <w:szCs w:val="32"/>
          <w14:textFill>
            <w14:solidFill>
              <w14:schemeClr w14:val="tx1"/>
            </w14:solidFill>
          </w14:textFill>
        </w:rPr>
        <w:t>一是认真贯彻落实中央八项规定精神和厉行节约要求，按照只减不增的要求从严控制三公经费，全年实际支出较预算和上年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w:t>
      </w:r>
      <w:r>
        <w:rPr>
          <w:rFonts w:ascii="Times New Roman" w:hAnsi="Times New Roman" w:eastAsia="方正仿宋_GBK"/>
          <w:color w:val="000000" w:themeColor="text1"/>
          <w:sz w:val="32"/>
          <w:szCs w:val="32"/>
          <w14:textFill>
            <w14:solidFill>
              <w14:schemeClr w14:val="tx1"/>
            </w14:solidFill>
          </w14:textFill>
        </w:rPr>
        <w:t>202</w:t>
      </w:r>
      <w:r>
        <w:rPr>
          <w:rFonts w:hint="eastAsia" w:ascii="Times New Roman" w:hAnsi="Times New Roman" w:eastAsia="方正仿宋_GBK"/>
          <w:color w:val="000000" w:themeColor="text1"/>
          <w:sz w:val="32"/>
          <w:szCs w:val="32"/>
          <w14:textFill>
            <w14:solidFill>
              <w14:schemeClr w14:val="tx1"/>
            </w14:solidFill>
          </w14:textFill>
        </w:rPr>
        <w:t>2</w:t>
      </w:r>
      <w:r>
        <w:rPr>
          <w:rFonts w:ascii="Times New Roman" w:hAnsi="方正仿宋_GBK" w:eastAsia="方正仿宋_GBK"/>
          <w:color w:val="000000" w:themeColor="text1"/>
          <w:sz w:val="32"/>
          <w:szCs w:val="32"/>
          <w14:textFill>
            <w14:solidFill>
              <w14:schemeClr w14:val="tx1"/>
            </w14:solidFill>
          </w14:textFill>
        </w:rPr>
        <w:t>年没有因公出国（境）活动</w:t>
      </w:r>
      <w:r>
        <w:rPr>
          <w:rFonts w:hint="eastAsia" w:ascii="Times New Roman" w:hAnsi="方正仿宋_GBK" w:eastAsia="方正仿宋_GBK"/>
          <w:color w:val="000000" w:themeColor="text1"/>
          <w:sz w:val="32"/>
          <w:szCs w:val="32"/>
          <w14:textFill>
            <w14:solidFill>
              <w14:schemeClr w14:val="tx1"/>
            </w14:solidFill>
          </w14:textFill>
        </w:rPr>
        <w:t>；五是疫情期间，严格按照疫情有关规定，取消线下会议、培训等</w:t>
      </w:r>
      <w:r>
        <w:rPr>
          <w:rFonts w:ascii="Times New Roman" w:hAnsi="方正仿宋_GBK" w:eastAsia="方正仿宋_GBK"/>
          <w:color w:val="000000" w:themeColor="text1"/>
          <w:sz w:val="32"/>
          <w:szCs w:val="32"/>
          <w:shd w:val="clear" w:color="auto" w:fill="FFFFFF"/>
          <w14:textFill>
            <w14:solidFill>
              <w14:schemeClr w14:val="tx1"/>
            </w14:solidFill>
          </w14:textFill>
        </w:rPr>
        <w:t>。</w:t>
      </w:r>
    </w:p>
    <w:p>
      <w:pPr>
        <w:pStyle w:val="4"/>
        <w:widowControl/>
        <w:adjustRightInd w:val="0"/>
        <w:snapToGrid w:val="0"/>
        <w:spacing w:beforeAutospacing="0" w:afterAutospacing="0" w:line="594" w:lineRule="exact"/>
        <w:ind w:right="75" w:firstLine="640" w:firstLineChars="200"/>
        <w:rPr>
          <w:rFonts w:ascii="方正楷体_GBK" w:hAnsi="方正楷体_GBK" w:eastAsia="方正楷体_GBK" w:cs="方正楷体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（三）国有资产占用情况说明</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截至2022年12月31日，本部门共有车辆6辆，其中，副部（省）级及以上领导用车0辆、主要领导干部用车0辆、机要通信用车1辆、应急保障用车3辆、执法执勤用车0辆，特种专业技术用车2辆，离退休干部用车0辆，其他用车0辆。单价100万元（含）以上设备（不含车辆）0台（套）。</w:t>
      </w:r>
    </w:p>
    <w:p>
      <w:pPr>
        <w:pStyle w:val="4"/>
        <w:widowControl/>
        <w:adjustRightInd w:val="0"/>
        <w:snapToGrid w:val="0"/>
        <w:spacing w:beforeAutospacing="0" w:afterAutospacing="0" w:line="594" w:lineRule="exact"/>
        <w:ind w:right="75" w:firstLine="640" w:firstLineChars="200"/>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（四）政府采购支出说明</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本部门政府采购支出总额162.87万元，其中：政府采购货物支出15.99万元、政府采购工程支出0.00万元、政府采购服务支出146.87万元。授予中小企业合同金额148.22万元，占政府采购支出总额的91%，其中：授予小微企业合同金额148.22万元，占政府采购支出总额的91%。主要用于采购辖区环卫管护、办公设备等。</w:t>
      </w:r>
    </w:p>
    <w:p>
      <w:pPr>
        <w:pStyle w:val="4"/>
        <w:widowControl/>
        <w:adjustRightInd w:val="0"/>
        <w:snapToGrid w:val="0"/>
        <w:spacing w:beforeAutospacing="0" w:afterAutospacing="0" w:line="594" w:lineRule="exact"/>
        <w:ind w:right="75" w:firstLine="640" w:firstLineChars="200"/>
        <w:rPr>
          <w:rStyle w:val="7"/>
          <w:rFonts w:ascii="方正黑体_GBK" w:hAnsi="方正黑体_GBK" w:eastAsia="方正黑体_GBK" w:cs="方正黑体_GBK"/>
          <w:b w:val="0"/>
          <w:color w:val="000000" w:themeColor="text1"/>
          <w:sz w:val="32"/>
          <w:szCs w:val="32"/>
          <w:shd w:val="clear" w:color="auto" w:fill="FFFFFF"/>
          <w14:textFill>
            <w14:solidFill>
              <w14:schemeClr w14:val="tx1"/>
            </w14:solidFill>
          </w14:textFill>
        </w:rPr>
      </w:pPr>
      <w:r>
        <w:rPr>
          <w:rStyle w:val="7"/>
          <w:rFonts w:hint="eastAsia" w:ascii="方正黑体_GBK" w:hAnsi="方正黑体_GBK" w:eastAsia="方正黑体_GBK" w:cs="方正黑体_GBK"/>
          <w:b w:val="0"/>
          <w:color w:val="000000" w:themeColor="text1"/>
          <w:sz w:val="32"/>
          <w:szCs w:val="32"/>
          <w:shd w:val="clear" w:color="auto" w:fill="FFFFFF"/>
          <w14:textFill>
            <w14:solidFill>
              <w14:schemeClr w14:val="tx1"/>
            </w14:solidFill>
          </w14:textFill>
        </w:rPr>
        <w:t>五、预算绩效管理情况说明</w:t>
      </w: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（一）预算绩效管理工作开展情况</w:t>
      </w: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根据预算绩效管理要求，我单位对部门整体和107个项目开展了绩效自评，其中，以填报自评表形式开展自评107项，涉及资金7577.85万元；以委托第三方出具报告的方式开展绩效评价0项，涉及资金0万元。</w:t>
      </w: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pPr>
    </w:p>
    <w:tbl>
      <w:tblPr>
        <w:tblStyle w:val="5"/>
        <w:tblW w:w="9044" w:type="dxa"/>
        <w:tblInd w:w="0" w:type="dxa"/>
        <w:tblLayout w:type="fixed"/>
        <w:tblCellMar>
          <w:top w:w="15" w:type="dxa"/>
          <w:left w:w="15" w:type="dxa"/>
          <w:bottom w:w="15" w:type="dxa"/>
          <w:right w:w="15" w:type="dxa"/>
        </w:tblCellMar>
      </w:tblPr>
      <w:tblGrid>
        <w:gridCol w:w="1024"/>
        <w:gridCol w:w="73"/>
        <w:gridCol w:w="85"/>
        <w:gridCol w:w="631"/>
        <w:gridCol w:w="500"/>
        <w:gridCol w:w="189"/>
        <w:gridCol w:w="194"/>
        <w:gridCol w:w="526"/>
        <w:gridCol w:w="625"/>
        <w:gridCol w:w="290"/>
        <w:gridCol w:w="560"/>
        <w:gridCol w:w="221"/>
        <w:gridCol w:w="329"/>
        <w:gridCol w:w="506"/>
        <w:gridCol w:w="305"/>
        <w:gridCol w:w="314"/>
        <w:gridCol w:w="141"/>
        <w:gridCol w:w="77"/>
        <w:gridCol w:w="382"/>
        <w:gridCol w:w="91"/>
        <w:gridCol w:w="483"/>
        <w:gridCol w:w="501"/>
        <w:gridCol w:w="291"/>
        <w:gridCol w:w="706"/>
      </w:tblGrid>
      <w:tr>
        <w:tblPrEx>
          <w:tblCellMar>
            <w:top w:w="15" w:type="dxa"/>
            <w:left w:w="15" w:type="dxa"/>
            <w:bottom w:w="15" w:type="dxa"/>
            <w:right w:w="15" w:type="dxa"/>
          </w:tblCellMar>
        </w:tblPrEx>
        <w:trPr>
          <w:trHeight w:val="795" w:hRule="atLeast"/>
        </w:trPr>
        <w:tc>
          <w:tcPr>
            <w:tcW w:w="904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outlineLvl w:val="9"/>
              <w:rPr>
                <w:rFonts w:ascii="微软雅黑" w:hAnsi="微软雅黑" w:eastAsia="微软雅黑" w:cs="微软雅黑"/>
                <w:b/>
                <w:color w:val="000000" w:themeColor="text1"/>
                <w:kern w:val="0"/>
                <w:sz w:val="40"/>
                <w:szCs w:val="40"/>
                <w14:textFill>
                  <w14:solidFill>
                    <w14:schemeClr w14:val="tx1"/>
                  </w14:solidFill>
                </w14:textFill>
              </w:rPr>
            </w:pPr>
            <w:r>
              <w:rPr>
                <w:rFonts w:hint="eastAsia" w:ascii="微软雅黑" w:hAnsi="微软雅黑" w:eastAsia="微软雅黑" w:cs="微软雅黑"/>
                <w:b/>
                <w:color w:val="000000" w:themeColor="text1"/>
                <w:kern w:val="0"/>
                <w:sz w:val="40"/>
                <w:szCs w:val="40"/>
                <w:lang w:bidi="ar"/>
                <w14:textFill>
                  <w14:solidFill>
                    <w14:schemeClr w14:val="tx1"/>
                  </w14:solidFill>
                </w14:textFill>
              </w:rPr>
              <w:t>2022年度部门整体绩效自评表</w:t>
            </w:r>
          </w:p>
        </w:tc>
      </w:tr>
      <w:tr>
        <w:tblPrEx>
          <w:tblCellMar>
            <w:top w:w="15" w:type="dxa"/>
            <w:left w:w="15" w:type="dxa"/>
            <w:bottom w:w="15" w:type="dxa"/>
            <w:right w:w="15" w:type="dxa"/>
          </w:tblCellMar>
        </w:tblPrEx>
        <w:trPr>
          <w:trHeight w:val="49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项目名称</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重庆市沙坪坝区中梁镇整体自评</w:t>
            </w: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项目编码</w:t>
            </w:r>
          </w:p>
        </w:tc>
        <w:tc>
          <w:tcPr>
            <w:tcW w:w="1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50010600022P000091</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自评总分</w:t>
            </w:r>
          </w:p>
        </w:tc>
        <w:tc>
          <w:tcPr>
            <w:tcW w:w="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98.60</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b/>
                <w:color w:val="000000" w:themeColor="text1"/>
                <w:kern w:val="0"/>
                <w:sz w:val="22"/>
                <w:szCs w:val="22"/>
                <w14:textFill>
                  <w14:solidFill>
                    <w14:schemeClr w14:val="tx1"/>
                  </w14:solidFill>
                </w14:textFill>
              </w:rPr>
            </w:pP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0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项目主管部门</w:t>
            </w:r>
          </w:p>
        </w:tc>
        <w:tc>
          <w:tcPr>
            <w:tcW w:w="12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902-重庆市沙坪坝区中梁镇</w:t>
            </w:r>
          </w:p>
        </w:tc>
        <w:tc>
          <w:tcPr>
            <w:tcW w:w="1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财政归口处室</w:t>
            </w:r>
          </w:p>
        </w:tc>
        <w:tc>
          <w:tcPr>
            <w:tcW w:w="14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003-预算科</w:t>
            </w:r>
          </w:p>
        </w:tc>
        <w:tc>
          <w:tcPr>
            <w:tcW w:w="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部门联系人</w:t>
            </w:r>
          </w:p>
        </w:tc>
        <w:tc>
          <w:tcPr>
            <w:tcW w:w="9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邱广诗</w:t>
            </w:r>
          </w:p>
        </w:tc>
        <w:tc>
          <w:tcPr>
            <w:tcW w:w="10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联系电话：</w:t>
            </w:r>
          </w:p>
        </w:tc>
        <w:tc>
          <w:tcPr>
            <w:tcW w:w="9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15823822182</w:t>
            </w:r>
          </w:p>
        </w:tc>
      </w:tr>
      <w:tr>
        <w:tblPrEx>
          <w:tblCellMar>
            <w:top w:w="15" w:type="dxa"/>
            <w:left w:w="15" w:type="dxa"/>
            <w:bottom w:w="15" w:type="dxa"/>
            <w:right w:w="15" w:type="dxa"/>
          </w:tblCellMar>
        </w:tblPrEx>
        <w:trPr>
          <w:trHeight w:val="600" w:hRule="atLeast"/>
        </w:trPr>
        <w:tc>
          <w:tcPr>
            <w:tcW w:w="904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kern w:val="0"/>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资金情况</w:t>
            </w:r>
          </w:p>
        </w:tc>
      </w:tr>
      <w:tr>
        <w:tblPrEx>
          <w:tblCellMar>
            <w:top w:w="15" w:type="dxa"/>
            <w:left w:w="15" w:type="dxa"/>
            <w:bottom w:w="15" w:type="dxa"/>
            <w:right w:w="15" w:type="dxa"/>
          </w:tblCellMar>
        </w:tblPrEx>
        <w:trPr>
          <w:trHeight w:val="49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16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年初预算数</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全年（调整）预算数</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全年执行数</w:t>
            </w: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执行率权重</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执行率得分</w:t>
            </w:r>
          </w:p>
        </w:tc>
      </w:tr>
      <w:tr>
        <w:tblPrEx>
          <w:tblCellMar>
            <w:top w:w="15" w:type="dxa"/>
            <w:left w:w="15" w:type="dxa"/>
            <w:bottom w:w="15" w:type="dxa"/>
            <w:right w:w="15" w:type="dxa"/>
          </w:tblCellMar>
        </w:tblPrEx>
        <w:trPr>
          <w:trHeight w:val="49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年度总金额</w:t>
            </w:r>
          </w:p>
        </w:tc>
        <w:tc>
          <w:tcPr>
            <w:tcW w:w="16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38,524,647.61</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88,149,944.28</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75,778,466.50</w:t>
            </w: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0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其中：财政拨款</w:t>
            </w:r>
          </w:p>
        </w:tc>
        <w:tc>
          <w:tcPr>
            <w:tcW w:w="167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38,524,647.61</w:t>
            </w:r>
          </w:p>
        </w:tc>
        <w:tc>
          <w:tcPr>
            <w:tcW w:w="2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88,149,944.28</w:t>
            </w:r>
          </w:p>
        </w:tc>
        <w:tc>
          <w:tcPr>
            <w:tcW w:w="18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75,778,466.50</w:t>
            </w:r>
          </w:p>
        </w:tc>
        <w:tc>
          <w:tcPr>
            <w:tcW w:w="10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86</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8.60</w:t>
            </w:r>
          </w:p>
        </w:tc>
      </w:tr>
      <w:tr>
        <w:tblPrEx>
          <w:tblCellMar>
            <w:top w:w="15" w:type="dxa"/>
            <w:left w:w="15" w:type="dxa"/>
            <w:bottom w:w="15" w:type="dxa"/>
            <w:right w:w="15" w:type="dxa"/>
          </w:tblCellMar>
        </w:tblPrEx>
        <w:trPr>
          <w:trHeight w:val="600" w:hRule="atLeast"/>
        </w:trPr>
        <w:tc>
          <w:tcPr>
            <w:tcW w:w="904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kern w:val="0"/>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绩效目标</w:t>
            </w:r>
          </w:p>
        </w:tc>
      </w:tr>
      <w:tr>
        <w:tblPrEx>
          <w:tblCellMar>
            <w:top w:w="15" w:type="dxa"/>
            <w:left w:w="15" w:type="dxa"/>
            <w:bottom w:w="15" w:type="dxa"/>
            <w:right w:w="15" w:type="dxa"/>
          </w:tblCellMar>
        </w:tblPrEx>
        <w:trPr>
          <w:trHeight w:val="495" w:hRule="atLeast"/>
        </w:trPr>
        <w:tc>
          <w:tcPr>
            <w:tcW w:w="26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年初绩效目标</w:t>
            </w:r>
          </w:p>
        </w:tc>
        <w:tc>
          <w:tcPr>
            <w:tcW w:w="38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全年（调整）绩效目标</w:t>
            </w:r>
          </w:p>
        </w:tc>
        <w:tc>
          <w:tcPr>
            <w:tcW w:w="2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全年目标实际完成情况</w:t>
            </w:r>
          </w:p>
        </w:tc>
      </w:tr>
      <w:tr>
        <w:tblPrEx>
          <w:tblCellMar>
            <w:top w:w="15" w:type="dxa"/>
            <w:left w:w="15" w:type="dxa"/>
            <w:bottom w:w="15" w:type="dxa"/>
            <w:right w:w="15" w:type="dxa"/>
          </w:tblCellMar>
        </w:tblPrEx>
        <w:trPr>
          <w:trHeight w:val="1590" w:hRule="atLeast"/>
        </w:trPr>
        <w:tc>
          <w:tcPr>
            <w:tcW w:w="269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强化公共管理职能，维护公共基础设施，做好城区环卫管护、市政管护、园林绿化、公厕管护、农村环卫管护等市政维护项目，逐步减少存量违法建筑，促进市政设施精细化管理，不断提高市政服务品质，助力乡村振兴，满足辖区人民群众日益增长的美好生活需要；2.推进基层民主，加强基层组织建设，建立党群工作站，促进党建带群建工作机制。3.强化公共服务职能，完善社会救助、优抚安置、医疗救助等社会保障体系，加强镇对村社区的监督管理，帮助村社区完成两委换届后的培训等工作。4.维护农村和谐稳定，改善农村人居环境，建设美丽宜居村庄，开展“一化二改三不见”专项行动，扎实推进农村人居环境整治，通过持续深入的治理改善，打造农村群众家门口的风景；5.夯实安全工作基础，加强森林防火、生态建设等安全监督管理，建立健全隐患排查治理体系和安全预防控制体系。我镇将厉行节约,项目专款专用，发挥财政资金的最大效益。助力乡村振兴的实现，打造整洁、舒适、宜居的新农村新形象新画卷，进一步增强人民群众的获得感和幸福感。</w:t>
            </w:r>
          </w:p>
        </w:tc>
        <w:tc>
          <w:tcPr>
            <w:tcW w:w="389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公共管理职能不断强化，维护辖区公共基础设施，城区环卫管护、市政管护、园林绿化、公厕管护、农村环卫管护等市政维护项目较好开展，减少存量违法建筑，促进市政设施精细化管理，不断提高市政服务品质，助力乡村振兴，满足辖区人民群众日益增长的美好生活需要；2.推进基层民主，加强基层组织建设，建立了党群工作站，促进党建带群建工作机制。3.强化公了共服务职能，完善社会救助、优抚安置、医疗救助等社会保障体系，加强镇对村社区的监督管理，帮助村社区完成两委换届后的培训等工作。4.维护农村和谐稳定，改善农村人居环境，建设美丽宜居村庄，开展“一化二改三不见”专项行动，扎实推进农村人居环境整治，通过持续深入的治理改善，打造农村群众家门口的风景；5.夯实安全工作基础，加强森林防火、生态建设等安全监督管理，建立健全隐患排查治理体系和安全预防控制体系。我镇将厉行节约,项目专款专用，发挥财政资金的最大效益。助力乡村振兴的实现，打造整洁、舒适、宜居的新农村新形象新画卷，进一步增强人民群众的获得感和幸福感。</w:t>
            </w:r>
          </w:p>
        </w:tc>
        <w:tc>
          <w:tcPr>
            <w:tcW w:w="24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公共管理职能不断强化，维护辖区公共基础设施，城区环卫管护、市政管护、园林绿化、公厕管护、农村环卫管护等市政维护项目较好开展，减少存量违法建筑，促进市政设施精细化管理，不断提高市政服务品质，助力乡村振兴，满足辖区人民群众日益增长的美好生活需要；2.推进基层民主，加强基层组织建设，建立了党群工作站，促进党建带群建工作机制。3.强化公了共服务职能，完善社会救助、优抚安置、医疗救助等社会保障体系，加强镇对村社区的监督管理，帮助村社区完成两委换届后的培训等工作。4.维护农村和谐稳定，改善农村人居环境，建设美丽宜居村庄，开展“一化二改三不见”专项行动，扎实推进农村人居环境整治，通过持续深入的治理改善，打造农村群众家门口的风景；5.夯实安全工作基础，加强森林防火、生态建设等安全监督管理，建立健全隐患排查治理体系和安全预防控制体系。我镇将厉行节约,项目专款专用，发挥财政资金的最大效益。助力乡村振兴的实现，打造整洁、舒适、宜居的新农村新形象新画卷，进一步增强人民群众的获得感和幸福感。</w:t>
            </w:r>
          </w:p>
        </w:tc>
      </w:tr>
      <w:tr>
        <w:tblPrEx>
          <w:tblCellMar>
            <w:top w:w="15" w:type="dxa"/>
            <w:left w:w="15" w:type="dxa"/>
            <w:bottom w:w="15" w:type="dxa"/>
            <w:right w:w="15" w:type="dxa"/>
          </w:tblCellMar>
        </w:tblPrEx>
        <w:trPr>
          <w:trHeight w:val="600" w:hRule="atLeast"/>
        </w:trPr>
        <w:tc>
          <w:tcPr>
            <w:tcW w:w="9044" w:type="dxa"/>
            <w:gridSpan w:val="2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kern w:val="0"/>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绩效指标</w:t>
            </w: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指标名称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计量单位</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指标性质</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指标值</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全年完成值</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偏离度（%）</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得分系数（%）</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指标权重</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指标得分</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是否核心指标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说明</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kern w:val="0"/>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市财政局建议</w:t>
            </w: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安全事故发生次数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次</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公共设施完好率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整体目标完成率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公共设施维护及时率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社会救助及时率</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1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辖区居民满意度</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9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6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kern w:val="0"/>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kern w:val="0"/>
                <w:sz w:val="22"/>
                <w:szCs w:val="22"/>
                <w14:textFill>
                  <w14:solidFill>
                    <w14:schemeClr w14:val="tx1"/>
                  </w14:solidFill>
                </w14:textFill>
              </w:rPr>
            </w:pPr>
          </w:p>
        </w:tc>
      </w:tr>
    </w:tbl>
    <w:p>
      <w:pPr>
        <w:pStyle w:val="4"/>
        <w:widowControl/>
        <w:adjustRightInd w:val="0"/>
        <w:snapToGrid w:val="0"/>
        <w:spacing w:beforeAutospacing="0" w:afterAutospacing="0" w:line="594" w:lineRule="exact"/>
        <w:ind w:right="75" w:firstLine="643" w:firstLineChars="200"/>
        <w:rPr>
          <w:rStyle w:val="7"/>
          <w:rFonts w:ascii="方正仿宋_GBK" w:hAnsi="方正仿宋_GBK" w:eastAsia="方正仿宋_GBK" w:cs="方正仿宋_GBK"/>
          <w:b w:val="0"/>
          <w:shd w:val="clear" w:color="auto" w:fill="FFFFFF"/>
        </w:rPr>
      </w:pPr>
      <w:r>
        <w:rPr>
          <w:rStyle w:val="7"/>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（二）绩效自评结果。</w:t>
      </w:r>
    </w:p>
    <w:p>
      <w:pPr>
        <w:pStyle w:val="4"/>
        <w:widowControl/>
        <w:adjustRightInd w:val="0"/>
        <w:snapToGrid w:val="0"/>
        <w:spacing w:beforeAutospacing="0" w:afterAutospacing="0" w:line="594" w:lineRule="exact"/>
        <w:ind w:right="75" w:firstLine="643" w:firstLineChars="200"/>
        <w:rPr>
          <w:rStyle w:val="7"/>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1.绩效目标自评表。</w:t>
      </w:r>
    </w:p>
    <w:p>
      <w:pPr>
        <w:pStyle w:val="4"/>
        <w:widowControl/>
        <w:adjustRightInd w:val="0"/>
        <w:snapToGrid w:val="0"/>
        <w:spacing w:beforeAutospacing="0" w:afterAutospacing="0" w:line="594" w:lineRule="exact"/>
        <w:ind w:right="75" w:firstLine="643"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（1）地质灾害防治专项。</w:t>
      </w: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2022年我部门对地质灾害防治专项项目开展了绩效评价，涉及财政拨款项目资金445.57万元，执行率100%，自评总分100分。项目提供中梁镇17户56人住房重建安置补偿，使其得到有效安置。</w:t>
      </w:r>
    </w:p>
    <w:tbl>
      <w:tblPr>
        <w:tblStyle w:val="5"/>
        <w:tblW w:w="9044" w:type="dxa"/>
        <w:tblInd w:w="0" w:type="dxa"/>
        <w:tblLayout w:type="fixed"/>
        <w:tblCellMar>
          <w:top w:w="15" w:type="dxa"/>
          <w:left w:w="15" w:type="dxa"/>
          <w:bottom w:w="15" w:type="dxa"/>
          <w:right w:w="15" w:type="dxa"/>
        </w:tblCellMar>
      </w:tblPr>
      <w:tblGrid>
        <w:gridCol w:w="858"/>
        <w:gridCol w:w="108"/>
        <w:gridCol w:w="240"/>
        <w:gridCol w:w="451"/>
        <w:gridCol w:w="451"/>
        <w:gridCol w:w="72"/>
        <w:gridCol w:w="125"/>
        <w:gridCol w:w="442"/>
        <w:gridCol w:w="444"/>
        <w:gridCol w:w="390"/>
        <w:gridCol w:w="922"/>
        <w:gridCol w:w="354"/>
        <w:gridCol w:w="34"/>
        <w:gridCol w:w="747"/>
        <w:gridCol w:w="275"/>
        <w:gridCol w:w="295"/>
        <w:gridCol w:w="211"/>
        <w:gridCol w:w="492"/>
        <w:gridCol w:w="501"/>
        <w:gridCol w:w="696"/>
        <w:gridCol w:w="96"/>
        <w:gridCol w:w="840"/>
      </w:tblGrid>
      <w:tr>
        <w:tblPrEx>
          <w:tblCellMar>
            <w:top w:w="15" w:type="dxa"/>
            <w:left w:w="15" w:type="dxa"/>
            <w:bottom w:w="15" w:type="dxa"/>
            <w:right w:w="15" w:type="dxa"/>
          </w:tblCellMar>
        </w:tblPrEx>
        <w:trPr>
          <w:trHeight w:val="795" w:hRule="atLeast"/>
        </w:trPr>
        <w:tc>
          <w:tcPr>
            <w:tcW w:w="904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40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40"/>
                <w:szCs w:val="40"/>
                <w14:textFill>
                  <w14:solidFill>
                    <w14:schemeClr w14:val="tx1"/>
                  </w14:solidFill>
                </w14:textFill>
              </w:rPr>
            </w:pPr>
            <w:r>
              <w:rPr>
                <w:rFonts w:hint="eastAsia" w:ascii="微软雅黑" w:hAnsi="微软雅黑" w:eastAsia="微软雅黑" w:cs="微软雅黑"/>
                <w:b/>
                <w:color w:val="000000" w:themeColor="text1"/>
                <w:kern w:val="0"/>
                <w:sz w:val="40"/>
                <w:szCs w:val="40"/>
                <w:lang w:bidi="ar"/>
                <w14:textFill>
                  <w14:solidFill>
                    <w14:schemeClr w14:val="tx1"/>
                  </w14:solidFill>
                </w14:textFill>
              </w:rPr>
              <w:t>2022年度二级项目绩效自评表</w:t>
            </w:r>
          </w:p>
        </w:tc>
      </w:tr>
      <w:tr>
        <w:tblPrEx>
          <w:tblCellMar>
            <w:top w:w="15" w:type="dxa"/>
            <w:left w:w="15" w:type="dxa"/>
            <w:bottom w:w="15" w:type="dxa"/>
            <w:right w:w="15" w:type="dxa"/>
          </w:tblCellMar>
        </w:tblPrEx>
        <w:trPr>
          <w:trHeight w:val="49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项目名称</w:t>
            </w:r>
          </w:p>
        </w:tc>
        <w:tc>
          <w:tcPr>
            <w:tcW w:w="1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地质灾害防治专项</w:t>
            </w:r>
          </w:p>
        </w:tc>
        <w:tc>
          <w:tcPr>
            <w:tcW w:w="1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项目编码</w:t>
            </w:r>
          </w:p>
        </w:tc>
        <w:tc>
          <w:tcPr>
            <w:tcW w:w="1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50010622T000000126774</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自评总分</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100.00</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b/>
                <w:color w:val="000000" w:themeColor="text1"/>
                <w:sz w:val="22"/>
                <w:szCs w:val="22"/>
                <w14:textFill>
                  <w14:solidFill>
                    <w14:schemeClr w14:val="tx1"/>
                  </w14:solidFill>
                </w14:textFill>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8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项目主管部门</w:t>
            </w:r>
          </w:p>
        </w:tc>
        <w:tc>
          <w:tcPr>
            <w:tcW w:w="12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902-重庆市沙坪坝区中梁镇</w:t>
            </w:r>
          </w:p>
        </w:tc>
        <w:tc>
          <w:tcPr>
            <w:tcW w:w="10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财政归口处室</w:t>
            </w:r>
          </w:p>
        </w:tc>
        <w:tc>
          <w:tcPr>
            <w:tcW w:w="1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003-预算科</w:t>
            </w:r>
          </w:p>
        </w:tc>
        <w:tc>
          <w:tcPr>
            <w:tcW w:w="13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部门联系人</w:t>
            </w:r>
          </w:p>
        </w:tc>
        <w:tc>
          <w:tcPr>
            <w:tcW w:w="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杨海波</w:t>
            </w:r>
          </w:p>
        </w:tc>
        <w:tc>
          <w:tcPr>
            <w:tcW w:w="11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联系电话</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15123319410</w:t>
            </w:r>
          </w:p>
        </w:tc>
      </w:tr>
      <w:tr>
        <w:tblPrEx>
          <w:tblCellMar>
            <w:top w:w="15" w:type="dxa"/>
            <w:left w:w="15" w:type="dxa"/>
            <w:bottom w:w="15" w:type="dxa"/>
            <w:right w:w="15" w:type="dxa"/>
          </w:tblCellMar>
        </w:tblPrEx>
        <w:trPr>
          <w:trHeight w:val="600" w:hRule="atLeast"/>
        </w:trPr>
        <w:tc>
          <w:tcPr>
            <w:tcW w:w="904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资金情况</w:t>
            </w:r>
          </w:p>
        </w:tc>
      </w:tr>
      <w:tr>
        <w:tblPrEx>
          <w:tblCellMar>
            <w:top w:w="15" w:type="dxa"/>
            <w:left w:w="15" w:type="dxa"/>
            <w:bottom w:w="15" w:type="dxa"/>
            <w:right w:w="15" w:type="dxa"/>
          </w:tblCellMar>
        </w:tblPrEx>
        <w:trPr>
          <w:trHeight w:val="495"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1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年初预算数</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全年（调整）预算数</w:t>
            </w:r>
          </w:p>
        </w:tc>
        <w:tc>
          <w:tcPr>
            <w:tcW w:w="19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全年执行数</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执行率得分</w:t>
            </w:r>
          </w:p>
        </w:tc>
      </w:tr>
      <w:tr>
        <w:tblPrEx>
          <w:tblCellMar>
            <w:top w:w="15" w:type="dxa"/>
            <w:left w:w="15" w:type="dxa"/>
            <w:bottom w:w="15" w:type="dxa"/>
            <w:right w:w="15" w:type="dxa"/>
          </w:tblCellMar>
        </w:tblPrEx>
        <w:trPr>
          <w:trHeight w:val="495"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年度总金额</w:t>
            </w:r>
          </w:p>
        </w:tc>
        <w:tc>
          <w:tcPr>
            <w:tcW w:w="1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4,455,700.00</w:t>
            </w:r>
          </w:p>
        </w:tc>
        <w:tc>
          <w:tcPr>
            <w:tcW w:w="19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4,455,700.00</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64" w:hRule="atLeast"/>
        </w:trPr>
        <w:tc>
          <w:tcPr>
            <w:tcW w:w="12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其中：财政拨款</w:t>
            </w:r>
          </w:p>
        </w:tc>
        <w:tc>
          <w:tcPr>
            <w:tcW w:w="1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0.00</w:t>
            </w:r>
          </w:p>
        </w:tc>
        <w:tc>
          <w:tcPr>
            <w:tcW w:w="21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4,455,700.00</w:t>
            </w:r>
          </w:p>
        </w:tc>
        <w:tc>
          <w:tcPr>
            <w:tcW w:w="191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4,455,700.00</w:t>
            </w:r>
          </w:p>
        </w:tc>
        <w:tc>
          <w:tcPr>
            <w:tcW w:w="9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r>
      <w:tr>
        <w:tblPrEx>
          <w:tblCellMar>
            <w:top w:w="15" w:type="dxa"/>
            <w:left w:w="15" w:type="dxa"/>
            <w:bottom w:w="15" w:type="dxa"/>
            <w:right w:w="15" w:type="dxa"/>
          </w:tblCellMar>
        </w:tblPrEx>
        <w:trPr>
          <w:trHeight w:val="524" w:hRule="atLeast"/>
        </w:trPr>
        <w:tc>
          <w:tcPr>
            <w:tcW w:w="904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绩效目标</w:t>
            </w:r>
          </w:p>
        </w:tc>
      </w:tr>
      <w:tr>
        <w:tblPrEx>
          <w:tblCellMar>
            <w:top w:w="15" w:type="dxa"/>
            <w:left w:w="15" w:type="dxa"/>
            <w:bottom w:w="15" w:type="dxa"/>
            <w:right w:w="15" w:type="dxa"/>
          </w:tblCellMar>
        </w:tblPrEx>
        <w:trPr>
          <w:trHeight w:val="495" w:hRule="atLeast"/>
        </w:trPr>
        <w:tc>
          <w:tcPr>
            <w:tcW w:w="2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年初绩效目标</w:t>
            </w:r>
          </w:p>
        </w:tc>
        <w:tc>
          <w:tcPr>
            <w:tcW w:w="36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全年（调整）绩效目标</w:t>
            </w:r>
          </w:p>
        </w:tc>
        <w:tc>
          <w:tcPr>
            <w:tcW w:w="31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全年目标实际完成情况</w:t>
            </w:r>
          </w:p>
        </w:tc>
      </w:tr>
      <w:tr>
        <w:tblPrEx>
          <w:tblCellMar>
            <w:top w:w="15" w:type="dxa"/>
            <w:left w:w="15" w:type="dxa"/>
            <w:bottom w:w="15" w:type="dxa"/>
            <w:right w:w="15" w:type="dxa"/>
          </w:tblCellMar>
        </w:tblPrEx>
        <w:trPr>
          <w:trHeight w:val="1949" w:hRule="atLeast"/>
        </w:trPr>
        <w:tc>
          <w:tcPr>
            <w:tcW w:w="230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36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保证中梁镇新发村地面塌陷治理工程正常实施，对新发村、永宁寺村11处地面塌陷得到有效治理，排除安全隐患；二是对歇马隧道搬迁避让户17户56人实施住房重建安置补偿，使其得到有效安置。</w:t>
            </w:r>
          </w:p>
        </w:tc>
        <w:tc>
          <w:tcPr>
            <w:tcW w:w="31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中梁镇新发村地面塌陷治理工程正常实施，新发村、永宁寺村11处地面塌陷得到有效治理，排除安全隐患；歇马隧道搬迁避让户17户56人实施住房重建安置补偿，得到有效安置。</w:t>
            </w:r>
          </w:p>
        </w:tc>
      </w:tr>
      <w:tr>
        <w:tblPrEx>
          <w:tblCellMar>
            <w:top w:w="15" w:type="dxa"/>
            <w:left w:w="15" w:type="dxa"/>
            <w:bottom w:w="15" w:type="dxa"/>
            <w:right w:w="15" w:type="dxa"/>
          </w:tblCellMar>
        </w:tblPrEx>
        <w:trPr>
          <w:trHeight w:val="600" w:hRule="atLeast"/>
        </w:trPr>
        <w:tc>
          <w:tcPr>
            <w:tcW w:w="9044" w:type="dxa"/>
            <w:gridSpan w:val="2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bookmarkStart w:id="0" w:name="_GoBack"/>
            <w:bookmarkEnd w:id="0"/>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绩效指标</w:t>
            </w:r>
          </w:p>
        </w:tc>
      </w:tr>
      <w:tr>
        <w:tblPrEx>
          <w:tblCellMar>
            <w:top w:w="15" w:type="dxa"/>
            <w:left w:w="15" w:type="dxa"/>
            <w:bottom w:w="15" w:type="dxa"/>
            <w:right w:w="15" w:type="dxa"/>
          </w:tblCellMar>
        </w:tblPrEx>
        <w:trPr>
          <w:trHeight w:val="495"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指标名称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计量单位</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指标性质</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指标值</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全年完成值</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偏离度（%）</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得分系数（%）</w:t>
            </w:r>
          </w:p>
        </w:tc>
        <w:tc>
          <w:tcPr>
            <w:tcW w:w="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指标权重</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指标得分</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是否核心指标</w:t>
            </w: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说明</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市财政局建议</w:t>
            </w:r>
          </w:p>
        </w:tc>
      </w:tr>
      <w:tr>
        <w:tblPrEx>
          <w:tblCellMar>
            <w:top w:w="15" w:type="dxa"/>
            <w:left w:w="15" w:type="dxa"/>
            <w:bottom w:w="15" w:type="dxa"/>
            <w:right w:w="15" w:type="dxa"/>
          </w:tblCellMar>
        </w:tblPrEx>
        <w:trPr>
          <w:trHeight w:val="495"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搬迁避让户安置户数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户</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治理塌陷处数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处</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地面塌陷治理成效</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处</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定性</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良</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9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搬迁避让户对安置工作的满意情况</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5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8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bl>
    <w:p>
      <w:pPr>
        <w:pStyle w:val="4"/>
        <w:widowControl/>
        <w:adjustRightInd w:val="0"/>
        <w:snapToGrid w:val="0"/>
        <w:spacing w:beforeAutospacing="0" w:afterAutospacing="0" w:line="594" w:lineRule="exact"/>
        <w:ind w:right="75" w:firstLine="640" w:firstLineChars="200"/>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Style w:val="7"/>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2）2022年车辆购置税收入补助地方资金（第一批）省道及农村公路项目。2022年我部门对2022年车辆购置税收入补助地方资金（第一批）省道及农村公路项目开展了绩效评价，涉及财政拨款项目资金361万元，执行率100%，自评总分100分。项目新改建农村道路4.8公里。</w:t>
      </w:r>
    </w:p>
    <w:tbl>
      <w:tblPr>
        <w:tblStyle w:val="5"/>
        <w:tblW w:w="9044" w:type="dxa"/>
        <w:tblInd w:w="0" w:type="dxa"/>
        <w:tblLayout w:type="fixed"/>
        <w:tblCellMar>
          <w:top w:w="15" w:type="dxa"/>
          <w:left w:w="15" w:type="dxa"/>
          <w:bottom w:w="15" w:type="dxa"/>
          <w:right w:w="15" w:type="dxa"/>
        </w:tblCellMar>
      </w:tblPr>
      <w:tblGrid>
        <w:gridCol w:w="585"/>
        <w:gridCol w:w="373"/>
        <w:gridCol w:w="204"/>
        <w:gridCol w:w="487"/>
        <w:gridCol w:w="663"/>
        <w:gridCol w:w="529"/>
        <w:gridCol w:w="747"/>
        <w:gridCol w:w="270"/>
        <w:gridCol w:w="1006"/>
        <w:gridCol w:w="160"/>
        <w:gridCol w:w="621"/>
        <w:gridCol w:w="129"/>
        <w:gridCol w:w="652"/>
        <w:gridCol w:w="315"/>
        <w:gridCol w:w="172"/>
        <w:gridCol w:w="428"/>
        <w:gridCol w:w="68"/>
        <w:gridCol w:w="792"/>
        <w:gridCol w:w="843"/>
      </w:tblGrid>
      <w:tr>
        <w:tblPrEx>
          <w:tblCellMar>
            <w:top w:w="15" w:type="dxa"/>
            <w:left w:w="15" w:type="dxa"/>
            <w:bottom w:w="15" w:type="dxa"/>
            <w:right w:w="15" w:type="dxa"/>
          </w:tblCellMar>
        </w:tblPrEx>
        <w:trPr>
          <w:trHeight w:val="795" w:hRule="atLeast"/>
        </w:trPr>
        <w:tc>
          <w:tcPr>
            <w:tcW w:w="904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40"/>
                <w:szCs w:val="40"/>
                <w14:textFill>
                  <w14:solidFill>
                    <w14:schemeClr w14:val="tx1"/>
                  </w14:solidFill>
                </w14:textFill>
              </w:rPr>
            </w:pPr>
            <w:r>
              <w:rPr>
                <w:rFonts w:hint="eastAsia" w:ascii="微软雅黑" w:hAnsi="微软雅黑" w:eastAsia="微软雅黑" w:cs="微软雅黑"/>
                <w:b/>
                <w:color w:val="000000" w:themeColor="text1"/>
                <w:kern w:val="0"/>
                <w:sz w:val="40"/>
                <w:szCs w:val="40"/>
                <w:lang w:bidi="ar"/>
                <w14:textFill>
                  <w14:solidFill>
                    <w14:schemeClr w14:val="tx1"/>
                  </w14:solidFill>
                </w14:textFill>
              </w:rPr>
              <w:t>2022年度二级项目绩效自评表</w:t>
            </w:r>
          </w:p>
        </w:tc>
      </w:tr>
      <w:tr>
        <w:tblPrEx>
          <w:tblCellMar>
            <w:top w:w="15" w:type="dxa"/>
            <w:left w:w="15" w:type="dxa"/>
            <w:bottom w:w="15" w:type="dxa"/>
            <w:right w:w="15" w:type="dxa"/>
          </w:tblCellMar>
        </w:tblPrEx>
        <w:trPr>
          <w:trHeight w:val="495"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项目名称</w:t>
            </w:r>
          </w:p>
        </w:tc>
        <w:tc>
          <w:tcPr>
            <w:tcW w:w="1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2022年车辆购置税收入补助地方资金（第一批）省道及农村公路项目</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项目编码</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50010622T000002425997</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自评总分</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100.00</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outlineLvl w:val="9"/>
              <w:rPr>
                <w:rFonts w:ascii="宋体" w:hAnsi="宋体" w:eastAsia="宋体" w:cs="宋体"/>
                <w:b/>
                <w:color w:val="000000" w:themeColor="text1"/>
                <w:sz w:val="22"/>
                <w:szCs w:val="22"/>
                <w14:textFill>
                  <w14:solidFill>
                    <w14:schemeClr w14:val="tx1"/>
                  </w14:solidFill>
                </w14:textFill>
              </w:rPr>
            </w:pP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项目主管部门</w:t>
            </w:r>
          </w:p>
        </w:tc>
        <w:tc>
          <w:tcPr>
            <w:tcW w:w="18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902-重庆市沙坪坝区中梁镇</w:t>
            </w:r>
          </w:p>
        </w:tc>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财政归口处室</w:t>
            </w:r>
          </w:p>
        </w:tc>
        <w:tc>
          <w:tcPr>
            <w:tcW w:w="1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003-预算科</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部门联系人</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罗勇</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联系电话</w:t>
            </w:r>
          </w:p>
        </w:tc>
        <w:tc>
          <w:tcPr>
            <w:tcW w:w="17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17830667196</w:t>
            </w:r>
          </w:p>
        </w:tc>
      </w:tr>
      <w:tr>
        <w:tblPrEx>
          <w:tblCellMar>
            <w:top w:w="15" w:type="dxa"/>
            <w:left w:w="15" w:type="dxa"/>
            <w:bottom w:w="15" w:type="dxa"/>
            <w:right w:w="15" w:type="dxa"/>
          </w:tblCellMar>
        </w:tblPrEx>
        <w:trPr>
          <w:trHeight w:val="600" w:hRule="atLeast"/>
        </w:trPr>
        <w:tc>
          <w:tcPr>
            <w:tcW w:w="904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资金情况</w:t>
            </w:r>
          </w:p>
        </w:tc>
      </w:tr>
      <w:tr>
        <w:tblPrEx>
          <w:tblCellMar>
            <w:top w:w="15" w:type="dxa"/>
            <w:left w:w="15" w:type="dxa"/>
            <w:bottom w:w="15" w:type="dxa"/>
            <w:right w:w="15" w:type="dxa"/>
          </w:tblCellMar>
        </w:tblPrEx>
        <w:trPr>
          <w:trHeight w:val="495"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年初预算数</w:t>
            </w:r>
          </w:p>
        </w:tc>
        <w:tc>
          <w:tcPr>
            <w:tcW w:w="2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全年（调整）预算数</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全年执行数</w:t>
            </w:r>
          </w:p>
        </w:tc>
        <w:tc>
          <w:tcPr>
            <w:tcW w:w="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执行率得分</w:t>
            </w:r>
          </w:p>
        </w:tc>
      </w:tr>
      <w:tr>
        <w:tblPrEx>
          <w:tblCellMar>
            <w:top w:w="15" w:type="dxa"/>
            <w:left w:w="15" w:type="dxa"/>
            <w:bottom w:w="15" w:type="dxa"/>
            <w:right w:w="15" w:type="dxa"/>
          </w:tblCellMar>
        </w:tblPrEx>
        <w:trPr>
          <w:trHeight w:val="495"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年度总金额</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0.00</w:t>
            </w:r>
          </w:p>
        </w:tc>
        <w:tc>
          <w:tcPr>
            <w:tcW w:w="2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3,610,000.00</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3,610,000.00</w:t>
            </w:r>
          </w:p>
        </w:tc>
        <w:tc>
          <w:tcPr>
            <w:tcW w:w="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1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其中：财政拨款</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0.00</w:t>
            </w:r>
          </w:p>
        </w:tc>
        <w:tc>
          <w:tcPr>
            <w:tcW w:w="25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3,610,000.00</w:t>
            </w:r>
          </w:p>
        </w:tc>
        <w:tc>
          <w:tcPr>
            <w:tcW w:w="15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3,610,000.00</w:t>
            </w:r>
          </w:p>
        </w:tc>
        <w:tc>
          <w:tcPr>
            <w:tcW w:w="9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r>
      <w:tr>
        <w:tblPrEx>
          <w:tblCellMar>
            <w:top w:w="15" w:type="dxa"/>
            <w:left w:w="15" w:type="dxa"/>
            <w:bottom w:w="15" w:type="dxa"/>
            <w:right w:w="15" w:type="dxa"/>
          </w:tblCellMar>
        </w:tblPrEx>
        <w:trPr>
          <w:trHeight w:val="600" w:hRule="atLeast"/>
        </w:trPr>
        <w:tc>
          <w:tcPr>
            <w:tcW w:w="904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绩效目标</w:t>
            </w:r>
          </w:p>
        </w:tc>
      </w:tr>
      <w:tr>
        <w:tblPrEx>
          <w:tblCellMar>
            <w:top w:w="15" w:type="dxa"/>
            <w:left w:w="15" w:type="dxa"/>
            <w:bottom w:w="15" w:type="dxa"/>
            <w:right w:w="15" w:type="dxa"/>
          </w:tblCellMar>
        </w:tblPrEx>
        <w:trPr>
          <w:trHeight w:val="495" w:hRule="atLeast"/>
        </w:trPr>
        <w:tc>
          <w:tcPr>
            <w:tcW w:w="2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年初绩效目标</w:t>
            </w:r>
          </w:p>
        </w:tc>
        <w:tc>
          <w:tcPr>
            <w:tcW w:w="41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全年（调整）绩效目标</w:t>
            </w:r>
          </w:p>
        </w:tc>
        <w:tc>
          <w:tcPr>
            <w:tcW w:w="2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全年目标实际完成情况</w:t>
            </w:r>
          </w:p>
        </w:tc>
      </w:tr>
      <w:tr>
        <w:tblPrEx>
          <w:tblCellMar>
            <w:top w:w="15" w:type="dxa"/>
            <w:left w:w="15" w:type="dxa"/>
            <w:bottom w:w="15" w:type="dxa"/>
            <w:right w:w="15" w:type="dxa"/>
          </w:tblCellMar>
        </w:tblPrEx>
        <w:trPr>
          <w:trHeight w:val="1590" w:hRule="atLeast"/>
        </w:trPr>
        <w:tc>
          <w:tcPr>
            <w:tcW w:w="231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411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新改建农村道路4.8公里，主要位于茅山峡仙米山，庆丰斐然湖区域。项目建成后极大地改善了村民出行环境，增强了群众幸福感。</w:t>
            </w:r>
          </w:p>
        </w:tc>
        <w:tc>
          <w:tcPr>
            <w:tcW w:w="26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2022年我镇新改建农村道路4.8公里，主要位于茅山峡仙米山，庆丰斐然湖区域。项目建成后极大地改善了村民出行环境，增强了群众幸福感。</w:t>
            </w:r>
          </w:p>
        </w:tc>
      </w:tr>
      <w:tr>
        <w:tblPrEx>
          <w:tblCellMar>
            <w:top w:w="15" w:type="dxa"/>
            <w:left w:w="15" w:type="dxa"/>
            <w:bottom w:w="15" w:type="dxa"/>
            <w:right w:w="15" w:type="dxa"/>
          </w:tblCellMar>
        </w:tblPrEx>
        <w:trPr>
          <w:trHeight w:val="600" w:hRule="atLeast"/>
        </w:trPr>
        <w:tc>
          <w:tcPr>
            <w:tcW w:w="904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绩效指标</w:t>
            </w:r>
          </w:p>
        </w:tc>
      </w:tr>
      <w:tr>
        <w:tblPrEx>
          <w:tblCellMar>
            <w:top w:w="15" w:type="dxa"/>
            <w:left w:w="15" w:type="dxa"/>
            <w:bottom w:w="15" w:type="dxa"/>
            <w:right w:w="15"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指标名称</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计量单位</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指标性质</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指标值</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全年完成值</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偏离度（%）</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得分系数（%）</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指标权重</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指标得分</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是否核心指标</w:t>
            </w: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说明</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市财政局建议</w:t>
            </w:r>
          </w:p>
        </w:tc>
      </w:tr>
      <w:tr>
        <w:tblPrEx>
          <w:tblCellMar>
            <w:top w:w="15" w:type="dxa"/>
            <w:left w:w="15" w:type="dxa"/>
            <w:bottom w:w="15" w:type="dxa"/>
            <w:right w:w="15"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新改建公路公里数</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公里</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4.8</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40</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40</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资金到位率</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出行幸福感</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92</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村民满意度</w:t>
            </w:r>
          </w:p>
        </w:tc>
        <w:tc>
          <w:tcPr>
            <w:tcW w:w="5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92</w:t>
            </w:r>
          </w:p>
        </w:tc>
        <w:tc>
          <w:tcPr>
            <w:tcW w:w="1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bl>
    <w:p>
      <w:pPr>
        <w:pStyle w:val="4"/>
        <w:widowControl/>
        <w:adjustRightInd w:val="0"/>
        <w:snapToGrid w:val="0"/>
        <w:spacing w:beforeAutospacing="0" w:afterAutospacing="0" w:line="594" w:lineRule="exact"/>
        <w:ind w:right="75" w:firstLine="640" w:firstLineChars="200"/>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p>
    <w:p>
      <w:pPr>
        <w:pStyle w:val="4"/>
        <w:widowControl/>
        <w:adjustRightInd w:val="0"/>
        <w:snapToGrid w:val="0"/>
        <w:spacing w:beforeAutospacing="0" w:afterAutospacing="0" w:line="594" w:lineRule="exact"/>
        <w:ind w:right="75" w:firstLine="640" w:firstLineChars="200"/>
        <w:rPr>
          <w:rStyle w:val="7"/>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（3）农业农村工作支出。2022年我部门对农业农村工作支出项目开展了绩效评价，涉及年初预算项目资金104万元，执行率100%，自评总分100分。项目推进辖区农村人居环境整治，实现“一化二改三不见”。</w:t>
      </w:r>
    </w:p>
    <w:tbl>
      <w:tblPr>
        <w:tblStyle w:val="5"/>
        <w:tblW w:w="9036" w:type="dxa"/>
        <w:tblInd w:w="0" w:type="dxa"/>
        <w:tblLayout w:type="fixed"/>
        <w:tblCellMar>
          <w:top w:w="15" w:type="dxa"/>
          <w:left w:w="15" w:type="dxa"/>
          <w:bottom w:w="15" w:type="dxa"/>
          <w:right w:w="15" w:type="dxa"/>
        </w:tblCellMar>
      </w:tblPr>
      <w:tblGrid>
        <w:gridCol w:w="580"/>
        <w:gridCol w:w="345"/>
        <w:gridCol w:w="116"/>
        <w:gridCol w:w="456"/>
        <w:gridCol w:w="27"/>
        <w:gridCol w:w="667"/>
        <w:gridCol w:w="280"/>
        <w:gridCol w:w="391"/>
        <w:gridCol w:w="872"/>
        <w:gridCol w:w="1263"/>
        <w:gridCol w:w="773"/>
        <w:gridCol w:w="773"/>
        <w:gridCol w:w="457"/>
        <w:gridCol w:w="167"/>
        <w:gridCol w:w="301"/>
        <w:gridCol w:w="194"/>
        <w:gridCol w:w="1"/>
        <w:gridCol w:w="589"/>
        <w:gridCol w:w="784"/>
      </w:tblGrid>
      <w:tr>
        <w:tblPrEx>
          <w:tblCellMar>
            <w:top w:w="15" w:type="dxa"/>
            <w:left w:w="15" w:type="dxa"/>
            <w:bottom w:w="15" w:type="dxa"/>
            <w:right w:w="15" w:type="dxa"/>
          </w:tblCellMar>
        </w:tblPrEx>
        <w:trPr>
          <w:trHeight w:val="795" w:hRule="atLeast"/>
        </w:trPr>
        <w:tc>
          <w:tcPr>
            <w:tcW w:w="90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50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40"/>
                <w:szCs w:val="40"/>
                <w14:textFill>
                  <w14:solidFill>
                    <w14:schemeClr w14:val="tx1"/>
                  </w14:solidFill>
                </w14:textFill>
              </w:rPr>
            </w:pPr>
            <w:r>
              <w:rPr>
                <w:rFonts w:hint="eastAsia" w:ascii="微软雅黑" w:hAnsi="微软雅黑" w:eastAsia="微软雅黑" w:cs="微软雅黑"/>
                <w:b/>
                <w:color w:val="000000" w:themeColor="text1"/>
                <w:kern w:val="0"/>
                <w:sz w:val="40"/>
                <w:szCs w:val="40"/>
                <w:lang w:bidi="ar"/>
                <w14:textFill>
                  <w14:solidFill>
                    <w14:schemeClr w14:val="tx1"/>
                  </w14:solidFill>
                </w14:textFill>
              </w:rPr>
              <w:t>2022年度二级项目绩效自评表</w:t>
            </w:r>
          </w:p>
        </w:tc>
      </w:tr>
      <w:tr>
        <w:tblPrEx>
          <w:tblCellMar>
            <w:top w:w="15" w:type="dxa"/>
            <w:left w:w="15" w:type="dxa"/>
            <w:bottom w:w="15" w:type="dxa"/>
            <w:right w:w="15" w:type="dxa"/>
          </w:tblCellMar>
        </w:tblPrEx>
        <w:trPr>
          <w:trHeight w:val="4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项目名称</w:t>
            </w: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农业农村工作支出</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项目编码</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50010621T000000040788</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自评总分</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100.00</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outlineLvl w:val="9"/>
              <w:rPr>
                <w:rFonts w:ascii="宋体" w:hAnsi="宋体" w:eastAsia="宋体" w:cs="宋体"/>
                <w:b/>
                <w:color w:val="000000" w:themeColor="text1"/>
                <w:sz w:val="22"/>
                <w:szCs w:val="22"/>
                <w14:textFill>
                  <w14:solidFill>
                    <w14:schemeClr w14:val="tx1"/>
                  </w14:solidFill>
                </w14:textFill>
              </w:rPr>
            </w:pP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left"/>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项目主管部门</w:t>
            </w:r>
          </w:p>
        </w:tc>
        <w:tc>
          <w:tcPr>
            <w:tcW w:w="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902-重庆市沙坪坝区中梁镇</w:t>
            </w:r>
          </w:p>
        </w:tc>
        <w:tc>
          <w:tcPr>
            <w:tcW w:w="9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财政归口处室</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003-预算科</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部门联系人</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杨桃</w:t>
            </w:r>
          </w:p>
        </w:tc>
        <w:tc>
          <w:tcPr>
            <w:tcW w:w="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联系电话</w:t>
            </w:r>
          </w:p>
        </w:tc>
        <w:tc>
          <w:tcPr>
            <w:tcW w:w="13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left"/>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15023697682</w:t>
            </w:r>
          </w:p>
        </w:tc>
      </w:tr>
      <w:tr>
        <w:tblPrEx>
          <w:tblCellMar>
            <w:top w:w="15" w:type="dxa"/>
            <w:left w:w="15" w:type="dxa"/>
            <w:bottom w:w="15" w:type="dxa"/>
            <w:right w:w="15" w:type="dxa"/>
          </w:tblCellMar>
        </w:tblPrEx>
        <w:trPr>
          <w:trHeight w:val="600" w:hRule="atLeast"/>
        </w:trPr>
        <w:tc>
          <w:tcPr>
            <w:tcW w:w="90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资金情况</w:t>
            </w:r>
          </w:p>
        </w:tc>
      </w:tr>
      <w:tr>
        <w:tblPrEx>
          <w:tblCellMar>
            <w:top w:w="15" w:type="dxa"/>
            <w:left w:w="15" w:type="dxa"/>
            <w:bottom w:w="15" w:type="dxa"/>
            <w:right w:w="15" w:type="dxa"/>
          </w:tblCellMar>
        </w:tblPrEx>
        <w:trPr>
          <w:trHeight w:val="495" w:hRule="atLeast"/>
        </w:trPr>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1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年初预算数</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全年（调整）预算数</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全年执行数</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执行率权重</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执行率得分</w:t>
            </w:r>
          </w:p>
        </w:tc>
      </w:tr>
      <w:tr>
        <w:tblPrEx>
          <w:tblCellMar>
            <w:top w:w="15" w:type="dxa"/>
            <w:left w:w="15" w:type="dxa"/>
            <w:bottom w:w="15" w:type="dxa"/>
            <w:right w:w="15" w:type="dxa"/>
          </w:tblCellMar>
        </w:tblPrEx>
        <w:trPr>
          <w:trHeight w:val="495" w:hRule="atLeast"/>
        </w:trPr>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年度总金额</w:t>
            </w:r>
          </w:p>
        </w:tc>
        <w:tc>
          <w:tcPr>
            <w:tcW w:w="1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1,040,000.00</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1,040,000.00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1,040,000.00</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9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其中：财政拨款</w:t>
            </w:r>
          </w:p>
        </w:tc>
        <w:tc>
          <w:tcPr>
            <w:tcW w:w="15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1,040,000.00</w:t>
            </w:r>
          </w:p>
        </w:tc>
        <w:tc>
          <w:tcPr>
            <w:tcW w:w="252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1,040,000.00</w:t>
            </w:r>
          </w:p>
        </w:tc>
        <w:tc>
          <w:tcPr>
            <w:tcW w:w="1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1,040,000.00</w:t>
            </w:r>
          </w:p>
        </w:tc>
        <w:tc>
          <w:tcPr>
            <w:tcW w:w="9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10.00</w:t>
            </w:r>
          </w:p>
        </w:tc>
      </w:tr>
      <w:tr>
        <w:tblPrEx>
          <w:tblCellMar>
            <w:top w:w="15" w:type="dxa"/>
            <w:left w:w="15" w:type="dxa"/>
            <w:bottom w:w="15" w:type="dxa"/>
            <w:right w:w="15" w:type="dxa"/>
          </w:tblCellMar>
        </w:tblPrEx>
        <w:trPr>
          <w:trHeight w:val="600" w:hRule="atLeast"/>
        </w:trPr>
        <w:tc>
          <w:tcPr>
            <w:tcW w:w="90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绩效目标</w:t>
            </w:r>
          </w:p>
        </w:tc>
      </w:tr>
      <w:tr>
        <w:tblPrEx>
          <w:tblCellMar>
            <w:top w:w="15" w:type="dxa"/>
            <w:left w:w="15" w:type="dxa"/>
            <w:bottom w:w="15" w:type="dxa"/>
            <w:right w:w="15" w:type="dxa"/>
          </w:tblCellMar>
        </w:tblPrEx>
        <w:trPr>
          <w:trHeight w:val="495" w:hRule="atLeast"/>
        </w:trPr>
        <w:tc>
          <w:tcPr>
            <w:tcW w:w="24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年初绩效目标</w:t>
            </w:r>
          </w:p>
        </w:tc>
        <w:tc>
          <w:tcPr>
            <w:tcW w:w="4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全年（调整）绩效目标</w:t>
            </w:r>
          </w:p>
        </w:tc>
        <w:tc>
          <w:tcPr>
            <w:tcW w:w="24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全年目标实际完成情况</w:t>
            </w:r>
          </w:p>
        </w:tc>
      </w:tr>
      <w:tr>
        <w:tblPrEx>
          <w:tblCellMar>
            <w:top w:w="15" w:type="dxa"/>
            <w:left w:w="15" w:type="dxa"/>
            <w:bottom w:w="15" w:type="dxa"/>
            <w:right w:w="15" w:type="dxa"/>
          </w:tblCellMar>
        </w:tblPrEx>
        <w:trPr>
          <w:trHeight w:val="1590" w:hRule="atLeast"/>
        </w:trPr>
        <w:tc>
          <w:tcPr>
            <w:tcW w:w="24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开展内部审计，健全内部审计制度，提升审计质效。2加强秸秆焚烧巡查，提高机械粉碎秸秆比例；3.对全镇25公里沟渠进行清理，保证沟渠畅通和整洁；4.6个村每月组织乡村治理积分制评比，提高村民参与农村人居环境整治积极性；5.全面整治农村人居环境，实现“一化二改三不见”，建设美丽宜居村庄。</w:t>
            </w:r>
          </w:p>
        </w:tc>
        <w:tc>
          <w:tcPr>
            <w:tcW w:w="407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24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top"/>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2022年我镇着力推进人居环境整治，辖区25公里沟渠实现“一化二改三不见”。各村社开展乡村治理积分评比制度，提高了群众庭院整治积极性。全年完成内部审计6次。</w:t>
            </w:r>
          </w:p>
        </w:tc>
      </w:tr>
      <w:tr>
        <w:tblPrEx>
          <w:tblCellMar>
            <w:top w:w="15" w:type="dxa"/>
            <w:left w:w="15" w:type="dxa"/>
            <w:bottom w:w="15" w:type="dxa"/>
            <w:right w:w="15" w:type="dxa"/>
          </w:tblCellMar>
        </w:tblPrEx>
        <w:trPr>
          <w:trHeight w:val="600" w:hRule="atLeast"/>
        </w:trPr>
        <w:tc>
          <w:tcPr>
            <w:tcW w:w="9036"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kern w:val="0"/>
                <w:sz w:val="28"/>
                <w:szCs w:val="28"/>
                <w:lang w:bidi="ar"/>
                <w14:textFill>
                  <w14:solidFill>
                    <w14:schemeClr w14:val="tx1"/>
                  </w14:solidFill>
                </w14:textFill>
              </w:rPr>
              <w:t>绩效指标</w:t>
            </w:r>
          </w:p>
        </w:tc>
      </w:tr>
      <w:tr>
        <w:tblPrEx>
          <w:tblCellMar>
            <w:top w:w="15" w:type="dxa"/>
            <w:left w:w="15" w:type="dxa"/>
            <w:bottom w:w="15" w:type="dxa"/>
            <w:right w:w="15" w:type="dxa"/>
          </w:tblCellMar>
        </w:tblPrEx>
        <w:trPr>
          <w:trHeight w:val="495" w:hRule="atLeast"/>
        </w:trPr>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指标名称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计量单位</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指标性质</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指标值</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全年完成值</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偏离度（%）</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得分系数（%）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指标权重</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指标得分</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是否核心指标</w:t>
            </w: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说明</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b/>
                <w:color w:val="000000" w:themeColor="text1"/>
                <w:sz w:val="22"/>
                <w:szCs w:val="22"/>
                <w14:textFill>
                  <w14:solidFill>
                    <w14:schemeClr w14:val="tx1"/>
                  </w14:solidFill>
                </w14:textFill>
              </w:rPr>
            </w:pPr>
            <w:r>
              <w:rPr>
                <w:rFonts w:hint="eastAsia" w:ascii="宋体" w:hAnsi="宋体" w:eastAsia="宋体" w:cs="宋体"/>
                <w:b/>
                <w:color w:val="000000" w:themeColor="text1"/>
                <w:kern w:val="0"/>
                <w:sz w:val="22"/>
                <w:szCs w:val="22"/>
                <w:lang w:bidi="ar"/>
                <w14:textFill>
                  <w14:solidFill>
                    <w14:schemeClr w14:val="tx1"/>
                  </w14:solidFill>
                </w14:textFill>
              </w:rPr>
              <w:t>市财政局建议</w:t>
            </w:r>
          </w:p>
        </w:tc>
      </w:tr>
      <w:tr>
        <w:tblPrEx>
          <w:tblCellMar>
            <w:top w:w="15" w:type="dxa"/>
            <w:left w:w="15" w:type="dxa"/>
            <w:bottom w:w="15" w:type="dxa"/>
            <w:right w:w="15" w:type="dxa"/>
          </w:tblCellMar>
        </w:tblPrEx>
        <w:trPr>
          <w:trHeight w:val="495" w:hRule="atLeast"/>
        </w:trPr>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沟渠清理公里数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公里</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25</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25</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开展审计次数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次</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乡村治理积分制评比次数</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次</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72</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72</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机械粉碎秸秆比例</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95" w:hRule="atLeast"/>
        </w:trPr>
        <w:tc>
          <w:tcPr>
            <w:tcW w:w="10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村民对人居环境改善满意度</w:t>
            </w:r>
          </w:p>
        </w:tc>
        <w:tc>
          <w:tcPr>
            <w:tcW w:w="4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w:t>
            </w:r>
          </w:p>
        </w:tc>
        <w:tc>
          <w:tcPr>
            <w:tcW w:w="6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87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90</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100</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6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0" w:firstLineChars="0"/>
              <w:jc w:val="center"/>
              <w:textAlignment w:val="center"/>
              <w:outlineLvl w:val="9"/>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0" w:firstLineChars="0"/>
              <w:jc w:val="center"/>
              <w:outlineLvl w:val="9"/>
              <w:rPr>
                <w:rFonts w:ascii="宋体" w:hAnsi="宋体" w:eastAsia="宋体" w:cs="宋体"/>
                <w:color w:val="000000" w:themeColor="text1"/>
                <w:sz w:val="22"/>
                <w:szCs w:val="22"/>
                <w14:textFill>
                  <w14:solidFill>
                    <w14:schemeClr w14:val="tx1"/>
                  </w14:solidFill>
                </w14:textFill>
              </w:rPr>
            </w:pPr>
          </w:p>
        </w:tc>
      </w:tr>
    </w:tbl>
    <w:p>
      <w:pPr>
        <w:pStyle w:val="4"/>
        <w:widowControl/>
        <w:adjustRightInd w:val="0"/>
        <w:snapToGrid w:val="0"/>
        <w:spacing w:beforeAutospacing="0" w:afterAutospacing="0" w:line="594" w:lineRule="exact"/>
        <w:ind w:right="75" w:firstLine="643" w:firstLineChars="200"/>
        <w:rPr>
          <w:rFonts w:ascii="方正仿宋_GBK" w:hAnsi="方正仿宋_GBK" w:eastAsia="方正仿宋_GBK" w:cs="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2.绩效自评报告或案例。</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2022年度我部门未委托第三方开展绩效评价。</w:t>
      </w:r>
    </w:p>
    <w:p>
      <w:pPr>
        <w:pStyle w:val="4"/>
        <w:widowControl/>
        <w:adjustRightInd w:val="0"/>
        <w:snapToGrid w:val="0"/>
        <w:spacing w:beforeAutospacing="0" w:afterAutospacing="0" w:line="594" w:lineRule="exact"/>
        <w:ind w:right="75" w:firstLine="643" w:firstLineChars="200"/>
        <w:rPr>
          <w:rFonts w:ascii="方正仿宋_GBK" w:hAnsi="方正仿宋_GBK" w:eastAsia="方正仿宋_GBK" w:cs="方正仿宋_GBK"/>
          <w:color w:val="000000" w:themeColor="text1"/>
          <w:sz w:val="32"/>
          <w:szCs w:val="32"/>
          <w14:textFill>
            <w14:solidFill>
              <w14:schemeClr w14:val="tx1"/>
            </w14:solidFill>
          </w14:textFill>
        </w:rPr>
      </w:pPr>
      <w:r>
        <w:rPr>
          <w:rStyle w:val="7"/>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3.关于绩效自评结果的说明。</w:t>
      </w:r>
    </w:p>
    <w:p>
      <w:pPr>
        <w:pStyle w:val="4"/>
        <w:widowControl/>
        <w:adjustRightInd w:val="0"/>
        <w:snapToGrid w:val="0"/>
        <w:spacing w:beforeAutospacing="0" w:afterAutospacing="0" w:line="594" w:lineRule="exact"/>
        <w:ind w:right="75" w:firstLine="640" w:firstLineChars="200"/>
        <w:rPr>
          <w:rStyle w:val="7"/>
          <w:rFonts w:ascii="方正仿宋_GBK" w:hAnsi="方正仿宋_GBK" w:eastAsia="方正仿宋_GBK" w:cs="方正仿宋_GBK"/>
          <w:b w:val="0"/>
          <w:color w:val="000000" w:themeColor="text1"/>
          <w:sz w:val="32"/>
          <w:szCs w:val="32"/>
          <w:shd w:val="clear" w:color="auto" w:fill="FFFFFF"/>
          <w14:textFill>
            <w14:solidFill>
              <w14:schemeClr w14:val="tx1"/>
            </w14:solidFill>
          </w14:textFill>
        </w:rPr>
      </w:pPr>
      <w:r>
        <w:rPr>
          <w:rStyle w:val="7"/>
          <w:rFonts w:hint="eastAsia" w:ascii="方正仿宋_GBK" w:hAnsi="方正仿宋_GBK" w:eastAsia="方正仿宋_GBK" w:cs="方正仿宋_GBK"/>
          <w:b w:val="0"/>
          <w:color w:val="000000" w:themeColor="text1"/>
          <w:sz w:val="32"/>
          <w:szCs w:val="32"/>
          <w:shd w:val="clear" w:color="auto" w:fill="FFFFFF"/>
          <w14:textFill>
            <w14:solidFill>
              <w14:schemeClr w14:val="tx1"/>
            </w14:solidFill>
          </w14:textFill>
        </w:rPr>
        <w:t>我部门已完成2022年度绩效目标。</w:t>
      </w:r>
    </w:p>
    <w:p>
      <w:pPr>
        <w:pStyle w:val="4"/>
        <w:widowControl/>
        <w:adjustRightInd w:val="0"/>
        <w:snapToGrid w:val="0"/>
        <w:spacing w:beforeAutospacing="0" w:afterAutospacing="0" w:line="594" w:lineRule="exact"/>
        <w:ind w:right="75" w:firstLine="640" w:firstLineChars="200"/>
        <w:rPr>
          <w:rStyle w:val="7"/>
          <w:rFonts w:ascii="方正楷体_GBK" w:hAnsi="方正楷体_GBK" w:eastAsia="方正楷体_GBK" w:cs="方正楷体_GBK"/>
          <w:b w:val="0"/>
          <w:color w:val="000000" w:themeColor="text1"/>
          <w:sz w:val="32"/>
          <w:szCs w:val="32"/>
          <w:shd w:val="clear" w:color="auto" w:fill="FFFFFF"/>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（三）重点绩效评价结果。</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2022年区财政局未委托第三方对本部门的政策或项目开展重点绩效评价。</w:t>
      </w:r>
    </w:p>
    <w:p>
      <w:pPr>
        <w:pStyle w:val="4"/>
        <w:widowControl/>
        <w:adjustRightInd w:val="0"/>
        <w:snapToGrid w:val="0"/>
        <w:spacing w:beforeAutospacing="0" w:afterAutospacing="0" w:line="594" w:lineRule="exact"/>
        <w:ind w:right="75"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Style w:val="7"/>
          <w:rFonts w:hint="eastAsia" w:ascii="方正黑体_GBK" w:hAnsi="方正黑体_GBK" w:eastAsia="方正黑体_GBK" w:cs="方正黑体_GBK"/>
          <w:b w:val="0"/>
          <w:color w:val="000000" w:themeColor="text1"/>
          <w:sz w:val="32"/>
          <w:szCs w:val="32"/>
          <w:shd w:val="clear" w:color="auto" w:fill="FFFFFF"/>
          <w14:textFill>
            <w14:solidFill>
              <w14:schemeClr w14:val="tx1"/>
            </w14:solidFill>
          </w14:textFill>
        </w:rPr>
        <w:t>六、专业名词解释</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（一）财政拨款收入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：指本年度从本级财政部门取得的财政拨款，包括一般公共预算财政拨款和政府性基金预算财政拨款。</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（二）事业收入</w:t>
      </w:r>
      <w:r>
        <w:rPr>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指事业单位开展专业业务活动及其辅助活动取得的现金流入；事业单位收到的财政专户实际核拨的教育收费等资金在此反映。</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（三）经营收入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：指事业单位在专业业务活动及其辅助活动之外开展非独立核算经营活动取得的现金流入。</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（四）其他收入</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（五）使用非财政拨款结余</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：指单位在当年的“财政拨款收入”、“事业收入”、“经营收入”、“其他收入”等不足以安排当年支出的情况下，使用以前年度积累的非财政拨款结余弥补本年度收支缺口的资金。</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（六）年初结转和结余</w:t>
      </w: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指单位上年结转本年使用的基本支出结转、项目支出结转和结余、经营结余。</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（七）结余分配</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：指单位按照国家有关规定，缴纳所得税、提取专用基金、转入非财政拨款结余等当年结余的分配情况。</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（八）年末结转和结余</w:t>
      </w:r>
      <w:r>
        <w:rPr>
          <w:rFonts w:hint="eastAsia" w:ascii="方正楷体_GBK" w:hAnsi="方正楷体_GBK" w:eastAsia="方正楷体_GBK" w:cs="方正楷体_GBK"/>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指单位结转下年的基本支出结转、项目支出结转和结余、经营结余。</w:t>
      </w:r>
    </w:p>
    <w:p>
      <w:pPr>
        <w:pStyle w:val="4"/>
        <w:widowControl/>
        <w:adjustRightInd w:val="0"/>
        <w:snapToGrid w:val="0"/>
        <w:spacing w:beforeAutospacing="0" w:afterAutospacing="0" w:line="594" w:lineRule="exact"/>
        <w:ind w:right="75"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（九）基本支出</w:t>
      </w:r>
      <w:r>
        <w:rPr>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（十）项目支出</w:t>
      </w:r>
      <w:r>
        <w:rPr>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指在基本支出之外为完成特定行政任务和事业发展目标所发生的支出。</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（十一）经营支出</w:t>
      </w:r>
      <w:r>
        <w:rPr>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指事业单位在专业业务活动及其辅助活动之外开展非独立核算经营活动发生的支出。</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（十二）“三公”经费</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（十三）机关运行经费</w:t>
      </w:r>
      <w:r>
        <w:rPr>
          <w:color w:val="000000" w:themeColor="text1"/>
          <w:sz w:val="32"/>
          <w:szCs w:val="32"/>
          <w:shd w:val="clear" w:color="auto" w:fill="FFFFFF"/>
          <w14:textFill>
            <w14:solidFill>
              <w14:schemeClr w14:val="tx1"/>
            </w14:solidFill>
          </w14:textFill>
        </w:rPr>
        <w:t>：</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（十四）工资福利支出（支出经济分类科目类级）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：反映单位开支的在职职工和编制外长期聘用人员的各类劳动报酬，以及为上述人员缴纳的各项社会保险费等。</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（十五）商品和服务支出（支出经济分类科目类级）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：反映单位购买商品和服务的支出（不包括用于购置固定资产的支出、战略性和应急储备支出）。</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（十六）对个人和家庭的补助（支出经济分类科目类级）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：反映用于对个人和家庭的补助支出。</w:t>
      </w:r>
    </w:p>
    <w:p>
      <w:pPr>
        <w:pStyle w:val="4"/>
        <w:widowControl/>
        <w:adjustRightInd w:val="0"/>
        <w:snapToGrid w:val="0"/>
        <w:spacing w:beforeAutospacing="0" w:afterAutospacing="0" w:line="594" w:lineRule="exact"/>
        <w:ind w:right="75" w:firstLine="640" w:firstLineChars="200"/>
        <w:rPr>
          <w:color w:val="000000" w:themeColor="text1"/>
          <w:sz w:val="32"/>
          <w:szCs w:val="32"/>
          <w14:textFill>
            <w14:solidFill>
              <w14:schemeClr w14:val="tx1"/>
            </w14:solidFill>
          </w14:textFill>
        </w:rPr>
      </w:pPr>
      <w:r>
        <w:rPr>
          <w:rStyle w:val="7"/>
          <w:rFonts w:hint="eastAsia" w:ascii="方正楷体_GBK" w:hAnsi="方正楷体_GBK" w:eastAsia="方正楷体_GBK" w:cs="方正楷体_GBK"/>
          <w:b w:val="0"/>
          <w:color w:val="000000" w:themeColor="text1"/>
          <w:sz w:val="32"/>
          <w:szCs w:val="32"/>
          <w:shd w:val="clear" w:color="auto" w:fill="FFFFFF"/>
          <w14:textFill>
            <w14:solidFill>
              <w14:schemeClr w14:val="tx1"/>
            </w14:solidFill>
          </w14:textFill>
        </w:rPr>
        <w:t>（十七）其他资本性支出（支出经济分类科目类级）</w:t>
      </w: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：反映非各级发展与改革部门集中安排的用于购置固定资产、战略性和应急性储备、土地和无形资产，以及构建基础设施、大型修缮和财政支持企业更新改造所发生的支出。</w:t>
      </w:r>
    </w:p>
    <w:p>
      <w:pPr>
        <w:pStyle w:val="4"/>
        <w:widowControl/>
        <w:adjustRightInd w:val="0"/>
        <w:snapToGrid w:val="0"/>
        <w:spacing w:beforeAutospacing="0" w:afterAutospacing="0" w:line="594" w:lineRule="exact"/>
        <w:ind w:right="75" w:firstLine="640" w:firstLineChars="200"/>
        <w:rPr>
          <w:rFonts w:ascii="方正黑体_GBK" w:hAnsi="方正黑体_GBK" w:eastAsia="方正黑体_GBK" w:cs="方正黑体_GBK"/>
          <w:color w:val="000000" w:themeColor="text1"/>
          <w:sz w:val="32"/>
          <w:szCs w:val="32"/>
          <w14:textFill>
            <w14:solidFill>
              <w14:schemeClr w14:val="tx1"/>
            </w14:solidFill>
          </w14:textFill>
        </w:rPr>
      </w:pPr>
      <w:r>
        <w:rPr>
          <w:rStyle w:val="7"/>
          <w:rFonts w:hint="eastAsia" w:ascii="方正黑体_GBK" w:hAnsi="方正黑体_GBK" w:eastAsia="方正黑体_GBK" w:cs="方正黑体_GBK"/>
          <w:b w:val="0"/>
          <w:color w:val="000000" w:themeColor="text1"/>
          <w:sz w:val="32"/>
          <w:szCs w:val="32"/>
          <w:shd w:val="clear" w:color="auto" w:fill="FFFFFF"/>
          <w14:textFill>
            <w14:solidFill>
              <w14:schemeClr w14:val="tx1"/>
            </w14:solidFill>
          </w14:textFill>
        </w:rPr>
        <w:t>七、决算公开联系方式及信息反馈渠道</w:t>
      </w:r>
    </w:p>
    <w:p>
      <w:pPr>
        <w:pStyle w:val="4"/>
        <w:widowControl/>
        <w:adjustRightInd w:val="0"/>
        <w:snapToGrid w:val="0"/>
        <w:spacing w:beforeAutospacing="0" w:afterAutospacing="0" w:line="594"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本单位决算公开信息反馈和联系方式：项宇 023-65540915。</w:t>
      </w:r>
    </w:p>
    <w:p>
      <w:pPr>
        <w:adjustRightInd w:val="0"/>
        <w:snapToGrid w:val="0"/>
        <w:spacing w:line="594" w:lineRule="exact"/>
        <w:ind w:firstLine="640" w:firstLineChars="200"/>
        <w:rPr>
          <w:vanish/>
          <w:color w:val="000000" w:themeColor="text1"/>
          <w:sz w:val="32"/>
          <w:szCs w:val="32"/>
          <w14:textFill>
            <w14:solidFill>
              <w14:schemeClr w14:val="tx1"/>
            </w14:solidFill>
          </w14:textFill>
        </w:rPr>
      </w:pPr>
    </w:p>
    <w:p>
      <w:pPr>
        <w:adjustRightInd w:val="0"/>
        <w:snapToGrid w:val="0"/>
        <w:spacing w:line="594" w:lineRule="exact"/>
        <w:ind w:firstLine="640" w:firstLineChars="200"/>
        <w:rPr>
          <w:vanish/>
          <w:color w:val="000000" w:themeColor="text1"/>
          <w:sz w:val="32"/>
          <w:szCs w:val="32"/>
          <w14:textFill>
            <w14:solidFill>
              <w14:schemeClr w14:val="tx1"/>
            </w14:solidFill>
          </w14:textFill>
        </w:rPr>
      </w:pPr>
    </w:p>
    <w:p>
      <w:pPr>
        <w:adjustRightInd w:val="0"/>
        <w:snapToGrid w:val="0"/>
        <w:spacing w:line="594" w:lineRule="exact"/>
        <w:ind w:firstLine="640" w:firstLineChars="200"/>
        <w:rPr>
          <w:vanish/>
          <w:color w:val="000000" w:themeColor="text1"/>
          <w:sz w:val="32"/>
          <w:szCs w:val="32"/>
          <w14:textFill>
            <w14:solidFill>
              <w14:schemeClr w14:val="tx1"/>
            </w14:solidFill>
          </w14:textFill>
        </w:rPr>
      </w:pPr>
    </w:p>
    <w:p>
      <w:pPr>
        <w:widowControl/>
        <w:adjustRightInd w:val="0"/>
        <w:snapToGrid w:val="0"/>
        <w:spacing w:line="594" w:lineRule="exact"/>
        <w:ind w:right="75" w:firstLine="640" w:firstLineChars="200"/>
        <w:jc w:val="left"/>
        <w:rPr>
          <w:color w:val="000000" w:themeColor="text1"/>
          <w:sz w:val="32"/>
          <w:szCs w:val="32"/>
          <w14:textFill>
            <w14:solidFill>
              <w14:schemeClr w14:val="tx1"/>
            </w14:solidFill>
          </w14:textFill>
        </w:rPr>
      </w:pPr>
      <w:r>
        <w:rPr>
          <w:rFonts w:ascii="宋体" w:hAnsi="宋体" w:eastAsia="宋体" w:cs="宋体"/>
          <w:vanish/>
          <w:color w:val="000000" w:themeColor="text1"/>
          <w:kern w:val="0"/>
          <w:sz w:val="32"/>
          <w:szCs w:val="32"/>
          <w:shd w:val="clear" w:color="auto" w:fill="FFFFFF"/>
          <w:lang w:bidi="ar"/>
          <w14:textFill>
            <w14:solidFill>
              <w14:schemeClr w14:val="tx1"/>
            </w14:solidFill>
          </w14:textFill>
        </w:rPr>
        <w:t xml:space="preserve">转到第页 共1页    共1项 </w:t>
      </w:r>
    </w:p>
    <w:p>
      <w:pPr>
        <w:widowControl/>
        <w:shd w:val="clear" w:color="auto" w:fill="FFFFFF"/>
        <w:adjustRightInd w:val="0"/>
        <w:snapToGrid w:val="0"/>
        <w:spacing w:line="594" w:lineRule="exact"/>
        <w:ind w:right="75" w:firstLine="640" w:firstLineChars="200"/>
        <w:jc w:val="left"/>
        <w:rPr>
          <w:vanish/>
          <w:color w:val="000000" w:themeColor="text1"/>
          <w:sz w:val="32"/>
          <w:szCs w:val="32"/>
          <w14:textFill>
            <w14:solidFill>
              <w14:schemeClr w14:val="tx1"/>
            </w14:solidFill>
          </w14:textFill>
        </w:rPr>
      </w:pPr>
      <w:r>
        <w:rPr>
          <w:rFonts w:ascii="宋体" w:hAnsi="宋体" w:eastAsia="宋体" w:cs="宋体"/>
          <w:vanish/>
          <w:color w:val="000000" w:themeColor="text1"/>
          <w:kern w:val="0"/>
          <w:sz w:val="32"/>
          <w:szCs w:val="32"/>
          <w:shd w:val="clear" w:color="auto" w:fill="FFFFFF"/>
          <w:lang w:bidi="ar"/>
          <w14:textFill>
            <w14:solidFill>
              <w14:schemeClr w14:val="tx1"/>
            </w14:solidFill>
          </w14:textFill>
        </w:rPr>
        <w:t>  </w:t>
      </w:r>
    </w:p>
    <w:p>
      <w:pPr>
        <w:adjustRightInd w:val="0"/>
        <w:snapToGrid w:val="0"/>
        <w:spacing w:line="594" w:lineRule="exact"/>
        <w:ind w:firstLine="640" w:firstLineChars="200"/>
        <w:rPr>
          <w:color w:val="000000" w:themeColor="text1"/>
          <w:sz w:val="32"/>
          <w:szCs w:val="32"/>
          <w14:textFill>
            <w14:solidFill>
              <w14:schemeClr w14:val="tx1"/>
            </w14:solidFill>
          </w14:textFill>
        </w:rPr>
      </w:pPr>
    </w:p>
    <w:sectPr>
      <w:pgSz w:w="11906" w:h="16838"/>
      <w:pgMar w:top="1701" w:right="1134" w:bottom="170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3ZGEwNjQxNWFmZGYwY2YyNGYzMmE1MWExMjViMzYifQ=="/>
  </w:docVars>
  <w:rsids>
    <w:rsidRoot w:val="00B151FD"/>
    <w:rsid w:val="000E5113"/>
    <w:rsid w:val="00370BF9"/>
    <w:rsid w:val="003812CB"/>
    <w:rsid w:val="004969BF"/>
    <w:rsid w:val="005D326D"/>
    <w:rsid w:val="007253EE"/>
    <w:rsid w:val="00756CC1"/>
    <w:rsid w:val="00B151FD"/>
    <w:rsid w:val="00C26273"/>
    <w:rsid w:val="00C87D2F"/>
    <w:rsid w:val="00E0428A"/>
    <w:rsid w:val="01863947"/>
    <w:rsid w:val="02F55DE5"/>
    <w:rsid w:val="05181489"/>
    <w:rsid w:val="145E6E6F"/>
    <w:rsid w:val="15476E2E"/>
    <w:rsid w:val="188A409F"/>
    <w:rsid w:val="1E067C30"/>
    <w:rsid w:val="1E3429EF"/>
    <w:rsid w:val="1FA5528E"/>
    <w:rsid w:val="20396D4B"/>
    <w:rsid w:val="261E2616"/>
    <w:rsid w:val="2D0B5FD3"/>
    <w:rsid w:val="2D304217"/>
    <w:rsid w:val="32E26A66"/>
    <w:rsid w:val="363C07F7"/>
    <w:rsid w:val="395411A1"/>
    <w:rsid w:val="3B395B0C"/>
    <w:rsid w:val="42F205FF"/>
    <w:rsid w:val="43732B62"/>
    <w:rsid w:val="488A3D89"/>
    <w:rsid w:val="4B626447"/>
    <w:rsid w:val="4DD572A5"/>
    <w:rsid w:val="4EEB16E6"/>
    <w:rsid w:val="521D0823"/>
    <w:rsid w:val="54EE5192"/>
    <w:rsid w:val="57905720"/>
    <w:rsid w:val="5A1804F3"/>
    <w:rsid w:val="5AC5322D"/>
    <w:rsid w:val="60581427"/>
    <w:rsid w:val="65035F21"/>
    <w:rsid w:val="65973B50"/>
    <w:rsid w:val="679A69EC"/>
    <w:rsid w:val="695C115A"/>
    <w:rsid w:val="6F171149"/>
    <w:rsid w:val="72A9042B"/>
    <w:rsid w:val="737353CF"/>
    <w:rsid w:val="78E77201"/>
    <w:rsid w:val="7AEA252A"/>
    <w:rsid w:val="7BAE66CC"/>
    <w:rsid w:val="7D2A4296"/>
    <w:rsid w:val="7EB47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2"/>
    <w:qFormat/>
    <w:uiPriority w:val="0"/>
    <w:pPr>
      <w:tabs>
        <w:tab w:val="center" w:pos="4153"/>
        <w:tab w:val="right" w:pos="8306"/>
      </w:tabs>
      <w:snapToGrid w:val="0"/>
      <w:jc w:val="left"/>
    </w:pPr>
    <w:rPr>
      <w:sz w:val="18"/>
      <w:szCs w:val="18"/>
    </w:rPr>
  </w:style>
  <w:style w:type="paragraph" w:styleId="3">
    <w:name w:val="header"/>
    <w:basedOn w:val="1"/>
    <w:link w:val="3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ascii="Courier New" w:hAnsi="Courier New"/>
      <w:vanish/>
      <w:sz w:val="20"/>
    </w:rPr>
  </w:style>
  <w:style w:type="character" w:styleId="12">
    <w:name w:val="HTML Cite"/>
    <w:basedOn w:val="6"/>
    <w:qFormat/>
    <w:uiPriority w:val="0"/>
  </w:style>
  <w:style w:type="character" w:customStyle="1" w:styleId="13">
    <w:name w:val="directchildrenspan"/>
    <w:basedOn w:val="6"/>
    <w:qFormat/>
    <w:uiPriority w:val="0"/>
  </w:style>
  <w:style w:type="character" w:customStyle="1" w:styleId="14">
    <w:name w:val="item-middle"/>
    <w:basedOn w:val="6"/>
    <w:qFormat/>
    <w:uiPriority w:val="0"/>
  </w:style>
  <w:style w:type="character" w:customStyle="1" w:styleId="15">
    <w:name w:val="ui-state-default12"/>
    <w:basedOn w:val="6"/>
    <w:qFormat/>
    <w:uiPriority w:val="0"/>
  </w:style>
  <w:style w:type="character" w:customStyle="1" w:styleId="16">
    <w:name w:val="clicked"/>
    <w:basedOn w:val="6"/>
    <w:qFormat/>
    <w:uiPriority w:val="0"/>
  </w:style>
  <w:style w:type="character" w:customStyle="1" w:styleId="17">
    <w:name w:val="clicked1"/>
    <w:basedOn w:val="6"/>
    <w:qFormat/>
    <w:uiPriority w:val="0"/>
  </w:style>
  <w:style w:type="character" w:customStyle="1" w:styleId="18">
    <w:name w:val="clicked2"/>
    <w:basedOn w:val="6"/>
    <w:qFormat/>
    <w:uiPriority w:val="0"/>
    <w:rPr>
      <w:color w:val="000000"/>
    </w:rPr>
  </w:style>
  <w:style w:type="character" w:customStyle="1" w:styleId="19">
    <w:name w:val="ui-state-hover21"/>
    <w:basedOn w:val="6"/>
    <w:qFormat/>
    <w:uiPriority w:val="0"/>
  </w:style>
  <w:style w:type="character" w:customStyle="1" w:styleId="20">
    <w:name w:val="button-hover"/>
    <w:basedOn w:val="6"/>
    <w:qFormat/>
    <w:uiPriority w:val="0"/>
  </w:style>
  <w:style w:type="character" w:customStyle="1" w:styleId="21">
    <w:name w:val="button-hover1"/>
    <w:basedOn w:val="6"/>
    <w:qFormat/>
    <w:uiPriority w:val="0"/>
  </w:style>
  <w:style w:type="character" w:customStyle="1" w:styleId="22">
    <w:name w:val="imgspan"/>
    <w:basedOn w:val="6"/>
    <w:qFormat/>
    <w:uiPriority w:val="0"/>
  </w:style>
  <w:style w:type="character" w:customStyle="1" w:styleId="23">
    <w:name w:val="image5"/>
    <w:basedOn w:val="6"/>
    <w:qFormat/>
    <w:uiPriority w:val="0"/>
  </w:style>
  <w:style w:type="character" w:customStyle="1" w:styleId="24">
    <w:name w:val="image6"/>
    <w:basedOn w:val="6"/>
    <w:qFormat/>
    <w:uiPriority w:val="0"/>
  </w:style>
  <w:style w:type="character" w:customStyle="1" w:styleId="25">
    <w:name w:val="image7"/>
    <w:basedOn w:val="6"/>
    <w:qFormat/>
    <w:uiPriority w:val="0"/>
  </w:style>
  <w:style w:type="character" w:customStyle="1" w:styleId="26">
    <w:name w:val="group"/>
    <w:basedOn w:val="6"/>
    <w:qFormat/>
    <w:uiPriority w:val="0"/>
  </w:style>
  <w:style w:type="character" w:customStyle="1" w:styleId="27">
    <w:name w:val="ui-state-active6"/>
    <w:basedOn w:val="6"/>
    <w:qFormat/>
    <w:uiPriority w:val="0"/>
  </w:style>
  <w:style w:type="character" w:customStyle="1" w:styleId="28">
    <w:name w:val="ui-icon34"/>
    <w:basedOn w:val="6"/>
    <w:qFormat/>
    <w:uiPriority w:val="0"/>
  </w:style>
  <w:style w:type="character" w:customStyle="1" w:styleId="29">
    <w:name w:val="newstitle"/>
    <w:basedOn w:val="6"/>
    <w:qFormat/>
    <w:uiPriority w:val="0"/>
    <w:rPr>
      <w:b/>
      <w:color w:val="000000"/>
      <w:sz w:val="24"/>
      <w:szCs w:val="24"/>
    </w:rPr>
  </w:style>
  <w:style w:type="character" w:customStyle="1" w:styleId="30">
    <w:name w:val="34"/>
    <w:qFormat/>
    <w:uiPriority w:val="0"/>
    <w:rPr>
      <w:rFonts w:hint="default" w:ascii="Calibri" w:hAnsi="Calibri"/>
      <w:b/>
      <w:bCs/>
    </w:rPr>
  </w:style>
  <w:style w:type="character" w:customStyle="1" w:styleId="31">
    <w:name w:val="页眉 Char"/>
    <w:basedOn w:val="6"/>
    <w:link w:val="3"/>
    <w:qFormat/>
    <w:uiPriority w:val="0"/>
    <w:rPr>
      <w:rFonts w:asciiTheme="minorHAnsi" w:hAnsiTheme="minorHAnsi" w:eastAsiaTheme="minorEastAsia" w:cstheme="minorBidi"/>
      <w:kern w:val="2"/>
      <w:sz w:val="18"/>
      <w:szCs w:val="18"/>
    </w:rPr>
  </w:style>
  <w:style w:type="character" w:customStyle="1" w:styleId="32">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1688</Words>
  <Characters>9627</Characters>
  <Lines>80</Lines>
  <Paragraphs>22</Paragraphs>
  <TotalTime>9</TotalTime>
  <ScaleCrop>false</ScaleCrop>
  <LinksUpToDate>false</LinksUpToDate>
  <CharactersWithSpaces>11293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2023-09-15T04:29:00Z</dcterms:created>
  <dc:creator>Administrator</dc:creator>
  <cp:lastModifiedBy>Freely  Fly</cp:lastModifiedBy>
  <dcterms:modified xsi:type="dcterms:W3CDTF">2023-09-26T01:53:37Z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BE5D6C626DE5419981C0E37A97468CB1_13</vt:lpwstr>
  </property>
</Properties>
</file>