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9" w:lineRule="exact"/>
        <w:jc w:val="left"/>
        <w:rPr>
          <w:rFonts w:hint="eastAsia" w:ascii="方正黑体_GBK" w:hAnsi="微软雅黑" w:eastAsia="方正黑体_GBK" w:cs="宋体"/>
          <w:bCs/>
          <w:kern w:val="0"/>
          <w:sz w:val="32"/>
          <w:szCs w:val="32"/>
        </w:rPr>
      </w:pPr>
      <w:r>
        <w:rPr>
          <w:rFonts w:hint="eastAsia" w:ascii="方正黑体_GBK" w:hAnsi="微软雅黑" w:eastAsia="方正黑体_GBK" w:cs="宋体"/>
          <w:bCs/>
          <w:kern w:val="0"/>
          <w:sz w:val="32"/>
          <w:szCs w:val="32"/>
        </w:rPr>
        <w:t>附件1</w:t>
      </w:r>
    </w:p>
    <w:p>
      <w:pPr>
        <w:overflowPunct w:val="0"/>
        <w:adjustRightInd w:val="0"/>
        <w:snapToGrid w:val="0"/>
        <w:spacing w:line="579" w:lineRule="exact"/>
        <w:jc w:val="center"/>
        <w:rPr>
          <w:rFonts w:hint="eastAsia" w:ascii="方正小标宋_GBK" w:hAnsi="微软雅黑" w:eastAsia="方正小标宋_GBK" w:cs="宋体"/>
          <w:bCs/>
          <w:kern w:val="0"/>
          <w:sz w:val="44"/>
          <w:szCs w:val="44"/>
        </w:rPr>
      </w:pPr>
    </w:p>
    <w:p>
      <w:pPr>
        <w:overflowPunct w:val="0"/>
        <w:adjustRightInd w:val="0"/>
        <w:snapToGrid w:val="0"/>
        <w:spacing w:line="579" w:lineRule="exact"/>
        <w:jc w:val="center"/>
        <w:rPr>
          <w:rFonts w:ascii="方正小标宋_GBK" w:hAnsi="微软雅黑" w:eastAsia="方正小标宋_GBK" w:cs="宋体"/>
          <w:bCs/>
          <w:kern w:val="0"/>
          <w:sz w:val="44"/>
          <w:szCs w:val="44"/>
        </w:rPr>
      </w:pPr>
      <w:bookmarkStart w:id="0" w:name="_GoBack"/>
      <w:r>
        <w:rPr>
          <w:rFonts w:hint="eastAsia" w:ascii="方正小标宋_GBK" w:hAnsi="微软雅黑" w:eastAsia="方正小标宋_GBK" w:cs="宋体"/>
          <w:bCs/>
          <w:kern w:val="0"/>
          <w:sz w:val="44"/>
          <w:szCs w:val="44"/>
        </w:rPr>
        <w:t>《特困人员认定办法》</w:t>
      </w:r>
    </w:p>
    <w:bookmarkEnd w:id="0"/>
    <w:p>
      <w:pPr>
        <w:overflowPunct w:val="0"/>
        <w:adjustRightInd w:val="0"/>
        <w:snapToGrid w:val="0"/>
        <w:spacing w:line="579" w:lineRule="exact"/>
        <w:jc w:val="center"/>
        <w:rPr>
          <w:rFonts w:ascii="方正小标宋_GBK" w:hAnsi="微软雅黑" w:eastAsia="方正小标宋_GBK" w:cs="宋体"/>
          <w:kern w:val="0"/>
          <w:sz w:val="44"/>
          <w:szCs w:val="44"/>
        </w:rPr>
      </w:pPr>
    </w:p>
    <w:p>
      <w:pPr>
        <w:overflowPunct w:val="0"/>
        <w:adjustRightInd w:val="0"/>
        <w:snapToGrid w:val="0"/>
        <w:spacing w:line="579" w:lineRule="exact"/>
        <w:jc w:val="center"/>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第一章  总则</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第二条  特困人员认定工作应当遵循以下原则：</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（一）应救尽救，应养尽养；</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（二）属地管理，分级负责；</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（三）严格规范，高效便民；</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（四）公开、公平、公正。</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第三条  县级以上地方人民政府民政部门统筹做好本行政区域内特困人员认定及救助供养工作。</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县级人民政府民政部门负责特困人员认定的审核确认工作，乡镇人民政府（街道办事处）负责特困人员认定的受理、初审工作。村（居）民委员会协助做好相关工作。</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第二章  认定条件</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第四条  同时具备以下条件的老年人、残疾人和未成年人，应当依法纳入特困人员救助供养范围：</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（一）无劳动能力；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（二）无生活来源；</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（三）无法定赡养、抚养、扶养义务人或者其法定义务人无履行义务能力。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第五条  符合下列情形之一的，应当认定为本办法所称的无劳动能力：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（一）60周岁以上的老年人；</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（二）未满16周岁的未成年人；</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（三）残疾等级为一、二、三级的智力、精神残疾人，残疾等级为一、二级的肢体残疾人，残疾等级为一级的视力残疾人；</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（四）省、自治区、直辖市人民政府规定的其他情形。</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第六条  收入低于当地最低生活保障标准，且财产符合当地特困人员财产状况规定的，应当认定为本办法所称的无生活来源。</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第七条  特困人员财产状况认定标准由设区的市级以上地方人民政府民政部门制定，并报同级地方人民政府同意。</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第八条  法定义务人符合下列情形之一的，应当认定为本办法所称的无履行义务能力：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（一）特困人员；</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（二）60周岁以上的最低生活保障对象；</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（三）70周岁以上的老年人，本人收入低于当地上年人均可支配收入，且其财产符合当地低收入家庭财产状况规定的；</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（四）重度残疾人和残疾等级为三级的智力、精神残疾人，本人收入低于当地上年人均可支配收入，且其财产符合当地低收入家庭财产状况规定的；</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（五）无民事行为能力、被宣告失踪或者在监狱服刑的人员，且其财产符合当地低收入家庭财产状况规定的；</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（六）省、自治区、直辖市人民政府规定的其他情形。</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第九条  同时符合特困人员救助供养条件和孤儿、事实无人抚养儿童认定条件的未成年人，选择申请纳入孤儿、事实无人抚养儿童基本生活保障范围的，不再认定为特困人员。</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第三章  申请及受理</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第十条  申请特困人员救助供养，应当由本人向户籍所在地乡镇人民政府（街道办事处）提出书面申请。本人申请有困难的，可以委托村（居）民委员会或者他人代为提出申请。</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申请材料主要包括本人有效身份证明，劳动能力、生活来源、财产状况以及赡养、抚养、扶养情况的书面声明，承诺所提供信息真实、完整的承诺书，残疾人应当提供中华人民共和国残疾人证。</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申请人及其法定义务人应当履行授权核查家庭经济状况的相关手续。</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第十二条  乡镇人民政府（街道办事处）应当对申请人或者其代理人提交的材料进行审查，材料齐备的，予以受理；材料不齐备的，应当一次性告知申请人或者其代理人补齐所有规定材料。</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第四章  审核确认</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申请人以及有关单位、组织或者个人应当配合调查，如实提供有关情况。村（居）民委员会应当协助乡镇人民政府（街道办事处）开展调查核实。</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第十四条  调查核实过程中，乡镇人民政府（街道办事处）可视情组织民主评议，在村（居）民委员会协助下，对申请人书面声明内容的真实性、完整性及调查核实结果的客观性进行评议。</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第十五条  乡镇人民政府（街道办事处）应当将初审意见及时在申请人所在村（社区）公示。公示期为7天。</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第十六条  县级人民政府民政部门应当全面审核乡镇人民政府（街道办事处）上报的申请材料、调查材料和初审意见，按照不低于30%的比例随机抽查核实，并在15个工作日内提出确认意见。</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第十八条  不符合条件、不予同意的，县级人民政府民政部门应当在作出决定3个工作日内，通过乡镇人民政府（街道办事处）书面告知申请人或者其代理人并说明理由。</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第五章  生活自理能力评估</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有条件的地方，可以委托第三方机构开展特困人员生活自理能力评估。</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第二十一条  特困人员生活自理能力，一般依据以下6项指标综合评估：</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（一）自主吃饭；</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（二）自主穿衣；</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（三）自主上下床；</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（四）自主如厕；</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（五）室内自主行走；</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（六）自主洗澡。</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第六章  终止救助供养</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第二十四条  特困人员有下列情形之一的，应当及时终止救助供养：</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（一）死亡或者被宣告死亡、被宣告失踪；</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（二）具备或者恢复劳动能力；</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（三）依法被判处刑罚，且在监狱服刑；</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（四）收入和财产状况不再符合本办法第六条规定；</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（五）法定义务人具有了履行义务能力或者新增具有履行义务能力的法定义务人；</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（六）自愿申请退出救助供养。</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特困人员中的未成年人，可继续享有救助供养待遇至18周岁；年满18周岁仍在接受义务教育或者在普通高中、中等职业学校就读的，可继续享有救助供养待遇。</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县级人民政府民政部门、乡镇人民政府（街道办事处）在工作中发现特困人员不再符合救助供养条件的，应当及时办理终止救助供养手续。</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第二十六条  对拟终止救助供养的特困人员，县级人民政府民政部门应当通过乡镇人民政府（街道办事处），在其所在村（社区）或者供养服务机构公示。公示期为7天。</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第二十七条  对终止救助供养的原特困人员，符合最低生活保障、临时救助等其他社会救助条件的，应当按规定及时纳入相应救助范围。</w:t>
      </w:r>
    </w:p>
    <w:p>
      <w:pPr>
        <w:overflowPunct w:val="0"/>
        <w:adjustRightInd w:val="0"/>
        <w:snapToGrid w:val="0"/>
        <w:spacing w:line="579" w:lineRule="exact"/>
        <w:jc w:val="center"/>
        <w:rPr>
          <w:rFonts w:eastAsia="方正仿宋_GBK"/>
          <w:kern w:val="0"/>
          <w:sz w:val="32"/>
          <w:szCs w:val="32"/>
        </w:rPr>
      </w:pPr>
      <w:r>
        <w:rPr>
          <w:rFonts w:eastAsia="方正仿宋_GBK"/>
          <w:b/>
          <w:bCs/>
          <w:kern w:val="0"/>
          <w:sz w:val="32"/>
          <w:szCs w:val="32"/>
        </w:rPr>
        <w:t>第七章  附则</w:t>
      </w:r>
    </w:p>
    <w:p>
      <w:pPr>
        <w:overflowPunct w:val="0"/>
        <w:adjustRightInd w:val="0"/>
        <w:snapToGrid w:val="0"/>
        <w:spacing w:line="579" w:lineRule="exact"/>
        <w:ind w:firstLine="480"/>
        <w:rPr>
          <w:rFonts w:eastAsia="方正仿宋_GBK"/>
          <w:kern w:val="0"/>
          <w:sz w:val="32"/>
          <w:szCs w:val="32"/>
        </w:rPr>
      </w:pPr>
      <w:r>
        <w:rPr>
          <w:rFonts w:eastAsia="方正仿宋_GBK"/>
          <w:kern w:val="0"/>
          <w:sz w:val="32"/>
          <w:szCs w:val="32"/>
        </w:rPr>
        <w:t>第二十八条  有条件的地方可将审核确认权限下放至乡镇人民政府（街道办事处），县级民政部门加强监督指导。</w:t>
      </w:r>
    </w:p>
    <w:p>
      <w:pPr>
        <w:overflowPunct w:val="0"/>
        <w:adjustRightInd w:val="0"/>
        <w:snapToGrid w:val="0"/>
        <w:spacing w:line="579" w:lineRule="exact"/>
        <w:rPr>
          <w:rFonts w:eastAsia="方正仿宋_GBK"/>
          <w:kern w:val="0"/>
          <w:sz w:val="32"/>
          <w:szCs w:val="32"/>
        </w:rPr>
      </w:pPr>
      <w:r>
        <w:rPr>
          <w:rFonts w:eastAsia="方正仿宋_GBK"/>
          <w:kern w:val="0"/>
          <w:sz w:val="32"/>
          <w:szCs w:val="32"/>
        </w:rPr>
        <w:t>第二十九条  本办法自2021年7月1日起施行。2016年10月10日民政部印发的《特困人员认定办法》同时废止。</w:t>
      </w:r>
    </w:p>
    <w:p>
      <w:pPr>
        <w:pStyle w:val="2"/>
        <w:spacing w:line="594" w:lineRule="exact"/>
        <w:rPr>
          <w:rFonts w:hint="eastAsia" w:ascii="方正黑体_GBK" w:eastAsia="方正黑体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E4F68"/>
    <w:rsid w:val="0F3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2022-06-13T03:05:00Z</dcterms:created>
  <dc:creator>月亮与六便士</dc:creator>
  <cp:lastModifiedBy>月亮与六便士</cp:lastModifiedBy>
  <dcterms:modified xsi:type="dcterms:W3CDTF">2022-06-13T03:06:02Z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BC71B3907D224664B62A5B56E1BB01B9</vt:lpwstr>
  </property>
</Properties>
</file>