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pict>
          <v:shape id="_x0000_s1026" o:spid="_x0000_s1026" o:spt="136" type="#_x0000_t136" style="position:absolute;left:0pt;margin-left:91.8pt;margin-top:6.9pt;height:49pt;width:408.35pt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aspectratio="f"/>
            <v:textpath on="t" fitshape="t" fitpath="t" trim="t" xscale="f" string="重庆市沙坪坝区人民政府渝碚路街道办事处&#10;" style="font-family:方正小标宋_GBK;font-size:24pt;font-weight:bold;v-rotate-letters:f;v-same-letter-heights:f;v-text-align:center;"/>
          </v:shape>
        </w:pict>
      </w:r>
    </w:p>
    <w:p>
      <w:pPr>
        <w:pStyle w:val="5"/>
        <w:ind w:left="-646" w:leftChars="-202" w:right="-797" w:rightChars="-249"/>
        <w:rPr>
          <w:rFonts w:ascii="Times New Roman" w:eastAsia="微软雅黑"/>
          <w:sz w:val="21"/>
          <w:szCs w:val="21"/>
        </w:rPr>
      </w:pPr>
    </w:p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margin">
                  <wp:posOffset>981710</wp:posOffset>
                </wp:positionV>
                <wp:extent cx="5615940" cy="0"/>
                <wp:effectExtent l="0" t="10795" r="3810" b="17780"/>
                <wp:wrapNone/>
                <wp:docPr id="4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8.45pt;margin-top:77.3pt;height:0pt;width:442.2pt;mso-position-horizontal-relative:page;mso-position-vertical-relative:margin;z-index:251663360;mso-width-relative:page;mso-height-relative:page;" filled="f" stroked="t" coordsize="21600,21600" o:gfxdata="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xfwZk&#10;2QAAAAwBAAAPAAAAAAAAAAEAIAAAACIAAABkcnMvZG93bnJldi54bWxQSwECFAAUAAAACACHTuJA&#10;Xx/aWecBAADeAwAADgAAAAAAAAABACAAAAAoAQAAZHJzL2Uyb0RvYy54bWxQSwUGAAAAAAYABgBZ&#10;AQAAg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margin">
                  <wp:posOffset>943610</wp:posOffset>
                </wp:positionV>
                <wp:extent cx="5615940" cy="0"/>
                <wp:effectExtent l="0" t="10795" r="3810" b="1778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8.45pt;margin-top:74.3pt;height:0pt;width:442.2pt;mso-position-horizontal-relative:page;mso-position-vertical-relative:margin;z-index:251661312;mso-width-relative:page;mso-height-relative:page;" filled="f" stroked="t" coordsize="21600,21600" o:gfxdata="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tLCB/&#10;2QAAAAwBAAAPAAAAAAAAAAEAIAAAACIAAABkcnMvZG93bnJldi54bWxQSwECFAAUAAAACACHTuJA&#10;a/IBcucBAADeAwAADgAAAAAAAAABACAAAAAoAQAAZHJzL2Uyb0RvYy54bWxQSwUGAAAAAAYABgBZ&#10;AQAAgQ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 w:val="0"/>
          <w:bCs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869315</wp:posOffset>
                </wp:positionH>
                <wp:positionV relativeFrom="margin">
                  <wp:posOffset>934085</wp:posOffset>
                </wp:positionV>
                <wp:extent cx="5615940" cy="0"/>
                <wp:effectExtent l="0" t="10795" r="3810" b="17780"/>
                <wp:wrapNone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68.45pt;margin-top:73.55pt;height:0pt;width:442.2pt;mso-position-horizontal-relative:page;mso-position-vertical-relative:margin;z-index:251662336;mso-width-relative:page;mso-height-relative:page;" filled="f" stroked="t" coordsize="21600,21600" o:gfxdata="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5JzHTZ&#10;AAAADAEAAA8AAAAAAAAAAQAgAAAAIgAAAGRycy9kb3ducmV2LnhtbFBLAQIUABQAAAAIAIdO4kDj&#10;PZ9X5gEAAN4DAAAOAAAAAAAAAAEAIAAAACgBAABkcnMvZTJvRG9jLnhtbFBLBQYAAAAABgAGAFkB&#10;AACA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重庆市沙坪坝区人民政府渝碚路街道办事处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2022年法治政府建设情况</w:t>
      </w: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报告</w:t>
      </w:r>
    </w:p>
    <w:p>
      <w:pPr>
        <w:pStyle w:val="6"/>
        <w:rPr>
          <w:rFonts w:hint="default" w:ascii="Times New Roman" w:hAnsi="Times New Roman" w:eastAsia="方正小标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渝碚路街道党工委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2022年，渝碚路街道法治政府建设工作在</w:t>
      </w: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街道党工委的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坚强领导下，全面贯彻落实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习近平法治思想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，按照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党中央、国务院《法治政府建设实施纲要（2021—2025年）》及市、区方案部署，紧密围绕街道发展大局，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一体推进法治政府、法治社会建设，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双巷子社区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成功创建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重庆市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民主法治示范社区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在辖区全域营造了良好的法治氛围，现将有关情况报告如下：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推进法治政府建设的主要举措和成效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抓统筹、严规范，法治政府建设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纵深推进。</w:t>
      </w: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统筹抓好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示范创建。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根据人事变动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情况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及时调整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法治建设工作领导小组，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调整成立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由街道党政主要领导任双组长，分管领导任副组长、各科室和社区居委会主任为成员的领导小组，深入推进街道法治建设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召开法治政府示范创建工作会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逐项梳理创建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迎检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指标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接受督查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1次，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法治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工作落到实处，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助力沙坪坝区成功创建全国法治政府示范区。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不断规范行政决策。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严格执行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“三重一大”事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项班子集体讨论、集体决策机制，设置决策事项审查表，在集体讨论前层层审查，过滤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问题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、瑕疵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共召开行政办公会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周例会</w:t>
      </w:r>
      <w:r>
        <w:rPr>
          <w:rFonts w:hint="eastAsia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51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次，集体讨论决定议题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项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决策程序规范。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逗硬执行法治审核机制，法治审核人员、法律顾问参与街道文件制定、合同起草、项目研究等事务，全年对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457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件项目合同进行了合法性审查，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全面防控法律风险，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实现“零违约、零纠纷”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规范公示公开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制度，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通过沙坪坝区政府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门户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网站主动公开政府信息1500条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渝碚路微刊、云享渝碚路等平台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发布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动态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150余条，主动展示工作动态、项目进展，接受群众监督。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持续优化行政执法。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组织行政执法人员参加网络培训，学习行政处罚、行政强制、行政复议等内容，9名执法人员均完成线上学习并考试合格。强化城市管理、消防安全等重点领域执法，整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治“四山”外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围违法用地、违法建筑4580平方米，拆除新增违法建筑300平方米，开展消防安全执法279次，排查整治企业、出租屋等重点场所隐患508个，均严格执行行政执法全过程记录、重大执法决定法制审核、行政执法公示制度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“三项制度”，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做到执法规范。全面推行行政指导、说服教育、劝导示范等柔性执法手段，约谈工贸企业100余家、劝离占用消防通道5300余车次，劝阻违法建设行为26人次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，做到文明执法，彰显法治温度。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（二）提品质、优环境，法治社会建设持续增效。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一是公共服务更加便捷。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推动职工医保、养老保险、失业登记、残疾人帮扶、创业贷款、劳动监察、物业服务等10余个事项入驻街道公共服务中心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渝快办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平台，公开59项公共服务事项办事流程、承诺时限、申请材料等，实现30项事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项“零跑腿”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网上办，95项事项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“最多跑一次”，让群众进“一扇门”，到“一个窗”，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就能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办成“一件事”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，全年办理公共服务事项8千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余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件。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普法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宣传教育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更加深入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集中开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展“护航开学季”“全民反诈”“《民法典》宣讲走进物管行业”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等普法宣传活动30场次，张贴、悬挂、发放宣传资料2万余份，现场解答法律咨询174人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次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。邀请法官、检察官、村居法律顾问开展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“巡回法庭”“莎姐说法”“送法进社区”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等法治宣讲15场次，结合群众身边发生的案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例“以案说法”，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针对80后女性，外卖、寄递物流、商场从业者等群体，推送反诈宣传短信2万余条，辖区电信诈骗发案数量、金额均实现大幅下降。组织领导干部参加法治理论考试，48名在职在编干部职工参加考试，合格率100%。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更加精准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严格落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实“一企一专班”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联系服务企业制度，全年走访企业1300余家，收集处理问题300余个。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扎实推进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“三个一公里”“一楼一专班”等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举措，搭建助企纾困交流平台，邀请区级相关部门工作人员进圈入群及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时解答各种政策咨询。用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好“益企向未来”主题沙龙，创新开展“惠民集市”“助企纾困·益企谈”等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惠民惠企活动10余场，不断优化营商环境。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（三）抓安全、保稳定，防范化解风险全面加强。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疫情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防控多措并举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积极应对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8.16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11.01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”抗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疫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大考，从严从实从细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落实疫情防控措施，组建上下协同、一线指导的防控工作组13支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建立底数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清、情况明的人口管理台账，合理设置采样点33个、采样台147个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转阳1118人，转密2298人，封控高风险楼栋108个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畅通孕产妇、老年人</w:t>
      </w:r>
      <w:r>
        <w:rPr>
          <w:rFonts w:hint="eastAsia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应急就医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绿色通道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76人次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配送团购物资、爱心蔬菜包等4.5万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助力打赢疫情防控阻击战。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大力推动老年人疫苗接种工作，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成立10支疫苗接种服务队伍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设置6个便民接种点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，安排工作人员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主动上门接送</w:t>
      </w:r>
      <w:r>
        <w:rPr>
          <w:rFonts w:hint="default" w:ascii="Times New Roman" w:hAnsi="Times New Roman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，不断优化工作措施，细致周到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推进60岁以上老年人疫苗接种，相关服务举措被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《重庆日报》和华龙网报道。</w:t>
      </w:r>
      <w:r>
        <w:rPr>
          <w:rFonts w:hint="default" w:ascii="Times New Roman" w:hAnsi="Times New Roman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矛盾纠纷多元化解。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建成三峡广场红岩市民综合调解站，属全区首个建在商圈内的人民调解阵地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推动法官、民警、专兼职调解员、律师、公证员、社区工作者6类人员进驻调解站，探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索“六员合一”基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层社会治理一站式综合调解模式，实现多方参与，共同化解矛盾纠纷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全年调解案件897件，位全区各调委会调解量首位，占全区调解总量十分之一以上，筑守平安稳定、社会和</w:t>
      </w:r>
      <w:r>
        <w:rPr>
          <w:rFonts w:hint="eastAsia" w:ascii="方正仿宋_GBK" w:hAnsi="方正仿宋_GBK" w:eastAsia="方正仿宋_GBK" w:cs="方正仿宋_GBK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谐的“第一道防线”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三是社会</w:t>
      </w:r>
      <w:r>
        <w:rPr>
          <w:rFonts w:hint="default" w:ascii="Times New Roman" w:hAnsi="Times New Roman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治理一网统揽。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打造渝碚路街道社会治理工作中心，接入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雪亮工程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云享渝碚路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智慧社区管理平台，发挥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向日葵</w:t>
      </w:r>
      <w:r>
        <w:rPr>
          <w:rFonts w:hint="eastAsia" w:ascii="Times New Roman" w:hAnsi="Times New Roman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  <w:t>网格员队伍作用，各网格日常巡查发现安全隐患、城市管理等问题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3076件，做到件件有回声，件件有落实。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二、党政主要负责人履行推进法治建设第一责任人职责情况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leftChars="200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highlight w:val="none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楷体_GBK" w:cs="Times New Roman"/>
          <w:color w:val="000000" w:themeColor="text1"/>
          <w:kern w:val="0"/>
          <w:sz w:val="32"/>
          <w:szCs w:val="32"/>
          <w:lang w:val="zh-CN" w:eastAsia="zh-CN" w:bidi="ar"/>
          <w14:textFill>
            <w14:solidFill>
              <w14:schemeClr w14:val="tx1"/>
            </w14:solidFill>
          </w14:textFill>
        </w:rPr>
        <w:t>带头尊法学法。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highlight w:val="none"/>
          <w:lang w:val="zh-CN" w:eastAsia="zh-CN" w:bidi="ar-SA"/>
          <w14:textFill>
            <w14:solidFill>
              <w14:schemeClr w14:val="tx1"/>
            </w14:solidFill>
          </w14:textFill>
        </w:rPr>
        <w:t>将习近平法治思想、重点法律法规作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微软雅黑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highlight w:val="none"/>
          <w:lang w:val="zh-CN" w:eastAsia="zh-CN" w:bidi="ar-SA"/>
          <w14:textFill>
            <w14:solidFill>
              <w14:schemeClr w14:val="tx1"/>
            </w14:solidFill>
          </w14:textFill>
        </w:rPr>
        <w:t>为重要学习内容，纳入</w:t>
      </w:r>
      <w:r>
        <w:rPr>
          <w:rFonts w:hint="eastAsia" w:cs="Times New Roman"/>
          <w:bCs/>
          <w:color w:val="000000" w:themeColor="text1"/>
          <w:kern w:val="2"/>
          <w:sz w:val="32"/>
          <w:szCs w:val="32"/>
          <w:highlight w:val="none"/>
          <w:lang w:val="zh-CN" w:eastAsia="zh-CN" w:bidi="ar-SA"/>
          <w14:textFill>
            <w14:solidFill>
              <w14:schemeClr w14:val="tx1"/>
            </w14:solidFill>
          </w14:textFill>
        </w:rPr>
        <w:t>办公会学习计划，纳入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领导干部教育培训内容</w:t>
      </w:r>
      <w:r>
        <w:rPr>
          <w:rFonts w:hint="eastAsia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，全年带头学习4次，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组织街道、社区干部专题学习习近平法治思想2次。将学习宣传贯彻习近平法治思想与党史学习教育紧密结合，依托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党支部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三会一课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、主题党日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集中开展学习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依托各社区党群服务中心及街道新媒体平台深入开展宣传，树立信奉法律、崇尚法治的理念。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（二）主动述法用法。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充分认识法治建设的重要性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在述职述廉中落实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述法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督促班子成员落实“述法”责任。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坚持用习近平法治思想统揽工作全局，运用法治思维和法治方式深化改革、推动发展、维护稳定，不断提高依法</w:t>
      </w:r>
      <w:r>
        <w:rPr>
          <w:rFonts w:hint="eastAsia" w:ascii="Times New Roman" w:hAnsi="Times New Roman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治理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firstLine="620"/>
        <w:textAlignment w:val="auto"/>
        <w:rPr>
          <w:rFonts w:hint="default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（三）依法督办落实。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对法治建设重要工作做到亲自部署、重大问题亲自过问、重点环节亲自协调、重要任务亲自督办，将各项工作纳入法治化轨道</w:t>
      </w:r>
      <w:r>
        <w:rPr>
          <w:rFonts w:hint="eastAsia" w:ascii="方正仿宋_GBK" w:hAnsi="方正仿宋_GBK" w:cs="方正仿宋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cs="方正仿宋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督促</w:t>
      </w:r>
      <w:r>
        <w:rPr>
          <w:rFonts w:hint="default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eastAsia="方正仿宋_GBK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eastAsia="方正仿宋_GBK"/>
          <w:color w:val="000000" w:themeColor="text1"/>
          <w:sz w:val="32"/>
          <w:szCs w:val="32"/>
          <w:lang w:val="zh-CN" w:eastAsia="zh-CN"/>
          <w14:textFill>
            <w14:solidFill>
              <w14:schemeClr w14:val="tx1"/>
            </w14:solidFill>
          </w14:textFill>
        </w:rPr>
        <w:t>工作任务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落地落实。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三、存在不足和原因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一是法治建设制度还需持续完善。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目前，街道</w:t>
      </w:r>
      <w:r>
        <w:rPr>
          <w:rFonts w:hint="eastAsia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虽</w:t>
      </w:r>
      <w:r>
        <w:rPr>
          <w:rFonts w:hint="eastAsia" w:ascii="Times New Roman" w:hAnsi="Times New Roman" w:eastAsia="方正仿宋_GBK" w:cs="Times New Roman"/>
          <w:b w:val="0"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建立了合同管理制度，切实开展了集体学法、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行政决策合法性审核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等工作，但尚未形成</w:t>
      </w:r>
      <w:r>
        <w:rPr>
          <w:rFonts w:hint="eastAsia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制度，亟待完善。</w:t>
      </w:r>
      <w:r>
        <w:rPr>
          <w:rFonts w:hint="eastAsia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二是法治品牌还需持续擦亮。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红岩市民综合调解站虽建成并持续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运转，但参与主体还停留在调解员、律师、民警等“老面孔”，调解案件还多是邻里纠纷、婚姻家庭矛盾等“老几样”，着力“综合”调解，积力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众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智还不够。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三是法律顾问还需持续用好。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街道法律顾问虽参与了重大执法案件审核、合同审查，但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开展法治宣讲，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参与行政决策、项目审查、文件起</w:t>
      </w:r>
      <w:r>
        <w:rPr>
          <w:rFonts w:hint="eastAsia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草等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其他法治工作的深度还不够。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asci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究其原因：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一是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学懂弄通</w:t>
      </w:r>
      <w:r>
        <w:rPr>
          <w:rFonts w:hint="eastAsia" w:ascii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到位</w:t>
      </w:r>
      <w:r>
        <w:rPr>
          <w:rFonts w:hint="eastAsia" w:asci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对习近平法治思想的学习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满足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于各项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集中学习和每日学习强国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碎片化学习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缺乏系统钻研、深刻领悟。解决发展问题、应对风险挑战，从习近平法治思想中寻找源头活水不够。二</w:t>
      </w:r>
      <w:r>
        <w:rPr>
          <w:rFonts w:hint="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开拓</w:t>
      </w:r>
      <w:r>
        <w:rPr>
          <w:rFonts w:hint="eastAsia" w:ascii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创新</w:t>
      </w:r>
      <w:r>
        <w:rPr>
          <w:rFonts w:hint="eastAsia" w:ascii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有差距</w:t>
      </w:r>
      <w:r>
        <w:rPr>
          <w:rFonts w:hint="eastAsia" w:asci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。与时俱进的精神</w:t>
      </w:r>
      <w:r>
        <w:rPr>
          <w:rFonts w:hint="eastAsia" w:ascii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有待</w:t>
      </w:r>
      <w:r>
        <w:rPr>
          <w:rFonts w:hint="eastAsia" w:ascii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强化，有依靠经验办事的倾向，在进一步优化基层治理、盘活阵地功能等方面，“绣花”功夫下得不足，缺少破题之策和创新之举。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四、2023年工作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思路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、目标举措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eastAsia="方正楷体_GBK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_GBK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eastAsia="方正楷体_GBK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坚持需求导向，精准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制度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供给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搭建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法治建设“四梁八柱”。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领导干部学法用法、政府法律顾问全面参与重大行政决策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合同签订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等是落实中央、市、区相关文件精神的要求，也是提升决策水平、治理能力的内在需求。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渝碚路</w:t>
      </w:r>
      <w:r>
        <w:rPr>
          <w:rFonts w:hint="eastAsia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将以制度建设为抓手，健全完善集体学法、行政决策合法性审核、合同管理、规范行政复议及行政应诉、规范信息公开等制度，搭建起法治建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设的“四梁八柱”，</w:t>
      </w:r>
      <w:r>
        <w:rPr>
          <w:rFonts w:hint="default" w:ascii="Times New Roman" w:hAnsi="Times New Roman" w:eastAsia="方正仿宋_GBK" w:cs="Times New Roman"/>
          <w:color w:val="000000" w:themeColor="text1"/>
          <w:kern w:val="0"/>
          <w:sz w:val="32"/>
          <w:szCs w:val="32"/>
          <w:highlight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让行政行为更加有章可循、有规可依。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（二）坚持目标导向，建好调解体系，推进基层治理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“多域拓展”。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今年来，市委市政府高度重视经济建设、市场培育，市场复苏势必伴随消费纠纷的增多，确保矛盾不上交、平安不出事，是基层社会治理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法治化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的目标责任。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渝碚路将充分运用红岩市民综合调解站根植商圈的位置优势，联动市场监管、商圈等部门，建立常态化沟通、消费纠纷数据共享、纠纷协查等机制，形成人民调解、行政调解互相衔接，“专群结合”的消费纠纷调解联动机制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。建成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和顺茶馆，引入法治部门、社工组织、法律服务机构等进驻茶馆，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推动红岩市民综合调解站入驻茶馆，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定期开展法治服务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拓宽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多元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主体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参与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基层治理渠道</w:t>
      </w:r>
      <w:r>
        <w:rPr>
          <w:rFonts w:hint="eastAsia" w:ascii="方正仿宋_GBK" w:hAnsi="方正仿宋_GBK" w:cs="方正仿宋_GBK"/>
          <w:sz w:val="32"/>
          <w:szCs w:val="32"/>
          <w:highlight w:val="none"/>
          <w:lang w:eastAsia="zh-CN"/>
        </w:rPr>
        <w:t>，形成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共治共建的基层社会治理法治格局。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（三）坚持问题导向，发挥顾问作用，确保行政决策“科学合理”。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法律顾问参与重大涉法事务能有效规避风险、化解问题纠纷。2023年，渝碚路将建立街道法律顾问库，统筹街道法律顾问、村</w:t>
      </w:r>
      <w:r>
        <w:rPr>
          <w:rFonts w:hint="eastAsia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居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法律顾问、社区“法律明白人”发挥智库作用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作出重大决策、出台重要文件、签订重要合同、处置重大事件等方面，引导法律顾问提前介入，从源头上加强法律审查、论证，增强工作预见性、前瞻性。推动法律顾问参与项目开展、合同签订等全过程，充分发挥专业优势，加强法律风险把控。邀请法律顾问参与执法监督、案卷评查等各事项，监督行政行为，确保主体适格、程序正当、内容合法。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outlineLvl w:val="9"/>
        <w:rPr>
          <w:rFonts w:hint="eastAsia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520" w:firstLineChars="1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沙坪坝区人民政府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渝碚路街道办事处</w:t>
      </w:r>
    </w:p>
    <w:p>
      <w:pPr>
        <w:pStyle w:val="2"/>
        <w:ind w:firstLine="4800" w:firstLineChars="15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2023年1月31日</w:t>
      </w: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fmt="numberInDash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5CD39"/>
    <w:multiLevelType w:val="singleLevel"/>
    <w:tmpl w:val="F735C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4DABA"/>
    <w:multiLevelType w:val="singleLevel"/>
    <w:tmpl w:val="0174DAB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VerticalSpacing w:val="29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jZmZhOWI0ZDFiZTBhOTkwODBiMzdjNGQ2MTkzZjMifQ=="/>
  </w:docVars>
  <w:rsids>
    <w:rsidRoot w:val="0C4E69B2"/>
    <w:rsid w:val="0C4E69B2"/>
    <w:rsid w:val="16E02A28"/>
    <w:rsid w:val="1E8962BD"/>
    <w:rsid w:val="2CDD48D7"/>
    <w:rsid w:val="44C261E3"/>
    <w:rsid w:val="48CD19AC"/>
    <w:rsid w:val="58517ED3"/>
    <w:rsid w:val="59ED2AF2"/>
    <w:rsid w:val="66863A5A"/>
    <w:rsid w:val="66FB0F72"/>
    <w:rsid w:val="690768B7"/>
    <w:rsid w:val="6B8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"/>
    <w:basedOn w:val="1"/>
    <w:qFormat/>
    <w:uiPriority w:val="0"/>
    <w:pPr>
      <w:ind w:left="100" w:leftChars="100" w:right="100" w:rightChars="100"/>
    </w:pPr>
  </w:style>
  <w:style w:type="paragraph" w:styleId="6">
    <w:name w:val="footer"/>
    <w:basedOn w:val="1"/>
    <w:next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索引 51"/>
    <w:basedOn w:val="1"/>
    <w:next w:val="1"/>
    <w:qFormat/>
    <w:uiPriority w:val="0"/>
    <w:pPr>
      <w:ind w:left="1680"/>
    </w:p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3671</Words>
  <Characters>3789</Characters>
  <Lines>0</Lines>
  <Paragraphs>0</Paragraphs>
  <TotalTime>5</TotalTime>
  <ScaleCrop>false</ScaleCrop>
  <LinksUpToDate>false</LinksUpToDate>
  <CharactersWithSpaces>3828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2023-01-16T01:51:00Z</dcterms:created>
  <dc:creator>Administrator</dc:creator>
  <cp:lastModifiedBy>miss*Q</cp:lastModifiedBy>
  <dcterms:modified xsi:type="dcterms:W3CDTF">2023-02-01T08:38:06Z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44FF1E2AB6B749E0A780F20EE469985B</vt:lpwstr>
  </property>
</Properties>
</file>