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041" w:type="dxa"/>
        <w:tblInd w:w="93" w:type="dxa"/>
        <w:tblLayout w:type="autofit"/>
        <w:tblCellMar>
          <w:top w:w="0" w:type="dxa"/>
          <w:left w:w="108" w:type="dxa"/>
          <w:bottom w:w="0" w:type="dxa"/>
          <w:right w:w="108" w:type="dxa"/>
        </w:tblCellMar>
      </w:tblPr>
      <w:tblGrid>
        <w:gridCol w:w="2220"/>
        <w:gridCol w:w="2757"/>
        <w:gridCol w:w="363"/>
        <w:gridCol w:w="771"/>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tabs>
                <w:tab w:val="left" w:pos="1044"/>
                <w:tab w:val="center" w:pos="2572"/>
              </w:tabs>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ab/>
            </w:r>
            <w:r>
              <w:rPr>
                <w:rFonts w:hint="eastAsia" w:ascii="宋体" w:hAnsi="宋体" w:cs="宋体"/>
                <w:kern w:val="0"/>
                <w:sz w:val="20"/>
                <w:szCs w:val="24"/>
              </w:rPr>
              <w:t>精神文明建设</w:t>
            </w:r>
            <w:r>
              <w:rPr>
                <w:rFonts w:hint="eastAsia" w:ascii="宋体" w:hAnsi="宋体" w:cs="宋体"/>
                <w:kern w:val="0"/>
                <w:sz w:val="20"/>
                <w:szCs w:val="24"/>
              </w:rPr>
              <w:tab/>
            </w:r>
            <w:r>
              <w:rPr>
                <w:rFonts w:hint="eastAsia" w:ascii="宋体" w:hAnsi="宋体" w:cs="宋体"/>
                <w:kern w:val="0"/>
                <w:sz w:val="20"/>
                <w:szCs w:val="24"/>
              </w:rPr>
              <w:t>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 xml:space="preserve">4.8 </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4.8</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kern w:val="0"/>
                <w:sz w:val="20"/>
                <w:szCs w:val="24"/>
                <w:lang w:val="en-US" w:eastAsia="zh-CN" w:bidi="ar-SA"/>
              </w:rPr>
            </w:pPr>
            <w:r>
              <w:rPr>
                <w:rFonts w:hint="eastAsia" w:ascii="宋体" w:hAnsi="宋体" w:cs="宋体"/>
                <w:kern w:val="0"/>
                <w:sz w:val="20"/>
                <w:szCs w:val="24"/>
              </w:rPr>
              <w:t>提高群众文明素养，丰富群众文化生活，在重大节假日开展文化体育科普教育系列活动；开展创文、创卫宣传，建设文联、志愿者等团队.</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kern w:val="0"/>
                <w:sz w:val="20"/>
                <w:szCs w:val="24"/>
                <w:lang w:val="en-US" w:eastAsia="zh-CN" w:bidi="ar-SA"/>
              </w:rPr>
            </w:pPr>
            <w:r>
              <w:rPr>
                <w:rFonts w:hint="eastAsia" w:ascii="宋体" w:hAnsi="宋体" w:cs="宋体"/>
                <w:kern w:val="0"/>
                <w:sz w:val="20"/>
                <w:szCs w:val="24"/>
              </w:rPr>
              <w:t>国办发【2015】74号；财教〔2013〕98号；重庆市2019年乡镇（街道）基层综合文化服务中心服务效能评价指标体系要求；沙坪坝区文化旅游发展委员会关于印发2023年工作要点的通知；重庆市乡镇街道基层综合文化服务中心服务效能评价指标体系；关于印发沙坪坝区2023社区教育工作要点的通知；沙坪坝区科协关于印发2023年工作要点的通知；沙区体育局检查实地考核评分表；沙坪坝区关工委关于开展好暑期青少年活动的通知。涉及考核。</w:t>
            </w:r>
          </w:p>
        </w:tc>
      </w:tr>
      <w:tr>
        <w:tblPrEx>
          <w:tblCellMar>
            <w:top w:w="0" w:type="dxa"/>
            <w:left w:w="108" w:type="dxa"/>
            <w:bottom w:w="0" w:type="dxa"/>
            <w:right w:w="108" w:type="dxa"/>
          </w:tblCellMar>
        </w:tblPrEx>
        <w:trPr>
          <w:trHeight w:val="984"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kern w:val="0"/>
                <w:sz w:val="20"/>
                <w:szCs w:val="24"/>
                <w:lang w:val="en-US" w:eastAsia="zh-CN" w:bidi="ar-SA"/>
              </w:rPr>
            </w:pPr>
            <w:r>
              <w:rPr>
                <w:rFonts w:hint="eastAsia" w:ascii="宋体" w:hAnsi="宋体" w:cs="宋体"/>
                <w:kern w:val="0"/>
                <w:sz w:val="20"/>
                <w:szCs w:val="24"/>
              </w:rPr>
              <w:t>文明城区卫生城区复检工作。开展文化体育科普教育系列活动。建设文联、志愿者等团队。增加辖区文化氛围，提高群众文明素养，丰富群众文化生活。</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演出场次</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场次</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7</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培训天数</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天</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艺术普及度</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90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群众满意度</w:t>
            </w:r>
          </w:p>
        </w:tc>
        <w:tc>
          <w:tcPr>
            <w:tcW w:w="1134" w:type="dxa"/>
            <w:gridSpan w:val="2"/>
            <w:tcBorders>
              <w:top w:val="nil"/>
              <w:left w:val="nil"/>
              <w:bottom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w:t>
            </w:r>
          </w:p>
        </w:tc>
        <w:tc>
          <w:tcPr>
            <w:tcW w:w="1149" w:type="dxa"/>
            <w:gridSpan w:val="2"/>
            <w:tcBorders>
              <w:top w:val="nil"/>
              <w:left w:val="nil"/>
              <w:bottom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nil"/>
              <w:left w:val="nil"/>
              <w:bottom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90</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群众参与度</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定性</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好</w:t>
            </w: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一般性项目（会议培训类）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 xml:space="preserve">3 </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方正仿宋_GBK" w:cs="宋体"/>
                <w:kern w:val="0"/>
                <w:sz w:val="20"/>
                <w:szCs w:val="24"/>
                <w:lang w:val="en-US" w:eastAsia="zh-CN" w:bidi="ar-SA"/>
              </w:rPr>
            </w:pPr>
            <w:r>
              <w:rPr>
                <w:rFonts w:hint="eastAsia" w:ascii="宋体" w:hAnsi="宋体" w:cs="宋体"/>
                <w:kern w:val="0"/>
                <w:sz w:val="20"/>
                <w:szCs w:val="24"/>
              </w:rPr>
              <w:t>3</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反映单位开展和参加会议期间住宿费，伙食费，会议场地租金，交通费等；培训期间交通费，住宿费，伙食费，培训场地费等</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《重庆市沙坪坝区财政局关于2024年沙坪坝区预算编制政策及口径说明的通知》（沙财政发[2023]145 号）</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保障单位会议培训正常开展。</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会议次数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场次</w:t>
            </w:r>
          </w:p>
        </w:tc>
        <w:tc>
          <w:tcPr>
            <w:tcW w:w="1300" w:type="dxa"/>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12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满意率</w:t>
            </w:r>
          </w:p>
        </w:tc>
        <w:tc>
          <w:tcPr>
            <w:tcW w:w="1134" w:type="dxa"/>
            <w:gridSpan w:val="2"/>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10</w:t>
            </w:r>
          </w:p>
        </w:tc>
        <w:tc>
          <w:tcPr>
            <w:tcW w:w="1149" w:type="dxa"/>
            <w:gridSpan w:val="2"/>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w:t>
            </w:r>
          </w:p>
        </w:tc>
        <w:tc>
          <w:tcPr>
            <w:tcW w:w="1300" w:type="dxa"/>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85</w:t>
            </w:r>
          </w:p>
        </w:tc>
      </w:tr>
      <w:tr>
        <w:tblPrEx>
          <w:tblCellMar>
            <w:top w:w="0" w:type="dxa"/>
            <w:left w:w="108" w:type="dxa"/>
            <w:bottom w:w="0" w:type="dxa"/>
            <w:right w:w="108" w:type="dxa"/>
          </w:tblCellMar>
        </w:tblPrEx>
        <w:trPr>
          <w:trHeight w:val="591"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培训人次</w:t>
            </w:r>
          </w:p>
        </w:tc>
        <w:tc>
          <w:tcPr>
            <w:tcW w:w="1134" w:type="dxa"/>
            <w:gridSpan w:val="2"/>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人次</w:t>
            </w:r>
          </w:p>
        </w:tc>
        <w:tc>
          <w:tcPr>
            <w:tcW w:w="1300" w:type="dxa"/>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5000</w:t>
            </w:r>
          </w:p>
        </w:tc>
      </w:tr>
      <w:tr>
        <w:tblPrEx>
          <w:tblCellMar>
            <w:top w:w="0" w:type="dxa"/>
            <w:left w:w="108" w:type="dxa"/>
            <w:bottom w:w="0" w:type="dxa"/>
            <w:right w:w="108" w:type="dxa"/>
          </w:tblCellMar>
        </w:tblPrEx>
        <w:trPr>
          <w:trHeight w:val="107"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vMerge w:val="restart"/>
            <w:tcBorders>
              <w:top w:val="single" w:color="auto" w:sz="4" w:space="0"/>
              <w:left w:val="nil"/>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培训效果</w:t>
            </w:r>
          </w:p>
        </w:tc>
        <w:tc>
          <w:tcPr>
            <w:tcW w:w="1134" w:type="dxa"/>
            <w:gridSpan w:val="2"/>
            <w:tcBorders>
              <w:top w:val="nil"/>
              <w:left w:val="nil"/>
              <w:bottom w:val="nil"/>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20</w:t>
            </w:r>
          </w:p>
        </w:tc>
        <w:tc>
          <w:tcPr>
            <w:tcW w:w="1149" w:type="dxa"/>
            <w:gridSpan w:val="2"/>
            <w:tcBorders>
              <w:top w:val="nil"/>
              <w:left w:val="nil"/>
              <w:bottom w:val="nil"/>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p>
        </w:tc>
        <w:tc>
          <w:tcPr>
            <w:tcW w:w="1300" w:type="dxa"/>
            <w:tcBorders>
              <w:top w:val="nil"/>
              <w:left w:val="nil"/>
              <w:bottom w:val="nil"/>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定性</w:t>
            </w:r>
          </w:p>
        </w:tc>
        <w:tc>
          <w:tcPr>
            <w:tcW w:w="6481" w:type="dxa"/>
            <w:gridSpan w:val="2"/>
            <w:tcBorders>
              <w:top w:val="nil"/>
              <w:left w:val="nil"/>
              <w:bottom w:val="nil"/>
              <w:right w:val="single" w:color="auto"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p>
        </w:tc>
      </w:tr>
      <w:tr>
        <w:tblPrEx>
          <w:tblCellMar>
            <w:top w:w="0" w:type="dxa"/>
            <w:left w:w="108" w:type="dxa"/>
            <w:bottom w:w="0" w:type="dxa"/>
            <w:right w:w="108" w:type="dxa"/>
          </w:tblCellMar>
        </w:tblPrEx>
        <w:trPr>
          <w:trHeight w:val="9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vMerge w:val="continue"/>
            <w:tcBorders>
              <w:left w:val="nil"/>
              <w:bottom w:val="single" w:color="auto" w:sz="4" w:space="0"/>
              <w:right w:val="single" w:color="000000" w:sz="4" w:space="0"/>
            </w:tcBorders>
            <w:shd w:val="clear" w:color="auto" w:fill="auto"/>
            <w:noWrap w:val="0"/>
            <w:vAlign w:val="center"/>
          </w:tcPr>
          <w:p>
            <w:pPr>
              <w:widowControl/>
              <w:jc w:val="center"/>
              <w:rPr>
                <w:rFonts w:hint="eastAsia" w:ascii="宋体" w:hAnsi="宋体" w:cs="宋体"/>
                <w:kern w:val="0"/>
                <w:sz w:val="20"/>
              </w:rPr>
            </w:pP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rPr>
            </w:pP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rPr>
            </w:pPr>
          </w:p>
        </w:tc>
        <w:tc>
          <w:tcPr>
            <w:tcW w:w="1300"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tabs>
                <w:tab w:val="left" w:pos="865"/>
                <w:tab w:val="center" w:pos="2572"/>
              </w:tabs>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ab/>
            </w:r>
            <w:r>
              <w:rPr>
                <w:rFonts w:hint="eastAsia" w:ascii="宋体" w:hAnsi="宋体" w:cs="宋体"/>
                <w:kern w:val="0"/>
                <w:sz w:val="20"/>
                <w:szCs w:val="24"/>
              </w:rPr>
              <w:t>武装及退役军人工作</w:t>
            </w:r>
            <w:r>
              <w:rPr>
                <w:rFonts w:hint="eastAsia" w:ascii="宋体" w:hAnsi="宋体" w:cs="宋体"/>
                <w:kern w:val="0"/>
                <w:sz w:val="20"/>
                <w:szCs w:val="24"/>
              </w:rPr>
              <w:tab/>
            </w:r>
            <w:r>
              <w:rPr>
                <w:rFonts w:hint="eastAsia" w:ascii="宋体" w:hAnsi="宋体" w:cs="宋体"/>
                <w:kern w:val="0"/>
                <w:sz w:val="20"/>
                <w:szCs w:val="24"/>
              </w:rPr>
              <w:t>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 xml:space="preserve">1 </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方正仿宋_GBK" w:cs="宋体"/>
                <w:kern w:val="0"/>
                <w:sz w:val="20"/>
                <w:szCs w:val="24"/>
                <w:lang w:val="en-US" w:eastAsia="zh-CN" w:bidi="ar-SA"/>
              </w:rPr>
            </w:pPr>
            <w:r>
              <w:rPr>
                <w:rFonts w:hint="eastAsia" w:ascii="宋体" w:hAnsi="宋体" w:cs="宋体"/>
                <w:kern w:val="0"/>
                <w:sz w:val="20"/>
                <w:szCs w:val="24"/>
              </w:rPr>
              <w:t>1</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我街道有基干民兵80名，组织基干民兵训练（每年集中训练12天）；完成年度征兵工作；开展双拥活动；辖区1377名退役军人，开展帮扶、政策宣传等工作。</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关于加强和改进新形势下民兵工作的意见》；《征兵工作条例》；《重庆市民兵事业费管理使用暂行办法》；沙武[2023]176号文件；《兵役法》；《重庆市民兵军事训练实施细则（试行稿）》；《民兵军事训练大纲》和区人武部年度军事训练计划；《重庆市退役军人服务中心（站）规范建设与工作运行指导手册》；纳入年度考核；</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完成年度征兵，12次民兵训练，武装物资的预储数量，双拥工作，辖区1377名退役军人开展政策宣传等活动。</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活动次数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15</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政策知晓率</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90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服务对象满意度</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80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auto"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服务计划人次</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15</w:t>
            </w:r>
          </w:p>
        </w:tc>
        <w:tc>
          <w:tcPr>
            <w:tcW w:w="1149"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人次</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87</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训练效果</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30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定性</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人大政协专项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 xml:space="preserve">0.6 </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0.6</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街道代表议事会人员44人.每半年开展议事会，每季度开展活动。</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重庆市沙坪坝区人大常委会2023年工作要点》；沙人办发〔2023〕8号；《沙坪坝区2023年度人大代表工作考核意见》；沙人办发〔2023〕23号；《关于开展2023年度评优评先活动的通知》；沙人办发〔2023〕24号；沙人办发〔2023〕40号；《区政协全年政协委员调研活动计划》；《区政协2023年委员履职考核办法》</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人大代表家站日常运维经，人大工委小组、政协委员开展活动，收集社情民意，开展街道人大代表议事会。</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代表活动次数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25</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w:t>
            </w:r>
          </w:p>
        </w:tc>
      </w:tr>
      <w:tr>
        <w:tblPrEx>
          <w:tblCellMar>
            <w:top w:w="0" w:type="dxa"/>
            <w:left w:w="108" w:type="dxa"/>
            <w:bottom w:w="0" w:type="dxa"/>
            <w:right w:w="108" w:type="dxa"/>
          </w:tblCellMar>
        </w:tblPrEx>
        <w:trPr>
          <w:trHeight w:val="543"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接待次数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25</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w:t>
            </w:r>
          </w:p>
        </w:tc>
      </w:tr>
      <w:tr>
        <w:tblPrEx>
          <w:tblCellMar>
            <w:top w:w="0" w:type="dxa"/>
            <w:left w:w="108" w:type="dxa"/>
            <w:bottom w:w="0" w:type="dxa"/>
            <w:right w:w="108" w:type="dxa"/>
          </w:tblCellMar>
        </w:tblPrEx>
        <w:trPr>
          <w:trHeight w:val="579"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人大政协提案建议数</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件</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5</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vMerge w:val="restart"/>
            <w:tcBorders>
              <w:top w:val="single" w:color="auto" w:sz="4" w:space="0"/>
              <w:left w:val="nil"/>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群众满意度</w:t>
            </w:r>
          </w:p>
        </w:tc>
        <w:tc>
          <w:tcPr>
            <w:tcW w:w="1134" w:type="dxa"/>
            <w:gridSpan w:val="2"/>
            <w:vMerge w:val="restart"/>
            <w:tcBorders>
              <w:top w:val="nil"/>
              <w:left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w:t>
            </w:r>
          </w:p>
        </w:tc>
        <w:tc>
          <w:tcPr>
            <w:tcW w:w="1149" w:type="dxa"/>
            <w:gridSpan w:val="2"/>
            <w:vMerge w:val="restart"/>
            <w:tcBorders>
              <w:top w:val="nil"/>
              <w:left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vMerge w:val="restart"/>
            <w:tcBorders>
              <w:top w:val="nil"/>
              <w:left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vMerge w:val="restart"/>
            <w:tcBorders>
              <w:top w:val="nil"/>
              <w:left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90</w:t>
            </w:r>
          </w:p>
        </w:tc>
      </w:tr>
      <w:tr>
        <w:tblPrEx>
          <w:tblCellMar>
            <w:top w:w="0" w:type="dxa"/>
            <w:left w:w="108" w:type="dxa"/>
            <w:bottom w:w="0" w:type="dxa"/>
            <w:right w:w="108" w:type="dxa"/>
          </w:tblCellMar>
        </w:tblPrEx>
        <w:trPr>
          <w:trHeight w:val="158"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vMerge w:val="continue"/>
            <w:tcBorders>
              <w:left w:val="nil"/>
              <w:bottom w:val="single" w:color="auto" w:sz="4" w:space="0"/>
              <w:right w:val="single" w:color="000000" w:sz="4" w:space="0"/>
            </w:tcBorders>
            <w:shd w:val="clear" w:color="auto" w:fill="auto"/>
            <w:noWrap w:val="0"/>
            <w:vAlign w:val="center"/>
          </w:tcPr>
          <w:p>
            <w:pPr>
              <w:widowControl/>
              <w:jc w:val="center"/>
              <w:rPr>
                <w:rFonts w:hint="eastAsia" w:ascii="宋体" w:hAnsi="宋体" w:cs="宋体"/>
                <w:kern w:val="0"/>
                <w:sz w:val="20"/>
              </w:rPr>
            </w:pPr>
          </w:p>
        </w:tc>
        <w:tc>
          <w:tcPr>
            <w:tcW w:w="1134" w:type="dxa"/>
            <w:gridSpan w:val="2"/>
            <w:vMerge w:val="continue"/>
            <w:tcBorders>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rPr>
            </w:pPr>
          </w:p>
        </w:tc>
        <w:tc>
          <w:tcPr>
            <w:tcW w:w="1149" w:type="dxa"/>
            <w:gridSpan w:val="2"/>
            <w:vMerge w:val="continue"/>
            <w:tcBorders>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kern w:val="0"/>
                <w:sz w:val="20"/>
              </w:rPr>
            </w:pPr>
          </w:p>
        </w:tc>
        <w:tc>
          <w:tcPr>
            <w:tcW w:w="1300" w:type="dxa"/>
            <w:vMerge w:val="continue"/>
            <w:tcBorders>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p>
        </w:tc>
        <w:tc>
          <w:tcPr>
            <w:tcW w:w="6481" w:type="dxa"/>
            <w:gridSpan w:val="2"/>
            <w:vMerge w:val="continue"/>
            <w:tcBorders>
              <w:left w:val="nil"/>
              <w:bottom w:val="single" w:color="auto" w:sz="4" w:space="0"/>
              <w:right w:val="single" w:color="auto" w:sz="4" w:space="0"/>
            </w:tcBorders>
            <w:shd w:val="clear" w:color="auto" w:fill="auto"/>
            <w:noWrap w:val="0"/>
            <w:vAlign w:val="center"/>
          </w:tcPr>
          <w:p>
            <w:pPr>
              <w:widowControl/>
              <w:jc w:val="left"/>
              <w:rPr>
                <w:rFonts w:hint="eastAsia" w:ascii="宋体" w:hAnsi="宋体" w:cs="宋体"/>
                <w:kern w:val="0"/>
                <w:sz w:val="20"/>
              </w:rPr>
            </w:pP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一般性项目（基础办公类）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 xml:space="preserve"> 20</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20</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反映采购办公用品、耗材、书报杂志、维护维修办公设施设备、网络、公务接待等。　</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《重庆市沙坪坝区财政局关于2024年沙坪坝区预算编制政策及口径说明的通知》（沙财政发[2023]145 号）</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widowControl/>
              <w:spacing w:beforeLines="0" w:afterLines="0"/>
              <w:jc w:val="center"/>
              <w:rPr>
                <w:rFonts w:hint="eastAsia" w:ascii="宋体" w:hAnsi="宋体" w:eastAsia="方正仿宋_GBK" w:cs="宋体"/>
                <w:color w:val="000000"/>
                <w:kern w:val="0"/>
                <w:sz w:val="20"/>
                <w:szCs w:val="24"/>
                <w:lang w:val="en-US" w:eastAsia="zh-CN" w:bidi="ar-SA"/>
              </w:rPr>
            </w:pPr>
            <w:r>
              <w:rPr>
                <w:rFonts w:hint="eastAsia" w:ascii="宋体" w:hAnsi="宋体" w:cs="宋体"/>
                <w:color w:val="000000"/>
                <w:kern w:val="0"/>
                <w:sz w:val="20"/>
                <w:szCs w:val="24"/>
              </w:rPr>
              <w:t>保障单位正常运转。</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买办公用品</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订阅报刊</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维修次数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满意率</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85</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单位运行情况</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定性</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农贸市场管护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 xml:space="preserve"> 0.6</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0.6</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按照街道的农贸市场长效管理办法规定，将农贸市场长效管理资金用于加强农贸市场管理。</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沙菜办发（2015）25号文件：《关于落实沙坪坝区农贸市场长效管理实施意见的通知》；土湾街道办事处关于印发《土湾街道农贸市场长效管理实施意见》的通知。</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对三个农贸市场完度考核，使各市场秩序井然、干净整洁、消费安全，成为辖区群众放心满意的购物场所。</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cs="方正仿宋_GBK"/>
                <w:kern w:val="0"/>
                <w:sz w:val="20"/>
                <w:szCs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考核次数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3</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服务质量达标率</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88</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群众满意度</w:t>
            </w:r>
          </w:p>
        </w:tc>
        <w:tc>
          <w:tcPr>
            <w:tcW w:w="1134" w:type="dxa"/>
            <w:gridSpan w:val="2"/>
            <w:tcBorders>
              <w:top w:val="nil"/>
              <w:left w:val="nil"/>
              <w:bottom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w:t>
            </w:r>
          </w:p>
        </w:tc>
        <w:tc>
          <w:tcPr>
            <w:tcW w:w="1149" w:type="dxa"/>
            <w:gridSpan w:val="2"/>
            <w:tcBorders>
              <w:top w:val="nil"/>
              <w:left w:val="nil"/>
              <w:bottom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nil"/>
              <w:left w:val="nil"/>
              <w:bottom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nil"/>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90</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市场秩序</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定性</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安全稳定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 xml:space="preserve"> 10</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10</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辖区老旧住宅多分布广，完善消防设施，补全被盗破损消防器材。辖区生产经营户1000余家，开展安全工作。对辖区进行安全巡查整治。加强辖区社会治安综合治理；开展平安建设；各类信访重点人等重点维稳人员的稳控；处理其他突发群访集访事件。</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沙应急〔2023〕29号、渝减委〔2022〕1号、沙减委〔2022〕1号、沙安办〔2022〕25号、渝减办〔2023〕14号；沙反诈办〔2023〕2号，沙政法发〔2023〕6号，沙平安重点人群组〔2023〕1号、沙禁毒办〔2023〕8号、关于抽调工作人员做好“9.30活动”现场、关于抽调工作人员参与沙坪坝区2023年春季房交会期间信访维稳工作的通知、关于进一步加强预防青少年儿童溺水工作的通知、关于进一步做好反诈宣传防范工作的通知、关于组织开展打击治理电信网络诈骗犯罪全民反诈在行动集中宣传月的通知、沙禁毒办〔2023〕13号</w:t>
            </w:r>
          </w:p>
        </w:tc>
      </w:tr>
      <w:tr>
        <w:tblPrEx>
          <w:tblCellMar>
            <w:top w:w="0" w:type="dxa"/>
            <w:left w:w="108" w:type="dxa"/>
            <w:bottom w:w="0" w:type="dxa"/>
            <w:right w:w="108" w:type="dxa"/>
          </w:tblCellMar>
        </w:tblPrEx>
        <w:trPr>
          <w:trHeight w:val="924"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辖区生产经营户1000余家，开展安全工作。对辖区进行安全巡查整治。建立健全辖区应急队伍和应急消防站完善设施设备。加强辖区社会治安综合治理；开展平安建设；各类信访重点人等重点维稳人员的稳控；处理其他突发群访集访事件。打造基层社会治理品牌。</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指标值</w:t>
            </w:r>
          </w:p>
        </w:tc>
      </w:tr>
      <w:tr>
        <w:tblPrEx>
          <w:tblCellMar>
            <w:top w:w="0" w:type="dxa"/>
            <w:left w:w="108" w:type="dxa"/>
            <w:bottom w:w="0" w:type="dxa"/>
            <w:right w:w="108" w:type="dxa"/>
          </w:tblCellMar>
        </w:tblPrEx>
        <w:trPr>
          <w:trHeight w:val="37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消防安全检查次数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54</w:t>
            </w:r>
          </w:p>
        </w:tc>
      </w:tr>
      <w:tr>
        <w:tblPrEx>
          <w:tblCellMar>
            <w:top w:w="0" w:type="dxa"/>
            <w:left w:w="108" w:type="dxa"/>
            <w:bottom w:w="0" w:type="dxa"/>
            <w:right w:w="108" w:type="dxa"/>
          </w:tblCellMar>
        </w:tblPrEx>
        <w:trPr>
          <w:trHeight w:val="423"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设备购置数量</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件</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500</w:t>
            </w:r>
          </w:p>
        </w:tc>
      </w:tr>
      <w:tr>
        <w:tblPrEx>
          <w:tblCellMar>
            <w:top w:w="0" w:type="dxa"/>
            <w:left w:w="108" w:type="dxa"/>
            <w:bottom w:w="0" w:type="dxa"/>
            <w:right w:w="108" w:type="dxa"/>
          </w:tblCellMar>
        </w:tblPrEx>
        <w:trPr>
          <w:trHeight w:val="239"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应急救援物资完好率</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70</w:t>
            </w:r>
          </w:p>
        </w:tc>
      </w:tr>
      <w:tr>
        <w:tblPrEx>
          <w:tblCellMar>
            <w:top w:w="0" w:type="dxa"/>
            <w:left w:w="108" w:type="dxa"/>
            <w:bottom w:w="0" w:type="dxa"/>
            <w:right w:w="108" w:type="dxa"/>
          </w:tblCellMar>
        </w:tblPrEx>
        <w:trPr>
          <w:trHeight w:val="266"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设备验收合格率</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90</w:t>
            </w:r>
          </w:p>
        </w:tc>
      </w:tr>
      <w:tr>
        <w:tblPrEx>
          <w:tblCellMar>
            <w:top w:w="0" w:type="dxa"/>
            <w:left w:w="108" w:type="dxa"/>
            <w:bottom w:w="0" w:type="dxa"/>
            <w:right w:w="108" w:type="dxa"/>
          </w:tblCellMar>
        </w:tblPrEx>
        <w:trPr>
          <w:trHeight w:val="270"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本地信访稳控率</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97</w:t>
            </w:r>
          </w:p>
        </w:tc>
      </w:tr>
      <w:tr>
        <w:tblPrEx>
          <w:tblCellMar>
            <w:top w:w="0" w:type="dxa"/>
            <w:left w:w="108" w:type="dxa"/>
            <w:bottom w:w="0" w:type="dxa"/>
            <w:right w:w="108" w:type="dxa"/>
          </w:tblCellMar>
        </w:tblPrEx>
        <w:trPr>
          <w:trHeight w:val="235" w:hRule="atLeast"/>
        </w:trPr>
        <w:tc>
          <w:tcPr>
            <w:tcW w:w="2220" w:type="dxa"/>
            <w:vMerge w:val="continue"/>
            <w:tcBorders>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信访事项受理率、办结率</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100</w:t>
            </w:r>
          </w:p>
        </w:tc>
      </w:tr>
      <w:tr>
        <w:tblPrEx>
          <w:tblCellMar>
            <w:top w:w="0" w:type="dxa"/>
            <w:left w:w="108" w:type="dxa"/>
            <w:bottom w:w="0" w:type="dxa"/>
            <w:right w:w="108" w:type="dxa"/>
          </w:tblCellMar>
        </w:tblPrEx>
        <w:trPr>
          <w:trHeight w:val="411"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稳控人数</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人次</w:t>
            </w: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1500</w:t>
            </w: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城区市政环卫管护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方正仿宋_GBK" w:cs="宋体"/>
                <w:kern w:val="0"/>
                <w:sz w:val="20"/>
                <w:lang w:val="en-US" w:eastAsia="zh-CN" w:bidi="ar-SA"/>
              </w:rPr>
            </w:pPr>
            <w:r>
              <w:rPr>
                <w:rFonts w:hint="eastAsia" w:ascii="宋体" w:hAnsi="宋体" w:cs="宋体"/>
                <w:kern w:val="0"/>
                <w:sz w:val="20"/>
              </w:rPr>
              <w:t xml:space="preserve"> </w:t>
            </w:r>
            <w:r>
              <w:rPr>
                <w:rFonts w:hint="eastAsia" w:ascii="宋体" w:hAnsi="宋体" w:cs="宋体"/>
                <w:kern w:val="0"/>
                <w:sz w:val="20"/>
                <w:lang w:val="en-US" w:eastAsia="zh-CN"/>
              </w:rPr>
              <w:t>212.26</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bidi="ar-SA"/>
              </w:rPr>
            </w:pPr>
            <w:r>
              <w:rPr>
                <w:rFonts w:hint="eastAsia" w:ascii="宋体" w:hAnsi="宋体" w:cs="宋体"/>
                <w:kern w:val="0"/>
                <w:sz w:val="20"/>
                <w:lang w:val="en-US" w:eastAsia="zh-CN"/>
              </w:rPr>
              <w:t>212.26</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土湾辖区精扫保洁454430平方米：市政车行道、人行道和路沿197694平方米；人行道绿化、社区公园、护坡和滩涂256736平方米。</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根据重庆市沙坪坝区城市综合管理工作领导小组关于印发《2023年沙坪坝区城市综合管理工作考核方案》的通知；沙创卫办〔2023〕8号；渝办发[2010]285号；《重庆市市政工程设施及园林养护维修定额》（08定额）；《重庆市沙坪坝区环卫作业、市政和绿化养护费用测算报告》</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做好辖区清洁卫生，达到城市日常环境卫生管理要求。按时发放工资，完成辖区植被修剪，及时消除枯枝更换绿植，确保绿化。保障公厕干净整洁，无异味，无设施损坏。提高市政设施、既有道路完好率，提高群众满意度。</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日均保洁次数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设施完好率</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80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保洁覆盖率</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85</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群众满意率</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85</w:t>
            </w: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社区建设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 xml:space="preserve">2.34 </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2.34</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left"/>
              <w:rPr>
                <w:rFonts w:hint="eastAsia" w:ascii="宋体" w:hAnsi="宋体" w:eastAsia="宋体" w:cs="宋体"/>
                <w:kern w:val="0"/>
                <w:sz w:val="20"/>
                <w:szCs w:val="24"/>
                <w:lang w:val="en-US" w:eastAsia="zh-CN" w:bidi="ar-SA"/>
              </w:rPr>
            </w:pPr>
            <w:r>
              <w:rPr>
                <w:rFonts w:hint="eastAsia" w:ascii="宋体" w:hAnsi="宋体" w:cs="宋体"/>
                <w:kern w:val="0"/>
                <w:sz w:val="20"/>
                <w:szCs w:val="24"/>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center"/>
          </w:tcPr>
          <w:p>
            <w:pPr>
              <w:widowControl/>
              <w:tabs>
                <w:tab w:val="center" w:pos="6399"/>
                <w:tab w:val="left" w:pos="9165"/>
              </w:tabs>
              <w:spacing w:beforeLines="0" w:afterLines="0"/>
              <w:jc w:val="left"/>
              <w:rPr>
                <w:rFonts w:hint="eastAsia" w:ascii="方正仿宋_GBK" w:hAnsi="方正仿宋_GBK" w:eastAsia="方正仿宋_GBK" w:cs="方正仿宋_GBK"/>
                <w:kern w:val="0"/>
                <w:sz w:val="20"/>
                <w:szCs w:val="24"/>
                <w:lang w:val="en-US" w:eastAsia="zh-CN" w:bidi="ar-SA"/>
              </w:rPr>
            </w:pPr>
            <w:r>
              <w:rPr>
                <w:rFonts w:hint="eastAsia" w:ascii="方正仿宋_GBK" w:hAnsi="方正仿宋_GBK" w:cs="方正仿宋_GBK"/>
                <w:kern w:val="0"/>
                <w:sz w:val="20"/>
                <w:szCs w:val="24"/>
              </w:rPr>
              <w:t>推进党建扎桩、治理结网系统工程；对社区计算机进行维修或升级；对社区零星办公用房进行维护；聘请专家对社区工作者进行培训；对困难民政对象进行临时帮扶或救助；关爱未成年人。</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4"/>
                <w:lang w:val="en-US" w:eastAsia="zh-CN" w:bidi="ar-SA"/>
              </w:rPr>
            </w:pPr>
            <w:r>
              <w:rPr>
                <w:rFonts w:hint="eastAsia" w:ascii="方正仿宋_GBK" w:hAnsi="方正仿宋_GBK" w:cs="方正仿宋_GBK"/>
                <w:kern w:val="0"/>
                <w:sz w:val="20"/>
                <w:szCs w:val="24"/>
              </w:rPr>
              <w:t>沙创卫办〔2023〕12号关于印发《沙坪坝区2023-2024年国家卫生区现场评价任务分工表》的通知 沙委办〔2023〕50号关于印发《沙坪坝区“健康小区”建设工作方案》的通知；沙爱卫办〔2023〕15号关于开展病媒生物防制标准化小区试点建设工作的通知　</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方正仿宋_GBK" w:hAnsi="方正仿宋_GBK" w:eastAsia="方正仿宋_GBK" w:cs="方正仿宋_GBK"/>
                <w:kern w:val="0"/>
                <w:sz w:val="20"/>
                <w:szCs w:val="24"/>
                <w:lang w:val="en-US" w:eastAsia="zh-CN" w:bidi="ar-SA"/>
              </w:rPr>
            </w:pPr>
            <w:r>
              <w:rPr>
                <w:rFonts w:hint="eastAsia" w:ascii="方正仿宋_GBK" w:hAnsi="方正仿宋_GBK" w:cs="方正仿宋_GBK"/>
                <w:kern w:val="0"/>
                <w:sz w:val="20"/>
                <w:szCs w:val="24"/>
              </w:rPr>
              <w:t>1.对社区零星社区办公用房维修，计算机维护，保证社区工作人员的办公；2.聘请专家对社区干部进行能力提升；3.协调辖区物业小区及业委会工作；4.开展居民协商活动推进基层社会治理建设；5.对特殊群体进行关怀看顾，保障民生，维护社会和谐。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spacing w:beforeLines="0" w:afterLines="0"/>
              <w:jc w:val="center"/>
              <w:rPr>
                <w:rFonts w:hint="eastAsia" w:ascii="宋体" w:hAnsi="宋体" w:eastAsia="宋体" w:cs="宋体"/>
                <w:kern w:val="0"/>
                <w:sz w:val="20"/>
                <w:szCs w:val="24"/>
                <w:lang w:val="en-US" w:eastAsia="zh-CN" w:bidi="ar-SA"/>
              </w:rPr>
            </w:pPr>
            <w:r>
              <w:rPr>
                <w:rFonts w:hint="eastAsia" w:ascii="宋体" w:hAnsi="宋体" w:cs="宋体"/>
                <w:kern w:val="0"/>
                <w:sz w:val="20"/>
                <w:szCs w:val="24"/>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培训次数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维修（改造）单位成本</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元/平方米</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120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居民满意度</w:t>
            </w:r>
          </w:p>
        </w:tc>
        <w:tc>
          <w:tcPr>
            <w:tcW w:w="1134"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10</w:t>
            </w:r>
          </w:p>
        </w:tc>
        <w:tc>
          <w:tcPr>
            <w:tcW w:w="1149"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90</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维修面积</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平方米</w:t>
            </w: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cs="方正仿宋_GBK"/>
                <w:color w:val="000000"/>
                <w:sz w:val="20"/>
                <w:szCs w:val="20"/>
              </w:rPr>
              <w:t>200</w:t>
            </w: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　卫生健康</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hint="default" w:ascii="宋体" w:hAnsi="宋体" w:eastAsia="方正仿宋_GBK" w:cs="宋体"/>
                <w:kern w:val="0"/>
                <w:sz w:val="20"/>
                <w:lang w:val="en-US" w:eastAsia="zh-CN" w:bidi="ar-SA"/>
              </w:rPr>
            </w:pPr>
            <w:r>
              <w:rPr>
                <w:rFonts w:hint="eastAsia" w:ascii="宋体" w:hAnsi="宋体" w:cs="宋体"/>
                <w:kern w:val="0"/>
                <w:sz w:val="20"/>
              </w:rPr>
              <w:t xml:space="preserve"> </w:t>
            </w:r>
            <w:r>
              <w:rPr>
                <w:rFonts w:hint="eastAsia" w:ascii="宋体" w:hAnsi="宋体" w:cs="宋体"/>
                <w:kern w:val="0"/>
                <w:sz w:val="20"/>
                <w:lang w:val="en-US" w:eastAsia="zh-CN"/>
              </w:rPr>
              <w:t>2.2</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ind w:right="438" w:rightChars="137"/>
              <w:jc w:val="left"/>
              <w:rPr>
                <w:rFonts w:hint="default" w:ascii="宋体" w:hAnsi="宋体" w:eastAsia="方正仿宋_GBK" w:cs="宋体"/>
                <w:kern w:val="0"/>
                <w:sz w:val="20"/>
                <w:lang w:val="en-US" w:eastAsia="zh-CN" w:bidi="ar-SA"/>
              </w:rPr>
            </w:pPr>
            <w:r>
              <w:rPr>
                <w:rFonts w:hint="eastAsia" w:ascii="宋体" w:hAnsi="宋体" w:cs="宋体"/>
                <w:kern w:val="0"/>
                <w:sz w:val="20"/>
                <w:lang w:val="en-US" w:eastAsia="zh-CN"/>
              </w:rPr>
              <w:t>2.2</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开展健康区建设相关工作；推进辖区健康示范小区建设；开展各种卫生健康知识讲座、无偿献血及宣传活动；对辖区育龄妇女开展优生优育宣传指导与关爱；对计生特扶人员进行关爱；对残疾人进行关爱；对老年人进行健康服务。</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沙创卫办〔2023〕12号关于印发《沙坪坝区2023-2024年国家卫生区现场评价任务分工表》的通知 沙委办〔2023〕50号关于印发《沙坪坝区“健康小区”建设工作方案》的通知；沙爱卫办〔2023〕15号关于开展病媒生物防制标准化小区试点建设工作的通知；</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1.巩固国卫，开展爱国卫生各项活动10场次；2.举办卫生讲座4次；3.巩固国卫，建设健康小区，制作健康教育宣传专栏6期72个；4.开展无偿献血、看望生病住院计生特扶人员，维护社会稳定。</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活动次数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4</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宣传覆盖率</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85</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群众满意度</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90</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活动人次</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人次</w:t>
            </w: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180</w:t>
            </w: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一般性项目（运行成本类）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lang w:val="en-US" w:eastAsia="zh-CN"/>
              </w:rPr>
              <w:t>58</w:t>
            </w:r>
            <w:r>
              <w:rPr>
                <w:rFonts w:hint="eastAsia" w:ascii="宋体" w:hAnsi="宋体" w:cs="宋体"/>
                <w:kern w:val="0"/>
                <w:sz w:val="20"/>
              </w:rPr>
              <w:t xml:space="preserve"> </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bidi="ar-SA"/>
              </w:rPr>
            </w:pPr>
            <w:r>
              <w:rPr>
                <w:rFonts w:hint="eastAsia" w:ascii="宋体" w:hAnsi="宋体" w:cs="宋体"/>
                <w:kern w:val="0"/>
                <w:sz w:val="20"/>
                <w:lang w:val="en-US" w:eastAsia="zh-CN"/>
              </w:rPr>
              <w:t>58</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反映用水、电、邮寄、通讯、网络、信息化软件运维、物管、租电动车打印机等单位运行费用</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《重庆市沙坪坝区财政局关于2024年沙坪坝区预算编制政策及口径说明的通知》（沙财政发[2023]145 号）</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保证机关正常运转</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缴纳水电费</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缴纳物业费</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4</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满意率</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85</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机关运行情况</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定性</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服务企业发展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lang w:val="en-US" w:eastAsia="zh-CN"/>
              </w:rPr>
              <w:t>0.64</w:t>
            </w:r>
            <w:r>
              <w:rPr>
                <w:rFonts w:hint="eastAsia" w:ascii="宋体" w:hAnsi="宋体" w:cs="宋体"/>
                <w:kern w:val="0"/>
                <w:sz w:val="20"/>
              </w:rPr>
              <w:t xml:space="preserve"> </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bidi="ar-SA"/>
              </w:rPr>
            </w:pPr>
            <w:r>
              <w:rPr>
                <w:rFonts w:hint="eastAsia" w:ascii="宋体" w:hAnsi="宋体" w:cs="宋体"/>
                <w:kern w:val="0"/>
                <w:sz w:val="20"/>
                <w:lang w:val="en-US" w:eastAsia="zh-CN"/>
              </w:rPr>
              <w:t>0.64</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 xml:space="preserve">按照区政府对街道经济社会发展预期任务考核的要求，现结合实际，重点加强和企业沟通交流、推进招商引资、帮助企业限上升规，培育科技型企业、加强城调记账户的业务指导、扎实做好食品安全包保工作。  </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关于做好镇街和园区服务经济发展有关工作的通知》；《重庆市沙坪坝区招商引资领导小组关于印发沙坪坝区2023年镇街招商引税工作方案的通知》；《重庆市沙坪坝区科学技术局关于印发重庆市沙坪坝区支持科技型企业发展壮大十条举措》；《食品安全法》；沙招商发[2023]2号；沙府办发[2023]49号</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重点加强和企业沟通交流、推进招商引资、帮助企业限上升规，培育科技型企业、加强城调记账户的业务指导、扎实做好食品安全包保工作。每季度开展惠企政策宣讲会1次。开展企业走访、助推企业做大做强、发展商会会员活动至少2批。培育科技型企业至少10家，推荐入库高新技术企业至少1家。完成区级留存税收5万元。每季度包保督导工作完成率100%。</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座谈次数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4</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宣传次数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4</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政策知晓率</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90</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企业满意度</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90</w:t>
            </w: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党建引领群团建设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lang w:val="en-US" w:eastAsia="zh-CN"/>
              </w:rPr>
              <w:t>3.56</w:t>
            </w:r>
            <w:r>
              <w:rPr>
                <w:rFonts w:hint="eastAsia" w:ascii="宋体" w:hAnsi="宋体" w:cs="宋体"/>
                <w:kern w:val="0"/>
                <w:sz w:val="20"/>
              </w:rPr>
              <w:t xml:space="preserve"> </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default" w:ascii="宋体" w:hAnsi="宋体" w:eastAsia="方正仿宋_GBK" w:cs="宋体"/>
                <w:kern w:val="0"/>
                <w:sz w:val="20"/>
                <w:lang w:val="en-US" w:eastAsia="zh-CN" w:bidi="ar-SA"/>
              </w:rPr>
            </w:pPr>
            <w:r>
              <w:rPr>
                <w:rFonts w:hint="eastAsia" w:ascii="宋体" w:hAnsi="宋体" w:cs="宋体"/>
                <w:kern w:val="0"/>
                <w:sz w:val="20"/>
                <w:lang w:val="en-US" w:eastAsia="zh-CN"/>
              </w:rPr>
              <w:t>3.56</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发挥党建带头作用，利用党群服务中心阵地开展全辖区党员群众活动。推动关工委、共青团员、妇联等开展宣传、活动费用。</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沙考办发〔2021〕7号、沙委组〔2021〕48号、沙委党建〔2020〕8号、沙委组（2023）26号、沙委组〔2020〕56号、沙委党建〔2020〕11号、沙委组〔2019〕56号、《关于印发&lt;深化拓展“三百”“五微”行动工作方案&gt;的通知》、沙委组〔2020〕317号、沙委党建〔2021〕2号。关于开展2023年“三八”国际妇女节纪念活动的通知；沙团〔2022〕9号</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11个党群服务站日常维护，发挥党建带头作用，利用党群服务中心阵地开展全辖区党员群众活动。推动共青团员、妇联等开展宣传、活动费用。</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活动开展次数</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次</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党群服务站维护数量</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处</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11</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党员群众满意度</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90</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参与人次</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人次</w:t>
            </w: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300</w:t>
            </w: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非税成本　</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lang w:val="en-US" w:eastAsia="zh-CN"/>
              </w:rPr>
              <w:t>9</w:t>
            </w:r>
            <w:r>
              <w:rPr>
                <w:rFonts w:hint="eastAsia" w:ascii="宋体" w:hAnsi="宋体" w:cs="宋体"/>
                <w:kern w:val="0"/>
                <w:sz w:val="20"/>
              </w:rPr>
              <w:t xml:space="preserve"> </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val="en-US" w:eastAsia="zh-CN" w:bidi="ar-SA"/>
              </w:rPr>
            </w:pPr>
            <w:r>
              <w:rPr>
                <w:rFonts w:hint="eastAsia" w:ascii="宋体" w:hAnsi="宋体" w:cs="宋体"/>
                <w:kern w:val="0"/>
                <w:sz w:val="20"/>
                <w:lang w:val="en-US" w:eastAsia="zh-CN"/>
              </w:rPr>
              <w:t>9</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道有61处房屋（大多系八九十年代修建）及64个活动用板房。在租33出房屋经常出现漏水、水管破裂、电表损坏、卷帘门损坏的情况。房屋评估相关费用。缴纳单位房屋出租相关税金。</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沙国资发〔2020〕102号；沙国资发〔2022〕104号；《税法》</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color w:val="000000"/>
                <w:sz w:val="20"/>
                <w:szCs w:val="20"/>
              </w:rPr>
              <w:t>街道有61处房屋（大多系八九十年代修建）及64个活动用板房。房屋经常出现漏水、水管破裂、电表损坏、卷帘门损坏的情况。及时维修保证房屋正常使用。缴纳房屋出租税金。通过保障固定资产房屋及设施设备完整性，实现楼宇出租，达成招商引资。企业3家以上。</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房屋修缮数量</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处</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125</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租户满意率</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80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税金及时缴纳率</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100</w:t>
            </w:r>
          </w:p>
        </w:tc>
      </w:tr>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符合法律法规</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定性</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p>
        </w:tc>
      </w:tr>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noWrap w:val="0"/>
            <w:vAlign w:val="center"/>
          </w:tcPr>
          <w:p>
            <w:pPr>
              <w:widowControl/>
              <w:jc w:val="center"/>
              <w:rPr>
                <w:rFonts w:hint="eastAsia" w:ascii="宋体" w:hAnsi="宋体" w:eastAsia="方正仿宋_GBK" w:cs="宋体"/>
                <w:b/>
                <w:bCs/>
                <w:kern w:val="0"/>
                <w:sz w:val="36"/>
                <w:szCs w:val="36"/>
                <w:lang w:val="en-US" w:eastAsia="zh-CN"/>
              </w:rPr>
            </w:pPr>
            <w:r>
              <w:rPr>
                <w:rFonts w:hint="eastAsia" w:ascii="宋体" w:hAnsi="宋体" w:cs="宋体"/>
                <w:kern w:val="0"/>
                <w:sz w:val="20"/>
              </w:rPr>
              <w:t>编制单位：</w:t>
            </w:r>
            <w:r>
              <w:rPr>
                <w:rFonts w:hint="eastAsia" w:ascii="宋体" w:hAnsi="宋体" w:cs="宋体"/>
                <w:kern w:val="0"/>
                <w:sz w:val="20"/>
                <w:lang w:eastAsia="zh-CN"/>
              </w:rPr>
              <w:t>重庆市沙坪坝区人民政府土湾街道办事处</w:t>
            </w:r>
          </w:p>
        </w:tc>
        <w:tc>
          <w:tcPr>
            <w:tcW w:w="960"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noWrap w:val="0"/>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　一般性项目（设备采购类）</w:t>
            </w:r>
          </w:p>
        </w:tc>
        <w:tc>
          <w:tcPr>
            <w:tcW w:w="1686"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重庆市沙坪坝区人民政府土湾街道办事处</w:t>
            </w:r>
          </w:p>
        </w:tc>
      </w:tr>
      <w:tr>
        <w:tblPrEx>
          <w:tblCellMar>
            <w:top w:w="0" w:type="dxa"/>
            <w:left w:w="108" w:type="dxa"/>
            <w:bottom w:w="0" w:type="dxa"/>
            <w:right w:w="108" w:type="dxa"/>
          </w:tblCellMar>
        </w:tblPrEx>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lang w:val="en-US" w:eastAsia="zh-CN"/>
              </w:rPr>
              <w:t>2</w:t>
            </w:r>
            <w:r>
              <w:rPr>
                <w:rFonts w:hint="eastAsia" w:ascii="宋体" w:hAnsi="宋体" w:cs="宋体"/>
                <w:kern w:val="0"/>
                <w:sz w:val="20"/>
              </w:rPr>
              <w:t xml:space="preserve"> </w:t>
            </w:r>
          </w:p>
          <w:p>
            <w:pPr>
              <w:widowControl/>
              <w:jc w:val="center"/>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方正仿宋_GBK" w:cs="宋体"/>
                <w:kern w:val="0"/>
                <w:sz w:val="20"/>
                <w:lang w:val="en-US" w:eastAsia="zh-CN" w:bidi="ar-SA"/>
              </w:rPr>
            </w:pPr>
            <w:r>
              <w:rPr>
                <w:rFonts w:hint="eastAsia" w:ascii="宋体" w:hAnsi="宋体" w:cs="宋体"/>
                <w:kern w:val="0"/>
                <w:sz w:val="20"/>
                <w:lang w:val="en-US" w:eastAsia="zh-CN"/>
              </w:rPr>
              <w:t>2</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p>
        </w:tc>
        <w:tc>
          <w:tcPr>
            <w:tcW w:w="1686"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方正仿宋_GBK" w:cs="宋体"/>
                <w:kern w:val="0"/>
                <w:sz w:val="20"/>
                <w:lang w:val="en-US" w:eastAsia="zh-CN" w:bidi="ar-SA"/>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eastAsia="方正仿宋_GBK" w:cs="宋体"/>
                <w:kern w:val="0"/>
                <w:sz w:val="20"/>
                <w:lang w:val="en-US" w:eastAsia="zh-CN" w:bidi="ar-SA"/>
              </w:rPr>
            </w:pPr>
            <w:r>
              <w:rPr>
                <w:rFonts w:hint="eastAsia" w:ascii="宋体" w:hAnsi="宋体" w:cs="宋体"/>
                <w:kern w:val="0"/>
                <w:sz w:val="20"/>
              </w:rPr>
              <w:t>　</w:t>
            </w:r>
          </w:p>
        </w:tc>
      </w:tr>
      <w:tr>
        <w:tblPrEx>
          <w:tblCellMar>
            <w:top w:w="0" w:type="dxa"/>
            <w:left w:w="108" w:type="dxa"/>
            <w:bottom w:w="0" w:type="dxa"/>
            <w:right w:w="108" w:type="dxa"/>
          </w:tblCellMar>
        </w:tblPrEx>
        <w:trPr>
          <w:trHeight w:val="1109"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采购4台电脑</w:t>
            </w:r>
          </w:p>
        </w:tc>
      </w:tr>
      <w:tr>
        <w:tblPrEx>
          <w:tblCellMar>
            <w:top w:w="0" w:type="dxa"/>
            <w:left w:w="108" w:type="dxa"/>
            <w:bottom w:w="0" w:type="dxa"/>
            <w:right w:w="108" w:type="dxa"/>
          </w:tblCellMar>
        </w:tblPrEx>
        <w:trPr>
          <w:trHeight w:val="100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《重庆市沙坪坝区财政局关于2024年沙坪坝区预算编制政策及口径说明的通知》（沙财政发[2023]145 号）渝财资产【2020 】19号</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保证机关正常运转</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w:t>
            </w:r>
          </w:p>
        </w:tc>
        <w:tc>
          <w:tcPr>
            <w:tcW w:w="1134"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指标权重</w:t>
            </w:r>
          </w:p>
        </w:tc>
        <w:tc>
          <w:tcPr>
            <w:tcW w:w="1149"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计量单位</w:t>
            </w:r>
          </w:p>
        </w:tc>
        <w:tc>
          <w:tcPr>
            <w:tcW w:w="1300"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指标性质</w:t>
            </w:r>
          </w:p>
        </w:tc>
        <w:tc>
          <w:tcPr>
            <w:tcW w:w="6481" w:type="dxa"/>
            <w:gridSpan w:val="2"/>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方正仿宋_GBK" w:hAnsi="方正仿宋_GBK" w:eastAsia="方正仿宋_GBK" w:cs="方正仿宋_GBK"/>
                <w:kern w:val="0"/>
                <w:sz w:val="20"/>
                <w:szCs w:val="20"/>
                <w:lang w:val="en-US" w:eastAsia="zh-CN" w:bidi="ar-SA"/>
              </w:rPr>
            </w:pPr>
            <w:r>
              <w:rPr>
                <w:rFonts w:hint="eastAsia" w:ascii="方正仿宋_GBK" w:hAnsi="方正仿宋_GBK" w:eastAsia="方正仿宋_GBK" w:cs="方正仿宋_GBK"/>
                <w:kern w:val="0"/>
                <w:sz w:val="20"/>
                <w:szCs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满意率</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85</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计算器采购成本</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元</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5000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nil"/>
              <w:right w:val="single" w:color="auto" w:sz="4" w:space="0"/>
            </w:tcBorders>
            <w:shd w:val="clear" w:color="auto" w:fill="auto"/>
            <w:noWrap w:val="0"/>
            <w:vAlign w:val="center"/>
          </w:tcPr>
          <w:p>
            <w:pPr>
              <w:widowControl/>
              <w:jc w:val="left"/>
              <w:rPr>
                <w:rFonts w:ascii="宋体" w:hAnsi="宋体" w:cs="宋体"/>
                <w:color w:val="000000"/>
                <w:kern w:val="0"/>
                <w:sz w:val="20"/>
              </w:rPr>
            </w:pPr>
            <w:bookmarkStart w:id="0" w:name="_GoBack" w:colFirst="2" w:colLast="5"/>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使用年限</w:t>
            </w:r>
          </w:p>
        </w:tc>
        <w:tc>
          <w:tcPr>
            <w:tcW w:w="1134"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20</w:t>
            </w:r>
          </w:p>
        </w:tc>
        <w:tc>
          <w:tcPr>
            <w:tcW w:w="1149"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年</w:t>
            </w:r>
          </w:p>
        </w:tc>
        <w:tc>
          <w:tcPr>
            <w:tcW w:w="1300" w:type="dxa"/>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nil"/>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5</w:t>
            </w:r>
          </w:p>
        </w:tc>
      </w:tr>
      <w:bookmarkEnd w:id="0"/>
      <w:tr>
        <w:tblPrEx>
          <w:tblCellMar>
            <w:top w:w="0" w:type="dxa"/>
            <w:left w:w="108" w:type="dxa"/>
            <w:bottom w:w="0" w:type="dxa"/>
            <w:right w:w="108" w:type="dxa"/>
          </w:tblCellMar>
        </w:tblPrEx>
        <w:trPr>
          <w:trHeight w:val="495" w:hRule="atLeast"/>
        </w:trPr>
        <w:tc>
          <w:tcPr>
            <w:tcW w:w="2220" w:type="dxa"/>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noWrap w:val="0"/>
            <w:vAlign w:val="top"/>
          </w:tcPr>
          <w:p>
            <w:pPr>
              <w:spacing w:beforeLines="0" w:afterLines="0"/>
              <w:jc w:val="left"/>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采购数量</w:t>
            </w:r>
          </w:p>
        </w:tc>
        <w:tc>
          <w:tcPr>
            <w:tcW w:w="1134"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30</w:t>
            </w:r>
          </w:p>
        </w:tc>
        <w:tc>
          <w:tcPr>
            <w:tcW w:w="1149"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个</w:t>
            </w:r>
          </w:p>
        </w:tc>
        <w:tc>
          <w:tcPr>
            <w:tcW w:w="1300" w:type="dxa"/>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w:t>
            </w:r>
          </w:p>
        </w:tc>
        <w:tc>
          <w:tcPr>
            <w:tcW w:w="6481" w:type="dxa"/>
            <w:gridSpan w:val="2"/>
            <w:tcBorders>
              <w:top w:val="single" w:color="auto" w:sz="4" w:space="0"/>
              <w:left w:val="nil"/>
              <w:bottom w:val="single" w:color="auto" w:sz="4" w:space="0"/>
              <w:right w:val="single" w:color="auto" w:sz="4" w:space="0"/>
            </w:tcBorders>
            <w:shd w:val="clear" w:color="auto" w:fill="auto"/>
            <w:noWrap w:val="0"/>
            <w:vAlign w:val="top"/>
          </w:tcPr>
          <w:p>
            <w:pPr>
              <w:spacing w:beforeLines="0" w:afterLines="0"/>
              <w:jc w:val="center"/>
              <w:rPr>
                <w:rFonts w:hint="eastAsia" w:ascii="方正仿宋_GBK" w:hAnsi="方正仿宋_GBK" w:eastAsia="方正仿宋_GBK" w:cs="方正仿宋_GBK"/>
                <w:color w:val="000000"/>
                <w:kern w:val="2"/>
                <w:sz w:val="20"/>
                <w:szCs w:val="20"/>
                <w:lang w:val="en-US" w:eastAsia="zh-CN" w:bidi="ar-SA"/>
              </w:rPr>
            </w:pPr>
            <w:r>
              <w:rPr>
                <w:rFonts w:hint="eastAsia" w:ascii="方正仿宋_GBK" w:hAnsi="方正仿宋_GBK" w:eastAsia="方正仿宋_GBK" w:cs="方正仿宋_GBK"/>
                <w:color w:val="000000"/>
                <w:sz w:val="20"/>
                <w:szCs w:val="20"/>
              </w:rPr>
              <w:t>1</w:t>
            </w:r>
          </w:p>
        </w:tc>
      </w:tr>
    </w:tbl>
    <w:p/>
    <w:sectPr>
      <w:pgSz w:w="16838" w:h="11906" w:orient="landscape"/>
      <w:pgMar w:top="1077" w:right="907" w:bottom="1106" w:left="93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8210DD5"/>
    <w:rsid w:val="40D16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2023-12-26T06:15:50Z</dcterms:created>
  <dc:creator>Administrator</dc:creator>
  <cp:lastModifiedBy>Administrator</cp:lastModifiedBy>
  <dcterms:modified xsi:type="dcterms:W3CDTF">2023-12-26T06:26:45Z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DFFF14026DB7478EB874B09E7CFDA96D</vt:lpwstr>
  </property>
</Properties>
</file>