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041" w:type="dxa"/>
        <w:tblInd w:w="93" w:type="dxa"/>
        <w:tblLayout w:type="autofit"/>
        <w:tblCellMar>
          <w:top w:w="0" w:type="dxa"/>
          <w:left w:w="108" w:type="dxa"/>
          <w:bottom w:w="0" w:type="dxa"/>
          <w:right w:w="108" w:type="dxa"/>
        </w:tblCellMar>
      </w:tblPr>
      <w:tblGrid>
        <w:gridCol w:w="2220"/>
        <w:gridCol w:w="2757"/>
        <w:gridCol w:w="363"/>
        <w:gridCol w:w="771"/>
        <w:gridCol w:w="189"/>
        <w:gridCol w:w="960"/>
        <w:gridCol w:w="1300"/>
        <w:gridCol w:w="386"/>
        <w:gridCol w:w="6095"/>
      </w:tblGrid>
      <w:tr>
        <w:tblPrEx>
          <w:tblCellMar>
            <w:top w:w="0" w:type="dxa"/>
            <w:left w:w="108" w:type="dxa"/>
            <w:bottom w:w="0" w:type="dxa"/>
            <w:right w:w="108" w:type="dxa"/>
          </w:tblCellMar>
        </w:tblPrEx>
        <w:trPr>
          <w:trHeight w:val="735" w:hRule="atLeast"/>
        </w:trPr>
        <w:tc>
          <w:tcPr>
            <w:tcW w:w="15041" w:type="dxa"/>
            <w:gridSpan w:val="9"/>
            <w:tcBorders>
              <w:top w:val="nil"/>
              <w:left w:val="nil"/>
              <w:bottom w:val="nil"/>
              <w:right w:val="nil"/>
            </w:tcBorders>
            <w:shd w:val="clear" w:color="auto" w:fill="auto"/>
            <w:noWrap w:val="0"/>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CellMar>
            <w:top w:w="0" w:type="dxa"/>
            <w:left w:w="108" w:type="dxa"/>
            <w:bottom w:w="0" w:type="dxa"/>
            <w:right w:w="108" w:type="dxa"/>
          </w:tblCellMar>
        </w:tblPrEx>
        <w:trPr>
          <w:trHeight w:val="555" w:hRule="atLeast"/>
        </w:trPr>
        <w:tc>
          <w:tcPr>
            <w:tcW w:w="5340" w:type="dxa"/>
            <w:gridSpan w:val="3"/>
            <w:tcBorders>
              <w:top w:val="nil"/>
              <w:left w:val="nil"/>
              <w:bottom w:val="nil"/>
              <w:right w:val="nil"/>
            </w:tcBorders>
            <w:shd w:val="clear" w:color="auto" w:fill="auto"/>
            <w:noWrap w:val="0"/>
            <w:vAlign w:val="center"/>
          </w:tcPr>
          <w:p>
            <w:pPr>
              <w:widowControl/>
              <w:jc w:val="center"/>
              <w:rPr>
                <w:rFonts w:hint="eastAsia" w:ascii="宋体" w:hAnsi="宋体" w:eastAsia="方正仿宋_GBK" w:cs="宋体"/>
                <w:b/>
                <w:bCs/>
                <w:kern w:val="0"/>
                <w:sz w:val="36"/>
                <w:szCs w:val="36"/>
                <w:lang w:val="en-US" w:eastAsia="zh-CN"/>
              </w:rPr>
            </w:pPr>
            <w:r>
              <w:rPr>
                <w:rFonts w:hint="eastAsia" w:ascii="宋体" w:hAnsi="宋体" w:cs="宋体"/>
                <w:kern w:val="0"/>
                <w:sz w:val="20"/>
              </w:rPr>
              <w:t>编制单位：</w:t>
            </w:r>
            <w:r>
              <w:rPr>
                <w:rFonts w:hint="eastAsia" w:ascii="宋体" w:hAnsi="宋体" w:cs="宋体"/>
                <w:kern w:val="0"/>
                <w:sz w:val="20"/>
                <w:lang w:eastAsia="zh-CN"/>
              </w:rPr>
              <w:t>重庆市沙坪坝区人民政府土湾街道办事处</w:t>
            </w:r>
          </w:p>
        </w:tc>
        <w:tc>
          <w:tcPr>
            <w:tcW w:w="960"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1686"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shd w:val="clear" w:color="auto" w:fill="auto"/>
            <w:noWrap w:val="0"/>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CellMar>
            <w:top w:w="0" w:type="dxa"/>
            <w:left w:w="108" w:type="dxa"/>
            <w:bottom w:w="0" w:type="dxa"/>
            <w:right w:w="108" w:type="dxa"/>
          </w:tblCellMar>
        </w:tblPrEx>
        <w:trPr>
          <w:trHeight w:val="555" w:hRule="atLeast"/>
        </w:trPr>
        <w:tc>
          <w:tcPr>
            <w:tcW w:w="22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tabs>
                <w:tab w:val="left" w:pos="1044"/>
                <w:tab w:val="center" w:pos="2572"/>
              </w:tabs>
              <w:spacing w:beforeLines="0" w:afterLines="0"/>
              <w:jc w:val="left"/>
              <w:rPr>
                <w:rFonts w:hint="eastAsia" w:ascii="宋体" w:hAnsi="宋体" w:eastAsia="宋体" w:cs="宋体"/>
                <w:kern w:val="0"/>
                <w:sz w:val="20"/>
                <w:szCs w:val="24"/>
                <w:lang w:val="en-US" w:eastAsia="zh-CN" w:bidi="ar-SA"/>
              </w:rPr>
            </w:pPr>
            <w:r>
              <w:rPr>
                <w:rFonts w:hint="eastAsia" w:ascii="宋体" w:hAnsi="宋体" w:cs="宋体"/>
                <w:kern w:val="0"/>
                <w:sz w:val="20"/>
                <w:szCs w:val="24"/>
              </w:rPr>
              <w:tab/>
            </w:r>
            <w:r>
              <w:rPr>
                <w:rFonts w:hint="eastAsia" w:ascii="宋体" w:hAnsi="宋体" w:cs="宋体"/>
                <w:kern w:val="0"/>
                <w:sz w:val="20"/>
                <w:szCs w:val="24"/>
              </w:rPr>
              <w:t>精神文明建设</w:t>
            </w:r>
            <w:r>
              <w:rPr>
                <w:rFonts w:hint="eastAsia" w:ascii="宋体" w:hAnsi="宋体" w:cs="宋体"/>
                <w:kern w:val="0"/>
                <w:sz w:val="20"/>
                <w:szCs w:val="24"/>
              </w:rPr>
              <w:tab/>
            </w:r>
            <w:r>
              <w:rPr>
                <w:rFonts w:hint="eastAsia" w:ascii="宋体" w:hAnsi="宋体" w:cs="宋体"/>
                <w:kern w:val="0"/>
                <w:sz w:val="20"/>
                <w:szCs w:val="24"/>
              </w:rPr>
              <w:t>　</w:t>
            </w:r>
          </w:p>
        </w:tc>
        <w:tc>
          <w:tcPr>
            <w:tcW w:w="168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业务主管部门</w:t>
            </w:r>
          </w:p>
        </w:tc>
        <w:tc>
          <w:tcPr>
            <w:tcW w:w="60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r>
              <w:rPr>
                <w:rFonts w:hint="eastAsia" w:ascii="宋体" w:hAnsi="宋体" w:cs="宋体"/>
                <w:kern w:val="0"/>
                <w:sz w:val="20"/>
                <w:szCs w:val="24"/>
              </w:rPr>
              <w:t>　重庆市沙坪坝区人民政府土湾街道办事处</w:t>
            </w:r>
          </w:p>
        </w:tc>
      </w:tr>
      <w:tr>
        <w:tblPrEx>
          <w:tblCellMar>
            <w:top w:w="0" w:type="dxa"/>
            <w:left w:w="108" w:type="dxa"/>
            <w:bottom w:w="0" w:type="dxa"/>
            <w:right w:w="108" w:type="dxa"/>
          </w:tblCellMar>
        </w:tblPrEx>
        <w:trPr>
          <w:trHeight w:val="555"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2024年预算</w:t>
            </w:r>
          </w:p>
        </w:tc>
        <w:tc>
          <w:tcPr>
            <w:tcW w:w="5040" w:type="dxa"/>
            <w:gridSpan w:val="5"/>
            <w:vMerge w:val="restart"/>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 xml:space="preserve">4.8 </w:t>
            </w:r>
          </w:p>
          <w:p>
            <w:pPr>
              <w:widowControl/>
              <w:jc w:val="center"/>
              <w:rPr>
                <w:rFonts w:ascii="宋体" w:hAnsi="宋体" w:cs="宋体"/>
                <w:kern w:val="0"/>
                <w:sz w:val="20"/>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区级支出</w:t>
            </w:r>
          </w:p>
        </w:tc>
        <w:tc>
          <w:tcPr>
            <w:tcW w:w="6095" w:type="dxa"/>
            <w:tcBorders>
              <w:top w:val="nil"/>
              <w:left w:val="nil"/>
              <w:bottom w:val="single" w:color="auto" w:sz="4" w:space="0"/>
              <w:right w:val="single" w:color="auto"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r>
              <w:rPr>
                <w:rFonts w:hint="eastAsia" w:ascii="宋体" w:hAnsi="宋体" w:cs="宋体"/>
                <w:kern w:val="0"/>
                <w:sz w:val="20"/>
                <w:szCs w:val="24"/>
              </w:rPr>
              <w:t>　4.8</w:t>
            </w:r>
          </w:p>
        </w:tc>
      </w:tr>
      <w:tr>
        <w:tblPrEx>
          <w:tblCellMar>
            <w:top w:w="0" w:type="dxa"/>
            <w:left w:w="108" w:type="dxa"/>
            <w:bottom w:w="0" w:type="dxa"/>
            <w:right w:w="108" w:type="dxa"/>
          </w:tblCellMar>
        </w:tblPrEx>
        <w:trPr>
          <w:trHeight w:val="55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5040" w:type="dxa"/>
            <w:gridSpan w:val="5"/>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补助街镇</w:t>
            </w:r>
          </w:p>
        </w:tc>
        <w:tc>
          <w:tcPr>
            <w:tcW w:w="6095" w:type="dxa"/>
            <w:tcBorders>
              <w:top w:val="nil"/>
              <w:left w:val="nil"/>
              <w:bottom w:val="single" w:color="auto" w:sz="4" w:space="0"/>
              <w:right w:val="single" w:color="auto"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r>
              <w:rPr>
                <w:rFonts w:hint="eastAsia" w:ascii="宋体" w:hAnsi="宋体" w:cs="宋体"/>
                <w:kern w:val="0"/>
                <w:sz w:val="20"/>
                <w:szCs w:val="24"/>
              </w:rPr>
              <w:t>　</w:t>
            </w:r>
          </w:p>
        </w:tc>
      </w:tr>
      <w:tr>
        <w:tblPrEx>
          <w:tblCellMar>
            <w:top w:w="0" w:type="dxa"/>
            <w:left w:w="108" w:type="dxa"/>
            <w:bottom w:w="0" w:type="dxa"/>
            <w:right w:w="108" w:type="dxa"/>
          </w:tblCellMar>
        </w:tblPrEx>
        <w:trPr>
          <w:trHeight w:val="1109"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widowControl/>
              <w:spacing w:beforeLines="0" w:afterLines="0"/>
              <w:jc w:val="center"/>
              <w:rPr>
                <w:rFonts w:hint="eastAsia" w:ascii="宋体" w:hAnsi="宋体" w:eastAsia="方正仿宋_GBK" w:cs="宋体"/>
                <w:kern w:val="0"/>
                <w:sz w:val="20"/>
                <w:szCs w:val="24"/>
                <w:lang w:val="en-US" w:eastAsia="zh-CN" w:bidi="ar-SA"/>
              </w:rPr>
            </w:pPr>
            <w:r>
              <w:rPr>
                <w:rFonts w:hint="eastAsia" w:ascii="宋体" w:hAnsi="宋体" w:cs="宋体"/>
                <w:kern w:val="0"/>
                <w:sz w:val="20"/>
                <w:szCs w:val="24"/>
              </w:rPr>
              <w:t>提高群众文明素养，丰富群众文化生活，在重大节假日开展文化体育科普教育系列活动；开展创文、创卫宣传，建设文联、志愿者等团队.</w:t>
            </w:r>
          </w:p>
        </w:tc>
      </w:tr>
      <w:tr>
        <w:tblPrEx>
          <w:tblCellMar>
            <w:top w:w="0" w:type="dxa"/>
            <w:left w:w="108" w:type="dxa"/>
            <w:bottom w:w="0" w:type="dxa"/>
            <w:right w:w="108" w:type="dxa"/>
          </w:tblCellMar>
        </w:tblPrEx>
        <w:trPr>
          <w:trHeight w:val="1005"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widowControl/>
              <w:spacing w:beforeLines="0" w:afterLines="0"/>
              <w:jc w:val="center"/>
              <w:rPr>
                <w:rFonts w:hint="eastAsia" w:ascii="宋体" w:hAnsi="宋体" w:eastAsia="方正仿宋_GBK" w:cs="宋体"/>
                <w:kern w:val="0"/>
                <w:sz w:val="20"/>
                <w:szCs w:val="24"/>
                <w:lang w:val="en-US" w:eastAsia="zh-CN" w:bidi="ar-SA"/>
              </w:rPr>
            </w:pPr>
            <w:r>
              <w:rPr>
                <w:rFonts w:hint="eastAsia" w:ascii="宋体" w:hAnsi="宋体" w:cs="宋体"/>
                <w:kern w:val="0"/>
                <w:sz w:val="20"/>
                <w:szCs w:val="24"/>
              </w:rPr>
              <w:t>国办发【2015】74号；财教〔2013〕98号；重庆市2019年乡镇（街道）基层综合文化服务中心服务效能评价指标体系要求；沙坪坝区文化旅游发展委员会关于印发2023年工作要点的通知；重庆市乡镇街道基层综合文化服务中心服务效能评价指标体系；关于印发沙坪坝区2023社区教育工作要点的通知；沙坪坝区科协关于印发2023年工作要点的通知；沙区体育局检查实地考核评分表；沙坪坝区关工委关于开展好暑期青少年活动的通知。涉及考核。</w:t>
            </w:r>
          </w:p>
        </w:tc>
      </w:tr>
      <w:tr>
        <w:tblPrEx>
          <w:tblCellMar>
            <w:top w:w="0" w:type="dxa"/>
            <w:left w:w="108" w:type="dxa"/>
            <w:bottom w:w="0" w:type="dxa"/>
            <w:right w:w="108" w:type="dxa"/>
          </w:tblCellMar>
        </w:tblPrEx>
        <w:trPr>
          <w:trHeight w:val="984"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widowControl/>
              <w:spacing w:beforeLines="0" w:afterLines="0"/>
              <w:jc w:val="center"/>
              <w:rPr>
                <w:rFonts w:hint="eastAsia" w:ascii="宋体" w:hAnsi="宋体" w:eastAsia="方正仿宋_GBK" w:cs="宋体"/>
                <w:kern w:val="0"/>
                <w:sz w:val="20"/>
                <w:szCs w:val="24"/>
                <w:lang w:val="en-US" w:eastAsia="zh-CN" w:bidi="ar-SA"/>
              </w:rPr>
            </w:pPr>
            <w:r>
              <w:rPr>
                <w:rFonts w:hint="eastAsia" w:ascii="宋体" w:hAnsi="宋体" w:cs="宋体"/>
                <w:kern w:val="0"/>
                <w:sz w:val="20"/>
                <w:szCs w:val="24"/>
              </w:rPr>
              <w:t>文明城区卫生城区复检工作。开展文化体育科普教育系列活动。建设文联、志愿者等团队。增加辖区文化氛围，提高群众文明素养，丰富群众文化生活。</w:t>
            </w:r>
          </w:p>
        </w:tc>
      </w:tr>
      <w:tr>
        <w:tblPrEx>
          <w:tblCellMar>
            <w:top w:w="0" w:type="dxa"/>
            <w:left w:w="108" w:type="dxa"/>
            <w:bottom w:w="0" w:type="dxa"/>
            <w:right w:w="108" w:type="dxa"/>
          </w:tblCellMar>
        </w:tblPrEx>
        <w:trPr>
          <w:trHeight w:val="540"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2757" w:type="dxa"/>
            <w:tcBorders>
              <w:top w:val="single" w:color="auto" w:sz="4" w:space="0"/>
              <w:left w:val="nil"/>
              <w:bottom w:val="single" w:color="auto" w:sz="4" w:space="0"/>
              <w:right w:val="single" w:color="000000"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指标</w:t>
            </w:r>
          </w:p>
        </w:tc>
        <w:tc>
          <w:tcPr>
            <w:tcW w:w="1134"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指标权重</w:t>
            </w:r>
          </w:p>
        </w:tc>
        <w:tc>
          <w:tcPr>
            <w:tcW w:w="1149"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计量单位</w:t>
            </w:r>
          </w:p>
        </w:tc>
        <w:tc>
          <w:tcPr>
            <w:tcW w:w="1300" w:type="dxa"/>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指标性质</w:t>
            </w:r>
          </w:p>
        </w:tc>
        <w:tc>
          <w:tcPr>
            <w:tcW w:w="6481"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指标值</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演出场次</w:t>
            </w:r>
          </w:p>
        </w:tc>
        <w:tc>
          <w:tcPr>
            <w:tcW w:w="1134"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20</w:t>
            </w:r>
          </w:p>
        </w:tc>
        <w:tc>
          <w:tcPr>
            <w:tcW w:w="1149"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场次</w:t>
            </w:r>
          </w:p>
        </w:tc>
        <w:tc>
          <w:tcPr>
            <w:tcW w:w="1300" w:type="dxa"/>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7</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培训天数</w:t>
            </w:r>
          </w:p>
        </w:tc>
        <w:tc>
          <w:tcPr>
            <w:tcW w:w="1134"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20</w:t>
            </w:r>
          </w:p>
        </w:tc>
        <w:tc>
          <w:tcPr>
            <w:tcW w:w="1149"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天</w:t>
            </w:r>
          </w:p>
        </w:tc>
        <w:tc>
          <w:tcPr>
            <w:tcW w:w="1300" w:type="dxa"/>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20</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艺术普及度</w:t>
            </w:r>
          </w:p>
        </w:tc>
        <w:tc>
          <w:tcPr>
            <w:tcW w:w="1134"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20</w:t>
            </w:r>
          </w:p>
        </w:tc>
        <w:tc>
          <w:tcPr>
            <w:tcW w:w="1149"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1300" w:type="dxa"/>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90</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群众满意度</w:t>
            </w:r>
          </w:p>
        </w:tc>
        <w:tc>
          <w:tcPr>
            <w:tcW w:w="1134" w:type="dxa"/>
            <w:gridSpan w:val="2"/>
            <w:tcBorders>
              <w:top w:val="nil"/>
              <w:left w:val="nil"/>
              <w:bottom w:val="nil"/>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10</w:t>
            </w:r>
          </w:p>
        </w:tc>
        <w:tc>
          <w:tcPr>
            <w:tcW w:w="1149" w:type="dxa"/>
            <w:gridSpan w:val="2"/>
            <w:tcBorders>
              <w:top w:val="nil"/>
              <w:left w:val="nil"/>
              <w:bottom w:val="nil"/>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1300" w:type="dxa"/>
            <w:tcBorders>
              <w:top w:val="nil"/>
              <w:left w:val="nil"/>
              <w:bottom w:val="nil"/>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tcBorders>
              <w:top w:val="nil"/>
              <w:left w:val="nil"/>
              <w:bottom w:val="nil"/>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90</w:t>
            </w:r>
          </w:p>
        </w:tc>
      </w:tr>
      <w:tr>
        <w:tblPrEx>
          <w:tblCellMar>
            <w:top w:w="0" w:type="dxa"/>
            <w:left w:w="108" w:type="dxa"/>
            <w:bottom w:w="0" w:type="dxa"/>
            <w:right w:w="108" w:type="dxa"/>
          </w:tblCellMar>
        </w:tblPrEx>
        <w:trPr>
          <w:trHeight w:val="495"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群众参与度</w:t>
            </w:r>
          </w:p>
        </w:tc>
        <w:tc>
          <w:tcPr>
            <w:tcW w:w="1134"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20</w:t>
            </w:r>
          </w:p>
        </w:tc>
        <w:tc>
          <w:tcPr>
            <w:tcW w:w="1149"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p>
        </w:tc>
        <w:tc>
          <w:tcPr>
            <w:tcW w:w="1300" w:type="dxa"/>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定性</w:t>
            </w:r>
          </w:p>
        </w:tc>
        <w:tc>
          <w:tcPr>
            <w:tcW w:w="6481"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好</w:t>
            </w:r>
          </w:p>
        </w:tc>
      </w:tr>
      <w:tr>
        <w:tblPrEx>
          <w:tblCellMar>
            <w:top w:w="0" w:type="dxa"/>
            <w:left w:w="108" w:type="dxa"/>
            <w:bottom w:w="0" w:type="dxa"/>
            <w:right w:w="108" w:type="dxa"/>
          </w:tblCellMar>
        </w:tblPrEx>
        <w:trPr>
          <w:trHeight w:val="735" w:hRule="atLeast"/>
        </w:trPr>
        <w:tc>
          <w:tcPr>
            <w:tcW w:w="15041" w:type="dxa"/>
            <w:gridSpan w:val="9"/>
            <w:tcBorders>
              <w:top w:val="nil"/>
              <w:left w:val="nil"/>
              <w:bottom w:val="nil"/>
              <w:right w:val="nil"/>
            </w:tcBorders>
            <w:shd w:val="clear" w:color="auto" w:fill="auto"/>
            <w:noWrap w:val="0"/>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CellMar>
            <w:top w:w="0" w:type="dxa"/>
            <w:left w:w="108" w:type="dxa"/>
            <w:bottom w:w="0" w:type="dxa"/>
            <w:right w:w="108" w:type="dxa"/>
          </w:tblCellMar>
        </w:tblPrEx>
        <w:trPr>
          <w:trHeight w:val="555" w:hRule="atLeast"/>
        </w:trPr>
        <w:tc>
          <w:tcPr>
            <w:tcW w:w="5340" w:type="dxa"/>
            <w:gridSpan w:val="3"/>
            <w:tcBorders>
              <w:top w:val="nil"/>
              <w:left w:val="nil"/>
              <w:bottom w:val="nil"/>
              <w:right w:val="nil"/>
            </w:tcBorders>
            <w:shd w:val="clear" w:color="auto" w:fill="auto"/>
            <w:noWrap w:val="0"/>
            <w:vAlign w:val="center"/>
          </w:tcPr>
          <w:p>
            <w:pPr>
              <w:widowControl/>
              <w:jc w:val="center"/>
              <w:rPr>
                <w:rFonts w:hint="eastAsia" w:ascii="宋体" w:hAnsi="宋体" w:eastAsia="方正仿宋_GBK" w:cs="宋体"/>
                <w:b/>
                <w:bCs/>
                <w:kern w:val="0"/>
                <w:sz w:val="36"/>
                <w:szCs w:val="36"/>
                <w:lang w:val="en-US" w:eastAsia="zh-CN"/>
              </w:rPr>
            </w:pPr>
            <w:r>
              <w:rPr>
                <w:rFonts w:hint="eastAsia" w:ascii="宋体" w:hAnsi="宋体" w:cs="宋体"/>
                <w:kern w:val="0"/>
                <w:sz w:val="20"/>
              </w:rPr>
              <w:t>编制单位：</w:t>
            </w:r>
            <w:r>
              <w:rPr>
                <w:rFonts w:hint="eastAsia" w:ascii="宋体" w:hAnsi="宋体" w:cs="宋体"/>
                <w:kern w:val="0"/>
                <w:sz w:val="20"/>
                <w:lang w:eastAsia="zh-CN"/>
              </w:rPr>
              <w:t>重庆市沙坪坝区人民政府土湾街道办事处</w:t>
            </w:r>
          </w:p>
        </w:tc>
        <w:tc>
          <w:tcPr>
            <w:tcW w:w="960"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1686"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shd w:val="clear" w:color="auto" w:fill="auto"/>
            <w:noWrap w:val="0"/>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CellMar>
            <w:top w:w="0" w:type="dxa"/>
            <w:left w:w="108" w:type="dxa"/>
            <w:bottom w:w="0" w:type="dxa"/>
            <w:right w:w="108" w:type="dxa"/>
          </w:tblCellMar>
        </w:tblPrEx>
        <w:trPr>
          <w:trHeight w:val="555" w:hRule="atLeast"/>
        </w:trPr>
        <w:tc>
          <w:tcPr>
            <w:tcW w:w="22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一般性项目（会议培训类）　</w:t>
            </w:r>
          </w:p>
        </w:tc>
        <w:tc>
          <w:tcPr>
            <w:tcW w:w="168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业务主管部门</w:t>
            </w:r>
          </w:p>
        </w:tc>
        <w:tc>
          <w:tcPr>
            <w:tcW w:w="60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r>
              <w:rPr>
                <w:rFonts w:hint="eastAsia" w:ascii="宋体" w:hAnsi="宋体" w:cs="宋体"/>
                <w:kern w:val="0"/>
                <w:sz w:val="20"/>
                <w:szCs w:val="24"/>
              </w:rPr>
              <w:t>　重庆市沙坪坝区人民政府土湾街道办事处</w:t>
            </w:r>
          </w:p>
        </w:tc>
      </w:tr>
      <w:tr>
        <w:tblPrEx>
          <w:tblCellMar>
            <w:top w:w="0" w:type="dxa"/>
            <w:left w:w="108" w:type="dxa"/>
            <w:bottom w:w="0" w:type="dxa"/>
            <w:right w:w="108" w:type="dxa"/>
          </w:tblCellMar>
        </w:tblPrEx>
        <w:trPr>
          <w:trHeight w:val="555"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2024年预算</w:t>
            </w:r>
          </w:p>
        </w:tc>
        <w:tc>
          <w:tcPr>
            <w:tcW w:w="5040" w:type="dxa"/>
            <w:gridSpan w:val="5"/>
            <w:vMerge w:val="restart"/>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 xml:space="preserve">3 </w:t>
            </w:r>
          </w:p>
          <w:p>
            <w:pPr>
              <w:widowControl/>
              <w:jc w:val="center"/>
              <w:rPr>
                <w:rFonts w:ascii="宋体" w:hAnsi="宋体" w:cs="宋体"/>
                <w:kern w:val="0"/>
                <w:sz w:val="20"/>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区级支出</w:t>
            </w:r>
          </w:p>
        </w:tc>
        <w:tc>
          <w:tcPr>
            <w:tcW w:w="6095" w:type="dxa"/>
            <w:tcBorders>
              <w:top w:val="nil"/>
              <w:left w:val="nil"/>
              <w:bottom w:val="single" w:color="auto" w:sz="4" w:space="0"/>
              <w:right w:val="single" w:color="auto" w:sz="4" w:space="0"/>
            </w:tcBorders>
            <w:shd w:val="clear" w:color="auto" w:fill="auto"/>
            <w:noWrap w:val="0"/>
            <w:vAlign w:val="center"/>
          </w:tcPr>
          <w:p>
            <w:pPr>
              <w:widowControl/>
              <w:spacing w:beforeLines="0" w:afterLines="0"/>
              <w:jc w:val="left"/>
              <w:rPr>
                <w:rFonts w:hint="eastAsia" w:ascii="宋体" w:hAnsi="宋体" w:eastAsia="方正仿宋_GBK" w:cs="宋体"/>
                <w:kern w:val="0"/>
                <w:sz w:val="20"/>
                <w:szCs w:val="24"/>
                <w:lang w:val="en-US" w:eastAsia="zh-CN" w:bidi="ar-SA"/>
              </w:rPr>
            </w:pPr>
            <w:r>
              <w:rPr>
                <w:rFonts w:hint="eastAsia" w:ascii="宋体" w:hAnsi="宋体" w:cs="宋体"/>
                <w:kern w:val="0"/>
                <w:sz w:val="20"/>
                <w:szCs w:val="24"/>
              </w:rPr>
              <w:t>3</w:t>
            </w:r>
          </w:p>
        </w:tc>
      </w:tr>
      <w:tr>
        <w:tblPrEx>
          <w:tblCellMar>
            <w:top w:w="0" w:type="dxa"/>
            <w:left w:w="108" w:type="dxa"/>
            <w:bottom w:w="0" w:type="dxa"/>
            <w:right w:w="108" w:type="dxa"/>
          </w:tblCellMar>
        </w:tblPrEx>
        <w:trPr>
          <w:trHeight w:val="55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5040" w:type="dxa"/>
            <w:gridSpan w:val="5"/>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补助街镇</w:t>
            </w:r>
          </w:p>
        </w:tc>
        <w:tc>
          <w:tcPr>
            <w:tcW w:w="6095" w:type="dxa"/>
            <w:tcBorders>
              <w:top w:val="nil"/>
              <w:left w:val="nil"/>
              <w:bottom w:val="single" w:color="auto" w:sz="4" w:space="0"/>
              <w:right w:val="single" w:color="auto"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r>
              <w:rPr>
                <w:rFonts w:hint="eastAsia" w:ascii="宋体" w:hAnsi="宋体" w:cs="宋体"/>
                <w:kern w:val="0"/>
                <w:sz w:val="20"/>
                <w:szCs w:val="24"/>
              </w:rPr>
              <w:t>　</w:t>
            </w:r>
          </w:p>
        </w:tc>
      </w:tr>
      <w:tr>
        <w:tblPrEx>
          <w:tblCellMar>
            <w:top w:w="0" w:type="dxa"/>
            <w:left w:w="108" w:type="dxa"/>
            <w:bottom w:w="0" w:type="dxa"/>
            <w:right w:w="108" w:type="dxa"/>
          </w:tblCellMar>
        </w:tblPrEx>
        <w:trPr>
          <w:trHeight w:val="1109"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widowControl/>
              <w:spacing w:beforeLines="0" w:afterLines="0"/>
              <w:jc w:val="center"/>
              <w:rPr>
                <w:rFonts w:hint="eastAsia" w:ascii="宋体" w:hAnsi="宋体" w:eastAsia="方正仿宋_GBK" w:cs="宋体"/>
                <w:color w:val="000000"/>
                <w:kern w:val="0"/>
                <w:sz w:val="20"/>
                <w:szCs w:val="24"/>
                <w:lang w:val="en-US" w:eastAsia="zh-CN" w:bidi="ar-SA"/>
              </w:rPr>
            </w:pPr>
            <w:r>
              <w:rPr>
                <w:rFonts w:hint="eastAsia" w:ascii="宋体" w:hAnsi="宋体" w:cs="宋体"/>
                <w:color w:val="000000"/>
                <w:kern w:val="0"/>
                <w:sz w:val="20"/>
                <w:szCs w:val="24"/>
              </w:rPr>
              <w:t>反映单位开展和参加会议期间住宿费，伙食费，会议场地租金，交通费等；培训期间交通费，住宿费，伙食费，培训场地费等</w:t>
            </w:r>
          </w:p>
        </w:tc>
      </w:tr>
      <w:tr>
        <w:tblPrEx>
          <w:tblCellMar>
            <w:top w:w="0" w:type="dxa"/>
            <w:left w:w="108" w:type="dxa"/>
            <w:bottom w:w="0" w:type="dxa"/>
            <w:right w:w="108" w:type="dxa"/>
          </w:tblCellMar>
        </w:tblPrEx>
        <w:trPr>
          <w:trHeight w:val="1005"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widowControl/>
              <w:spacing w:beforeLines="0" w:afterLines="0"/>
              <w:jc w:val="center"/>
              <w:rPr>
                <w:rFonts w:hint="eastAsia" w:ascii="宋体" w:hAnsi="宋体" w:eastAsia="方正仿宋_GBK" w:cs="宋体"/>
                <w:color w:val="000000"/>
                <w:kern w:val="0"/>
                <w:sz w:val="20"/>
                <w:szCs w:val="24"/>
                <w:lang w:val="en-US" w:eastAsia="zh-CN" w:bidi="ar-SA"/>
              </w:rPr>
            </w:pPr>
            <w:r>
              <w:rPr>
                <w:rFonts w:hint="eastAsia" w:ascii="宋体" w:hAnsi="宋体" w:cs="宋体"/>
                <w:color w:val="000000"/>
                <w:kern w:val="0"/>
                <w:sz w:val="20"/>
                <w:szCs w:val="24"/>
              </w:rPr>
              <w:t>《重庆市沙坪坝区财政局关于2024年沙坪坝区预算编制政策及口径说明的通知》（沙财政发[2023]145 号）</w:t>
            </w:r>
          </w:p>
        </w:tc>
      </w:tr>
      <w:tr>
        <w:tblPrEx>
          <w:tblCellMar>
            <w:top w:w="0" w:type="dxa"/>
            <w:left w:w="108" w:type="dxa"/>
            <w:bottom w:w="0" w:type="dxa"/>
            <w:right w:w="108" w:type="dxa"/>
          </w:tblCellMar>
        </w:tblPrEx>
        <w:trPr>
          <w:trHeight w:val="1080"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widowControl/>
              <w:spacing w:beforeLines="0" w:afterLines="0"/>
              <w:jc w:val="center"/>
              <w:rPr>
                <w:rFonts w:hint="eastAsia" w:ascii="宋体" w:hAnsi="宋体" w:eastAsia="方正仿宋_GBK" w:cs="宋体"/>
                <w:color w:val="000000"/>
                <w:kern w:val="0"/>
                <w:sz w:val="20"/>
                <w:szCs w:val="24"/>
                <w:lang w:val="en-US" w:eastAsia="zh-CN" w:bidi="ar-SA"/>
              </w:rPr>
            </w:pPr>
            <w:r>
              <w:rPr>
                <w:rFonts w:hint="eastAsia" w:ascii="宋体" w:hAnsi="宋体" w:cs="宋体"/>
                <w:color w:val="000000"/>
                <w:kern w:val="0"/>
                <w:sz w:val="20"/>
                <w:szCs w:val="24"/>
              </w:rPr>
              <w:t>保障单位会议培训正常开展。</w:t>
            </w:r>
          </w:p>
        </w:tc>
      </w:tr>
      <w:tr>
        <w:tblPrEx>
          <w:tblCellMar>
            <w:top w:w="0" w:type="dxa"/>
            <w:left w:w="108" w:type="dxa"/>
            <w:bottom w:w="0" w:type="dxa"/>
            <w:right w:w="108" w:type="dxa"/>
          </w:tblCellMar>
        </w:tblPrEx>
        <w:trPr>
          <w:trHeight w:val="540"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2757" w:type="dxa"/>
            <w:tcBorders>
              <w:top w:val="single" w:color="auto" w:sz="4" w:space="0"/>
              <w:left w:val="nil"/>
              <w:bottom w:val="single" w:color="auto" w:sz="4" w:space="0"/>
              <w:right w:val="single" w:color="000000" w:sz="4" w:space="0"/>
            </w:tcBorders>
            <w:shd w:val="clear" w:color="auto" w:fill="auto"/>
            <w:noWrap w:val="0"/>
            <w:vAlign w:val="center"/>
          </w:tcPr>
          <w:p>
            <w:pPr>
              <w:widowControl/>
              <w:spacing w:beforeLines="0" w:afterLines="0"/>
              <w:jc w:val="center"/>
              <w:rPr>
                <w:rFonts w:hint="eastAsia" w:ascii="宋体" w:hAnsi="宋体" w:eastAsia="方正仿宋_GBK" w:cs="宋体"/>
                <w:color w:val="000000"/>
                <w:kern w:val="0"/>
                <w:sz w:val="20"/>
                <w:szCs w:val="24"/>
                <w:lang w:val="en-US" w:eastAsia="zh-CN" w:bidi="ar-SA"/>
              </w:rPr>
            </w:pPr>
            <w:r>
              <w:rPr>
                <w:rFonts w:hint="eastAsia" w:ascii="宋体" w:hAnsi="宋体" w:cs="宋体"/>
                <w:color w:val="000000"/>
                <w:kern w:val="0"/>
                <w:sz w:val="20"/>
                <w:szCs w:val="24"/>
              </w:rPr>
              <w:t>指标</w:t>
            </w:r>
          </w:p>
        </w:tc>
        <w:tc>
          <w:tcPr>
            <w:tcW w:w="1134"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方正仿宋_GBK" w:cs="宋体"/>
                <w:color w:val="000000"/>
                <w:kern w:val="0"/>
                <w:sz w:val="20"/>
                <w:szCs w:val="24"/>
                <w:lang w:val="en-US" w:eastAsia="zh-CN" w:bidi="ar-SA"/>
              </w:rPr>
            </w:pPr>
            <w:r>
              <w:rPr>
                <w:rFonts w:hint="eastAsia" w:ascii="宋体" w:hAnsi="宋体" w:cs="宋体"/>
                <w:color w:val="000000"/>
                <w:kern w:val="0"/>
                <w:sz w:val="20"/>
                <w:szCs w:val="24"/>
              </w:rPr>
              <w:t>指标权重</w:t>
            </w:r>
          </w:p>
        </w:tc>
        <w:tc>
          <w:tcPr>
            <w:tcW w:w="1149"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方正仿宋_GBK" w:cs="宋体"/>
                <w:color w:val="000000"/>
                <w:kern w:val="0"/>
                <w:sz w:val="20"/>
                <w:szCs w:val="24"/>
                <w:lang w:val="en-US" w:eastAsia="zh-CN" w:bidi="ar-SA"/>
              </w:rPr>
            </w:pPr>
            <w:r>
              <w:rPr>
                <w:rFonts w:hint="eastAsia" w:ascii="宋体" w:hAnsi="宋体" w:cs="宋体"/>
                <w:color w:val="000000"/>
                <w:kern w:val="0"/>
                <w:sz w:val="20"/>
                <w:szCs w:val="24"/>
              </w:rPr>
              <w:t>计量单位</w:t>
            </w:r>
          </w:p>
        </w:tc>
        <w:tc>
          <w:tcPr>
            <w:tcW w:w="1300" w:type="dxa"/>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方正仿宋_GBK" w:cs="宋体"/>
                <w:color w:val="000000"/>
                <w:kern w:val="0"/>
                <w:sz w:val="20"/>
                <w:szCs w:val="24"/>
                <w:lang w:val="en-US" w:eastAsia="zh-CN" w:bidi="ar-SA"/>
              </w:rPr>
            </w:pPr>
            <w:r>
              <w:rPr>
                <w:rFonts w:hint="eastAsia" w:ascii="宋体" w:hAnsi="宋体" w:cs="宋体"/>
                <w:color w:val="000000"/>
                <w:kern w:val="0"/>
                <w:sz w:val="20"/>
                <w:szCs w:val="24"/>
              </w:rPr>
              <w:t>指标性质</w:t>
            </w:r>
          </w:p>
        </w:tc>
        <w:tc>
          <w:tcPr>
            <w:tcW w:w="6481"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方正仿宋_GBK" w:cs="宋体"/>
                <w:color w:val="000000"/>
                <w:kern w:val="0"/>
                <w:sz w:val="20"/>
                <w:szCs w:val="24"/>
                <w:lang w:val="en-US" w:eastAsia="zh-CN" w:bidi="ar-SA"/>
              </w:rPr>
            </w:pPr>
            <w:r>
              <w:rPr>
                <w:rFonts w:hint="eastAsia" w:ascii="宋体" w:hAnsi="宋体" w:cs="宋体"/>
                <w:color w:val="000000"/>
                <w:kern w:val="0"/>
                <w:sz w:val="20"/>
                <w:szCs w:val="24"/>
              </w:rPr>
              <w:t>指标值</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widowControl/>
              <w:spacing w:beforeLines="0" w:afterLines="0"/>
              <w:jc w:val="center"/>
              <w:rPr>
                <w:rFonts w:hint="eastAsia" w:ascii="宋体" w:hAnsi="宋体" w:eastAsia="方正仿宋_GBK" w:cs="宋体"/>
                <w:color w:val="000000"/>
                <w:kern w:val="0"/>
                <w:sz w:val="20"/>
                <w:szCs w:val="24"/>
                <w:lang w:val="en-US" w:eastAsia="zh-CN" w:bidi="ar-SA"/>
              </w:rPr>
            </w:pPr>
            <w:r>
              <w:rPr>
                <w:rFonts w:hint="eastAsia" w:ascii="宋体" w:hAnsi="宋体" w:cs="宋体"/>
                <w:color w:val="000000"/>
                <w:kern w:val="0"/>
                <w:sz w:val="20"/>
                <w:szCs w:val="24"/>
              </w:rPr>
              <w:t>会议次数</w:t>
            </w:r>
          </w:p>
        </w:tc>
        <w:tc>
          <w:tcPr>
            <w:tcW w:w="1134" w:type="dxa"/>
            <w:gridSpan w:val="2"/>
            <w:tcBorders>
              <w:top w:val="nil"/>
              <w:left w:val="nil"/>
              <w:bottom w:val="single" w:color="auto" w:sz="4" w:space="0"/>
              <w:right w:val="single" w:color="auto" w:sz="4" w:space="0"/>
            </w:tcBorders>
            <w:shd w:val="clear" w:color="auto" w:fill="auto"/>
            <w:noWrap w:val="0"/>
            <w:vAlign w:val="top"/>
          </w:tcPr>
          <w:p>
            <w:pPr>
              <w:widowControl/>
              <w:spacing w:beforeLines="0" w:afterLines="0"/>
              <w:jc w:val="center"/>
              <w:rPr>
                <w:rFonts w:hint="eastAsia" w:ascii="宋体" w:hAnsi="宋体" w:eastAsia="方正仿宋_GBK" w:cs="宋体"/>
                <w:color w:val="000000"/>
                <w:kern w:val="0"/>
                <w:sz w:val="20"/>
                <w:szCs w:val="24"/>
                <w:lang w:val="en-US" w:eastAsia="zh-CN" w:bidi="ar-SA"/>
              </w:rPr>
            </w:pPr>
            <w:r>
              <w:rPr>
                <w:rFonts w:hint="eastAsia" w:ascii="宋体" w:hAnsi="宋体" w:cs="宋体"/>
                <w:color w:val="000000"/>
                <w:kern w:val="0"/>
                <w:sz w:val="20"/>
                <w:szCs w:val="24"/>
              </w:rPr>
              <w:t>30</w:t>
            </w:r>
          </w:p>
        </w:tc>
        <w:tc>
          <w:tcPr>
            <w:tcW w:w="1149" w:type="dxa"/>
            <w:gridSpan w:val="2"/>
            <w:tcBorders>
              <w:top w:val="nil"/>
              <w:left w:val="nil"/>
              <w:bottom w:val="single" w:color="auto" w:sz="4" w:space="0"/>
              <w:right w:val="single" w:color="auto" w:sz="4" w:space="0"/>
            </w:tcBorders>
            <w:shd w:val="clear" w:color="auto" w:fill="auto"/>
            <w:noWrap w:val="0"/>
            <w:vAlign w:val="top"/>
          </w:tcPr>
          <w:p>
            <w:pPr>
              <w:widowControl/>
              <w:spacing w:beforeLines="0" w:afterLines="0"/>
              <w:jc w:val="center"/>
              <w:rPr>
                <w:rFonts w:hint="eastAsia" w:ascii="宋体" w:hAnsi="宋体" w:eastAsia="方正仿宋_GBK" w:cs="宋体"/>
                <w:color w:val="000000"/>
                <w:kern w:val="0"/>
                <w:sz w:val="20"/>
                <w:szCs w:val="24"/>
                <w:lang w:val="en-US" w:eastAsia="zh-CN" w:bidi="ar-SA"/>
              </w:rPr>
            </w:pPr>
            <w:r>
              <w:rPr>
                <w:rFonts w:hint="eastAsia" w:ascii="宋体" w:hAnsi="宋体" w:cs="宋体"/>
                <w:color w:val="000000"/>
                <w:kern w:val="0"/>
                <w:sz w:val="20"/>
                <w:szCs w:val="24"/>
              </w:rPr>
              <w:t>场次</w:t>
            </w:r>
          </w:p>
        </w:tc>
        <w:tc>
          <w:tcPr>
            <w:tcW w:w="1300" w:type="dxa"/>
            <w:tcBorders>
              <w:top w:val="nil"/>
              <w:left w:val="nil"/>
              <w:bottom w:val="single" w:color="auto" w:sz="4" w:space="0"/>
              <w:right w:val="single" w:color="auto" w:sz="4" w:space="0"/>
            </w:tcBorders>
            <w:shd w:val="clear" w:color="auto" w:fill="auto"/>
            <w:noWrap w:val="0"/>
            <w:vAlign w:val="top"/>
          </w:tcPr>
          <w:p>
            <w:pPr>
              <w:widowControl/>
              <w:spacing w:beforeLines="0" w:afterLines="0"/>
              <w:jc w:val="center"/>
              <w:rPr>
                <w:rFonts w:hint="eastAsia" w:ascii="宋体" w:hAnsi="宋体" w:eastAsia="方正仿宋_GBK" w:cs="宋体"/>
                <w:color w:val="000000"/>
                <w:kern w:val="0"/>
                <w:sz w:val="20"/>
                <w:szCs w:val="24"/>
                <w:lang w:val="en-US" w:eastAsia="zh-CN" w:bidi="ar-SA"/>
              </w:rPr>
            </w:pPr>
            <w:r>
              <w:rPr>
                <w:rFonts w:hint="eastAsia" w:ascii="宋体" w:hAnsi="宋体" w:cs="宋体"/>
                <w:color w:val="000000"/>
                <w:kern w:val="0"/>
                <w:sz w:val="20"/>
                <w:szCs w:val="24"/>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widowControl/>
              <w:spacing w:beforeLines="0" w:afterLines="0"/>
              <w:jc w:val="center"/>
              <w:rPr>
                <w:rFonts w:hint="eastAsia" w:ascii="宋体" w:hAnsi="宋体" w:eastAsia="方正仿宋_GBK" w:cs="宋体"/>
                <w:color w:val="000000"/>
                <w:kern w:val="0"/>
                <w:sz w:val="20"/>
                <w:szCs w:val="24"/>
                <w:lang w:val="en-US" w:eastAsia="zh-CN" w:bidi="ar-SA"/>
              </w:rPr>
            </w:pPr>
            <w:r>
              <w:rPr>
                <w:rFonts w:hint="eastAsia" w:ascii="宋体" w:hAnsi="宋体" w:cs="宋体"/>
                <w:color w:val="000000"/>
                <w:kern w:val="0"/>
                <w:sz w:val="20"/>
                <w:szCs w:val="24"/>
              </w:rPr>
              <w:t>12</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widowControl/>
              <w:spacing w:beforeLines="0" w:afterLines="0"/>
              <w:jc w:val="center"/>
              <w:rPr>
                <w:rFonts w:hint="eastAsia" w:ascii="宋体" w:hAnsi="宋体" w:eastAsia="方正仿宋_GBK" w:cs="宋体"/>
                <w:color w:val="000000"/>
                <w:kern w:val="0"/>
                <w:sz w:val="20"/>
                <w:szCs w:val="24"/>
                <w:lang w:val="en-US" w:eastAsia="zh-CN" w:bidi="ar-SA"/>
              </w:rPr>
            </w:pPr>
            <w:r>
              <w:rPr>
                <w:rFonts w:hint="eastAsia" w:ascii="宋体" w:hAnsi="宋体" w:cs="宋体"/>
                <w:color w:val="000000"/>
                <w:kern w:val="0"/>
                <w:sz w:val="20"/>
                <w:szCs w:val="24"/>
              </w:rPr>
              <w:t>满意率</w:t>
            </w:r>
          </w:p>
        </w:tc>
        <w:tc>
          <w:tcPr>
            <w:tcW w:w="1134" w:type="dxa"/>
            <w:gridSpan w:val="2"/>
            <w:tcBorders>
              <w:top w:val="nil"/>
              <w:left w:val="nil"/>
              <w:bottom w:val="single" w:color="auto" w:sz="4" w:space="0"/>
              <w:right w:val="single" w:color="auto" w:sz="4" w:space="0"/>
            </w:tcBorders>
            <w:shd w:val="clear" w:color="auto" w:fill="auto"/>
            <w:noWrap w:val="0"/>
            <w:vAlign w:val="top"/>
          </w:tcPr>
          <w:p>
            <w:pPr>
              <w:widowControl/>
              <w:spacing w:beforeLines="0" w:afterLines="0"/>
              <w:jc w:val="center"/>
              <w:rPr>
                <w:rFonts w:hint="eastAsia" w:ascii="宋体" w:hAnsi="宋体" w:eastAsia="方正仿宋_GBK" w:cs="宋体"/>
                <w:color w:val="000000"/>
                <w:kern w:val="0"/>
                <w:sz w:val="20"/>
                <w:szCs w:val="24"/>
                <w:lang w:val="en-US" w:eastAsia="zh-CN" w:bidi="ar-SA"/>
              </w:rPr>
            </w:pPr>
            <w:r>
              <w:rPr>
                <w:rFonts w:hint="eastAsia" w:ascii="宋体" w:hAnsi="宋体" w:cs="宋体"/>
                <w:color w:val="000000"/>
                <w:kern w:val="0"/>
                <w:sz w:val="20"/>
                <w:szCs w:val="24"/>
              </w:rPr>
              <w:t>10</w:t>
            </w:r>
          </w:p>
        </w:tc>
        <w:tc>
          <w:tcPr>
            <w:tcW w:w="1149" w:type="dxa"/>
            <w:gridSpan w:val="2"/>
            <w:tcBorders>
              <w:top w:val="nil"/>
              <w:left w:val="nil"/>
              <w:bottom w:val="single" w:color="auto" w:sz="4" w:space="0"/>
              <w:right w:val="single" w:color="auto" w:sz="4" w:space="0"/>
            </w:tcBorders>
            <w:shd w:val="clear" w:color="auto" w:fill="auto"/>
            <w:noWrap w:val="0"/>
            <w:vAlign w:val="top"/>
          </w:tcPr>
          <w:p>
            <w:pPr>
              <w:widowControl/>
              <w:spacing w:beforeLines="0" w:afterLines="0"/>
              <w:jc w:val="center"/>
              <w:rPr>
                <w:rFonts w:hint="eastAsia" w:ascii="宋体" w:hAnsi="宋体" w:eastAsia="方正仿宋_GBK" w:cs="宋体"/>
                <w:color w:val="000000"/>
                <w:kern w:val="0"/>
                <w:sz w:val="20"/>
                <w:szCs w:val="24"/>
                <w:lang w:val="en-US" w:eastAsia="zh-CN" w:bidi="ar-SA"/>
              </w:rPr>
            </w:pPr>
            <w:r>
              <w:rPr>
                <w:rFonts w:hint="eastAsia" w:ascii="宋体" w:hAnsi="宋体" w:cs="宋体"/>
                <w:color w:val="000000"/>
                <w:kern w:val="0"/>
                <w:sz w:val="20"/>
                <w:szCs w:val="24"/>
              </w:rPr>
              <w:t>%</w:t>
            </w:r>
          </w:p>
        </w:tc>
        <w:tc>
          <w:tcPr>
            <w:tcW w:w="1300" w:type="dxa"/>
            <w:tcBorders>
              <w:top w:val="nil"/>
              <w:left w:val="nil"/>
              <w:bottom w:val="single" w:color="auto" w:sz="4" w:space="0"/>
              <w:right w:val="single" w:color="auto" w:sz="4" w:space="0"/>
            </w:tcBorders>
            <w:shd w:val="clear" w:color="auto" w:fill="auto"/>
            <w:noWrap w:val="0"/>
            <w:vAlign w:val="top"/>
          </w:tcPr>
          <w:p>
            <w:pPr>
              <w:widowControl/>
              <w:spacing w:beforeLines="0" w:afterLines="0"/>
              <w:jc w:val="center"/>
              <w:rPr>
                <w:rFonts w:hint="eastAsia" w:ascii="宋体" w:hAnsi="宋体" w:eastAsia="方正仿宋_GBK" w:cs="宋体"/>
                <w:color w:val="000000"/>
                <w:kern w:val="0"/>
                <w:sz w:val="20"/>
                <w:szCs w:val="24"/>
                <w:lang w:val="en-US" w:eastAsia="zh-CN" w:bidi="ar-SA"/>
              </w:rPr>
            </w:pPr>
            <w:r>
              <w:rPr>
                <w:rFonts w:hint="eastAsia" w:ascii="宋体" w:hAnsi="宋体" w:cs="宋体"/>
                <w:color w:val="000000"/>
                <w:kern w:val="0"/>
                <w:sz w:val="20"/>
                <w:szCs w:val="24"/>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widowControl/>
              <w:spacing w:beforeLines="0" w:afterLines="0"/>
              <w:jc w:val="center"/>
              <w:rPr>
                <w:rFonts w:hint="eastAsia" w:ascii="宋体" w:hAnsi="宋体" w:eastAsia="方正仿宋_GBK" w:cs="宋体"/>
                <w:color w:val="000000"/>
                <w:kern w:val="0"/>
                <w:sz w:val="20"/>
                <w:szCs w:val="24"/>
                <w:lang w:val="en-US" w:eastAsia="zh-CN" w:bidi="ar-SA"/>
              </w:rPr>
            </w:pPr>
            <w:r>
              <w:rPr>
                <w:rFonts w:hint="eastAsia" w:ascii="宋体" w:hAnsi="宋体" w:cs="宋体"/>
                <w:color w:val="000000"/>
                <w:kern w:val="0"/>
                <w:sz w:val="20"/>
                <w:szCs w:val="24"/>
              </w:rPr>
              <w:t>85</w:t>
            </w:r>
          </w:p>
        </w:tc>
      </w:tr>
      <w:tr>
        <w:tblPrEx>
          <w:tblCellMar>
            <w:top w:w="0" w:type="dxa"/>
            <w:left w:w="108" w:type="dxa"/>
            <w:bottom w:w="0" w:type="dxa"/>
            <w:right w:w="108" w:type="dxa"/>
          </w:tblCellMar>
        </w:tblPrEx>
        <w:trPr>
          <w:trHeight w:val="591"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widowControl/>
              <w:spacing w:beforeLines="0" w:afterLines="0"/>
              <w:jc w:val="center"/>
              <w:rPr>
                <w:rFonts w:hint="eastAsia" w:ascii="宋体" w:hAnsi="宋体" w:eastAsia="方正仿宋_GBK" w:cs="宋体"/>
                <w:color w:val="000000"/>
                <w:kern w:val="0"/>
                <w:sz w:val="20"/>
                <w:szCs w:val="24"/>
                <w:lang w:val="en-US" w:eastAsia="zh-CN" w:bidi="ar-SA"/>
              </w:rPr>
            </w:pPr>
            <w:r>
              <w:rPr>
                <w:rFonts w:hint="eastAsia" w:ascii="宋体" w:hAnsi="宋体" w:cs="宋体"/>
                <w:color w:val="000000"/>
                <w:kern w:val="0"/>
                <w:sz w:val="20"/>
                <w:szCs w:val="24"/>
              </w:rPr>
              <w:t>培训人次</w:t>
            </w:r>
          </w:p>
        </w:tc>
        <w:tc>
          <w:tcPr>
            <w:tcW w:w="1134" w:type="dxa"/>
            <w:gridSpan w:val="2"/>
            <w:tcBorders>
              <w:top w:val="nil"/>
              <w:left w:val="nil"/>
              <w:bottom w:val="single" w:color="auto" w:sz="4" w:space="0"/>
              <w:right w:val="single" w:color="auto" w:sz="4" w:space="0"/>
            </w:tcBorders>
            <w:shd w:val="clear" w:color="auto" w:fill="auto"/>
            <w:noWrap w:val="0"/>
            <w:vAlign w:val="top"/>
          </w:tcPr>
          <w:p>
            <w:pPr>
              <w:widowControl/>
              <w:spacing w:beforeLines="0" w:afterLines="0"/>
              <w:jc w:val="center"/>
              <w:rPr>
                <w:rFonts w:hint="eastAsia" w:ascii="宋体" w:hAnsi="宋体" w:eastAsia="方正仿宋_GBK" w:cs="宋体"/>
                <w:color w:val="000000"/>
                <w:kern w:val="0"/>
                <w:sz w:val="20"/>
                <w:szCs w:val="24"/>
                <w:lang w:val="en-US" w:eastAsia="zh-CN" w:bidi="ar-SA"/>
              </w:rPr>
            </w:pPr>
            <w:r>
              <w:rPr>
                <w:rFonts w:hint="eastAsia" w:ascii="宋体" w:hAnsi="宋体" w:cs="宋体"/>
                <w:color w:val="000000"/>
                <w:kern w:val="0"/>
                <w:sz w:val="20"/>
                <w:szCs w:val="24"/>
              </w:rPr>
              <w:t>30</w:t>
            </w:r>
          </w:p>
        </w:tc>
        <w:tc>
          <w:tcPr>
            <w:tcW w:w="1149" w:type="dxa"/>
            <w:gridSpan w:val="2"/>
            <w:tcBorders>
              <w:top w:val="nil"/>
              <w:left w:val="nil"/>
              <w:bottom w:val="single" w:color="auto" w:sz="4" w:space="0"/>
              <w:right w:val="single" w:color="auto" w:sz="4" w:space="0"/>
            </w:tcBorders>
            <w:shd w:val="clear" w:color="auto" w:fill="auto"/>
            <w:noWrap w:val="0"/>
            <w:vAlign w:val="top"/>
          </w:tcPr>
          <w:p>
            <w:pPr>
              <w:widowControl/>
              <w:spacing w:beforeLines="0" w:afterLines="0"/>
              <w:jc w:val="center"/>
              <w:rPr>
                <w:rFonts w:hint="eastAsia" w:ascii="宋体" w:hAnsi="宋体" w:eastAsia="方正仿宋_GBK" w:cs="宋体"/>
                <w:color w:val="000000"/>
                <w:kern w:val="0"/>
                <w:sz w:val="20"/>
                <w:szCs w:val="24"/>
                <w:lang w:val="en-US" w:eastAsia="zh-CN" w:bidi="ar-SA"/>
              </w:rPr>
            </w:pPr>
            <w:r>
              <w:rPr>
                <w:rFonts w:hint="eastAsia" w:ascii="宋体" w:hAnsi="宋体" w:cs="宋体"/>
                <w:color w:val="000000"/>
                <w:kern w:val="0"/>
                <w:sz w:val="20"/>
                <w:szCs w:val="24"/>
              </w:rPr>
              <w:t>人次</w:t>
            </w:r>
          </w:p>
        </w:tc>
        <w:tc>
          <w:tcPr>
            <w:tcW w:w="1300" w:type="dxa"/>
            <w:tcBorders>
              <w:top w:val="nil"/>
              <w:left w:val="nil"/>
              <w:bottom w:val="single" w:color="auto" w:sz="4" w:space="0"/>
              <w:right w:val="single" w:color="auto" w:sz="4" w:space="0"/>
            </w:tcBorders>
            <w:shd w:val="clear" w:color="auto" w:fill="auto"/>
            <w:noWrap w:val="0"/>
            <w:vAlign w:val="top"/>
          </w:tcPr>
          <w:p>
            <w:pPr>
              <w:widowControl/>
              <w:spacing w:beforeLines="0" w:afterLines="0"/>
              <w:jc w:val="center"/>
              <w:rPr>
                <w:rFonts w:hint="eastAsia" w:ascii="宋体" w:hAnsi="宋体" w:eastAsia="方正仿宋_GBK" w:cs="宋体"/>
                <w:color w:val="000000"/>
                <w:kern w:val="0"/>
                <w:sz w:val="20"/>
                <w:szCs w:val="24"/>
                <w:lang w:val="en-US" w:eastAsia="zh-CN" w:bidi="ar-SA"/>
              </w:rPr>
            </w:pPr>
            <w:r>
              <w:rPr>
                <w:rFonts w:hint="eastAsia" w:ascii="宋体" w:hAnsi="宋体" w:cs="宋体"/>
                <w:color w:val="000000"/>
                <w:kern w:val="0"/>
                <w:sz w:val="20"/>
                <w:szCs w:val="24"/>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widowControl/>
              <w:spacing w:beforeLines="0" w:afterLines="0"/>
              <w:jc w:val="center"/>
              <w:rPr>
                <w:rFonts w:hint="eastAsia" w:ascii="宋体" w:hAnsi="宋体" w:eastAsia="方正仿宋_GBK" w:cs="宋体"/>
                <w:color w:val="000000"/>
                <w:kern w:val="0"/>
                <w:sz w:val="20"/>
                <w:szCs w:val="24"/>
                <w:lang w:val="en-US" w:eastAsia="zh-CN" w:bidi="ar-SA"/>
              </w:rPr>
            </w:pPr>
            <w:r>
              <w:rPr>
                <w:rFonts w:hint="eastAsia" w:ascii="宋体" w:hAnsi="宋体" w:cs="宋体"/>
                <w:color w:val="000000"/>
                <w:kern w:val="0"/>
                <w:sz w:val="20"/>
                <w:szCs w:val="24"/>
              </w:rPr>
              <w:t>5000</w:t>
            </w:r>
          </w:p>
        </w:tc>
      </w:tr>
      <w:tr>
        <w:tblPrEx>
          <w:tblCellMar>
            <w:top w:w="0" w:type="dxa"/>
            <w:left w:w="108" w:type="dxa"/>
            <w:bottom w:w="0" w:type="dxa"/>
            <w:right w:w="108" w:type="dxa"/>
          </w:tblCellMar>
        </w:tblPrEx>
        <w:trPr>
          <w:trHeight w:val="107" w:hRule="atLeast"/>
        </w:trPr>
        <w:tc>
          <w:tcPr>
            <w:tcW w:w="2220"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vMerge w:val="restart"/>
            <w:tcBorders>
              <w:top w:val="single" w:color="auto" w:sz="4" w:space="0"/>
              <w:left w:val="nil"/>
              <w:right w:val="single" w:color="000000" w:sz="4" w:space="0"/>
            </w:tcBorders>
            <w:shd w:val="clear" w:color="auto" w:fill="auto"/>
            <w:noWrap w:val="0"/>
            <w:vAlign w:val="top"/>
          </w:tcPr>
          <w:p>
            <w:pPr>
              <w:widowControl/>
              <w:spacing w:beforeLines="0" w:afterLines="0"/>
              <w:jc w:val="center"/>
              <w:rPr>
                <w:rFonts w:hint="eastAsia" w:ascii="宋体" w:hAnsi="宋体" w:eastAsia="方正仿宋_GBK" w:cs="宋体"/>
                <w:color w:val="000000"/>
                <w:kern w:val="0"/>
                <w:sz w:val="20"/>
                <w:szCs w:val="24"/>
                <w:lang w:val="en-US" w:eastAsia="zh-CN" w:bidi="ar-SA"/>
              </w:rPr>
            </w:pPr>
            <w:r>
              <w:rPr>
                <w:rFonts w:hint="eastAsia" w:ascii="宋体" w:hAnsi="宋体" w:cs="宋体"/>
                <w:color w:val="000000"/>
                <w:kern w:val="0"/>
                <w:sz w:val="20"/>
                <w:szCs w:val="24"/>
              </w:rPr>
              <w:t>培训效果</w:t>
            </w:r>
          </w:p>
        </w:tc>
        <w:tc>
          <w:tcPr>
            <w:tcW w:w="1134" w:type="dxa"/>
            <w:gridSpan w:val="2"/>
            <w:tcBorders>
              <w:top w:val="nil"/>
              <w:left w:val="nil"/>
              <w:bottom w:val="nil"/>
              <w:right w:val="single" w:color="auto" w:sz="4" w:space="0"/>
            </w:tcBorders>
            <w:shd w:val="clear" w:color="auto" w:fill="auto"/>
            <w:noWrap w:val="0"/>
            <w:vAlign w:val="top"/>
          </w:tcPr>
          <w:p>
            <w:pPr>
              <w:widowControl/>
              <w:spacing w:beforeLines="0" w:afterLines="0"/>
              <w:jc w:val="center"/>
              <w:rPr>
                <w:rFonts w:hint="eastAsia" w:ascii="宋体" w:hAnsi="宋体" w:eastAsia="方正仿宋_GBK" w:cs="宋体"/>
                <w:color w:val="000000"/>
                <w:kern w:val="0"/>
                <w:sz w:val="20"/>
                <w:szCs w:val="24"/>
                <w:lang w:val="en-US" w:eastAsia="zh-CN" w:bidi="ar-SA"/>
              </w:rPr>
            </w:pPr>
            <w:r>
              <w:rPr>
                <w:rFonts w:hint="eastAsia" w:ascii="宋体" w:hAnsi="宋体" w:cs="宋体"/>
                <w:color w:val="000000"/>
                <w:kern w:val="0"/>
                <w:sz w:val="20"/>
                <w:szCs w:val="24"/>
              </w:rPr>
              <w:t>20</w:t>
            </w:r>
          </w:p>
        </w:tc>
        <w:tc>
          <w:tcPr>
            <w:tcW w:w="1149" w:type="dxa"/>
            <w:gridSpan w:val="2"/>
            <w:tcBorders>
              <w:top w:val="nil"/>
              <w:left w:val="nil"/>
              <w:bottom w:val="nil"/>
              <w:right w:val="single" w:color="auto" w:sz="4" w:space="0"/>
            </w:tcBorders>
            <w:shd w:val="clear" w:color="auto" w:fill="auto"/>
            <w:noWrap w:val="0"/>
            <w:vAlign w:val="top"/>
          </w:tcPr>
          <w:p>
            <w:pPr>
              <w:widowControl/>
              <w:spacing w:beforeLines="0" w:afterLines="0"/>
              <w:jc w:val="center"/>
              <w:rPr>
                <w:rFonts w:hint="eastAsia" w:ascii="宋体" w:hAnsi="宋体" w:eastAsia="方正仿宋_GBK" w:cs="宋体"/>
                <w:color w:val="000000"/>
                <w:kern w:val="0"/>
                <w:sz w:val="20"/>
                <w:szCs w:val="24"/>
                <w:lang w:val="en-US" w:eastAsia="zh-CN" w:bidi="ar-SA"/>
              </w:rPr>
            </w:pPr>
          </w:p>
        </w:tc>
        <w:tc>
          <w:tcPr>
            <w:tcW w:w="1300" w:type="dxa"/>
            <w:tcBorders>
              <w:top w:val="nil"/>
              <w:left w:val="nil"/>
              <w:bottom w:val="nil"/>
              <w:right w:val="single" w:color="auto" w:sz="4" w:space="0"/>
            </w:tcBorders>
            <w:shd w:val="clear" w:color="auto" w:fill="auto"/>
            <w:noWrap w:val="0"/>
            <w:vAlign w:val="top"/>
          </w:tcPr>
          <w:p>
            <w:pPr>
              <w:widowControl/>
              <w:spacing w:beforeLines="0" w:afterLines="0"/>
              <w:jc w:val="center"/>
              <w:rPr>
                <w:rFonts w:hint="eastAsia" w:ascii="宋体" w:hAnsi="宋体" w:eastAsia="方正仿宋_GBK" w:cs="宋体"/>
                <w:color w:val="000000"/>
                <w:kern w:val="0"/>
                <w:sz w:val="20"/>
                <w:szCs w:val="24"/>
                <w:lang w:val="en-US" w:eastAsia="zh-CN" w:bidi="ar-SA"/>
              </w:rPr>
            </w:pPr>
            <w:r>
              <w:rPr>
                <w:rFonts w:hint="eastAsia" w:ascii="宋体" w:hAnsi="宋体" w:cs="宋体"/>
                <w:color w:val="000000"/>
                <w:kern w:val="0"/>
                <w:sz w:val="20"/>
                <w:szCs w:val="24"/>
              </w:rPr>
              <w:t>定性</w:t>
            </w:r>
          </w:p>
        </w:tc>
        <w:tc>
          <w:tcPr>
            <w:tcW w:w="6481" w:type="dxa"/>
            <w:gridSpan w:val="2"/>
            <w:tcBorders>
              <w:top w:val="nil"/>
              <w:left w:val="nil"/>
              <w:bottom w:val="nil"/>
              <w:right w:val="single" w:color="auto" w:sz="4" w:space="0"/>
            </w:tcBorders>
            <w:shd w:val="clear" w:color="auto" w:fill="auto"/>
            <w:noWrap w:val="0"/>
            <w:vAlign w:val="top"/>
          </w:tcPr>
          <w:p>
            <w:pPr>
              <w:widowControl/>
              <w:spacing w:beforeLines="0" w:afterLines="0"/>
              <w:jc w:val="center"/>
              <w:rPr>
                <w:rFonts w:hint="eastAsia" w:ascii="宋体" w:hAnsi="宋体" w:eastAsia="方正仿宋_GBK" w:cs="宋体"/>
                <w:color w:val="000000"/>
                <w:kern w:val="0"/>
                <w:sz w:val="20"/>
                <w:szCs w:val="24"/>
                <w:lang w:val="en-US" w:eastAsia="zh-CN" w:bidi="ar-SA"/>
              </w:rPr>
            </w:pPr>
          </w:p>
        </w:tc>
      </w:tr>
      <w:tr>
        <w:tblPrEx>
          <w:tblCellMar>
            <w:top w:w="0" w:type="dxa"/>
            <w:left w:w="108" w:type="dxa"/>
            <w:bottom w:w="0" w:type="dxa"/>
            <w:right w:w="108" w:type="dxa"/>
          </w:tblCellMar>
        </w:tblPrEx>
        <w:trPr>
          <w:trHeight w:val="90"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vMerge w:val="continue"/>
            <w:tcBorders>
              <w:left w:val="nil"/>
              <w:bottom w:val="single" w:color="auto" w:sz="4" w:space="0"/>
              <w:right w:val="single" w:color="000000" w:sz="4" w:space="0"/>
            </w:tcBorders>
            <w:shd w:val="clear" w:color="auto" w:fill="auto"/>
            <w:noWrap w:val="0"/>
            <w:vAlign w:val="center"/>
          </w:tcPr>
          <w:p>
            <w:pPr>
              <w:widowControl/>
              <w:jc w:val="center"/>
              <w:rPr>
                <w:rFonts w:hint="eastAsia" w:ascii="宋体" w:hAnsi="宋体" w:cs="宋体"/>
                <w:kern w:val="0"/>
                <w:sz w:val="20"/>
              </w:rPr>
            </w:pPr>
          </w:p>
        </w:tc>
        <w:tc>
          <w:tcPr>
            <w:tcW w:w="1134"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0"/>
              </w:rPr>
            </w:pPr>
          </w:p>
        </w:tc>
        <w:tc>
          <w:tcPr>
            <w:tcW w:w="1149"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0"/>
              </w:rPr>
            </w:pPr>
          </w:p>
        </w:tc>
        <w:tc>
          <w:tcPr>
            <w:tcW w:w="130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0"/>
              </w:rPr>
            </w:pPr>
          </w:p>
        </w:tc>
        <w:tc>
          <w:tcPr>
            <w:tcW w:w="6481"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0"/>
              </w:rPr>
            </w:pPr>
          </w:p>
        </w:tc>
      </w:tr>
      <w:tr>
        <w:tblPrEx>
          <w:tblCellMar>
            <w:top w:w="0" w:type="dxa"/>
            <w:left w:w="108" w:type="dxa"/>
            <w:bottom w:w="0" w:type="dxa"/>
            <w:right w:w="108" w:type="dxa"/>
          </w:tblCellMar>
        </w:tblPrEx>
        <w:trPr>
          <w:trHeight w:val="735" w:hRule="atLeast"/>
        </w:trPr>
        <w:tc>
          <w:tcPr>
            <w:tcW w:w="15041" w:type="dxa"/>
            <w:gridSpan w:val="9"/>
            <w:tcBorders>
              <w:top w:val="nil"/>
              <w:left w:val="nil"/>
              <w:bottom w:val="nil"/>
              <w:right w:val="nil"/>
            </w:tcBorders>
            <w:shd w:val="clear" w:color="auto" w:fill="auto"/>
            <w:noWrap w:val="0"/>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CellMar>
            <w:top w:w="0" w:type="dxa"/>
            <w:left w:w="108" w:type="dxa"/>
            <w:bottom w:w="0" w:type="dxa"/>
            <w:right w:w="108" w:type="dxa"/>
          </w:tblCellMar>
        </w:tblPrEx>
        <w:trPr>
          <w:trHeight w:val="555" w:hRule="atLeast"/>
        </w:trPr>
        <w:tc>
          <w:tcPr>
            <w:tcW w:w="5340" w:type="dxa"/>
            <w:gridSpan w:val="3"/>
            <w:tcBorders>
              <w:top w:val="nil"/>
              <w:left w:val="nil"/>
              <w:bottom w:val="nil"/>
              <w:right w:val="nil"/>
            </w:tcBorders>
            <w:shd w:val="clear" w:color="auto" w:fill="auto"/>
            <w:noWrap w:val="0"/>
            <w:vAlign w:val="center"/>
          </w:tcPr>
          <w:p>
            <w:pPr>
              <w:widowControl/>
              <w:jc w:val="center"/>
              <w:rPr>
                <w:rFonts w:hint="eastAsia" w:ascii="宋体" w:hAnsi="宋体" w:eastAsia="方正仿宋_GBK" w:cs="宋体"/>
                <w:b/>
                <w:bCs/>
                <w:kern w:val="0"/>
                <w:sz w:val="36"/>
                <w:szCs w:val="36"/>
                <w:lang w:val="en-US" w:eastAsia="zh-CN"/>
              </w:rPr>
            </w:pPr>
            <w:r>
              <w:rPr>
                <w:rFonts w:hint="eastAsia" w:ascii="宋体" w:hAnsi="宋体" w:cs="宋体"/>
                <w:kern w:val="0"/>
                <w:sz w:val="20"/>
              </w:rPr>
              <w:t>编制单位：</w:t>
            </w:r>
            <w:r>
              <w:rPr>
                <w:rFonts w:hint="eastAsia" w:ascii="宋体" w:hAnsi="宋体" w:cs="宋体"/>
                <w:kern w:val="0"/>
                <w:sz w:val="20"/>
                <w:lang w:eastAsia="zh-CN"/>
              </w:rPr>
              <w:t>重庆市沙坪坝区人民政府土湾街道办事处</w:t>
            </w:r>
          </w:p>
        </w:tc>
        <w:tc>
          <w:tcPr>
            <w:tcW w:w="960"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1686"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shd w:val="clear" w:color="auto" w:fill="auto"/>
            <w:noWrap w:val="0"/>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CellMar>
            <w:top w:w="0" w:type="dxa"/>
            <w:left w:w="108" w:type="dxa"/>
            <w:bottom w:w="0" w:type="dxa"/>
            <w:right w:w="108" w:type="dxa"/>
          </w:tblCellMar>
        </w:tblPrEx>
        <w:trPr>
          <w:trHeight w:val="555" w:hRule="atLeast"/>
        </w:trPr>
        <w:tc>
          <w:tcPr>
            <w:tcW w:w="22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tabs>
                <w:tab w:val="left" w:pos="865"/>
                <w:tab w:val="center" w:pos="2572"/>
              </w:tabs>
              <w:spacing w:beforeLines="0" w:afterLines="0"/>
              <w:jc w:val="left"/>
              <w:rPr>
                <w:rFonts w:hint="eastAsia" w:ascii="宋体" w:hAnsi="宋体" w:eastAsia="宋体" w:cs="宋体"/>
                <w:kern w:val="0"/>
                <w:sz w:val="20"/>
                <w:szCs w:val="24"/>
                <w:lang w:val="en-US" w:eastAsia="zh-CN" w:bidi="ar-SA"/>
              </w:rPr>
            </w:pPr>
            <w:r>
              <w:rPr>
                <w:rFonts w:hint="eastAsia" w:ascii="宋体" w:hAnsi="宋体" w:cs="宋体"/>
                <w:kern w:val="0"/>
                <w:sz w:val="20"/>
                <w:szCs w:val="24"/>
              </w:rPr>
              <w:tab/>
            </w:r>
            <w:r>
              <w:rPr>
                <w:rFonts w:hint="eastAsia" w:ascii="宋体" w:hAnsi="宋体" w:cs="宋体"/>
                <w:kern w:val="0"/>
                <w:sz w:val="20"/>
                <w:szCs w:val="24"/>
              </w:rPr>
              <w:t>武装及退役军人工作</w:t>
            </w:r>
            <w:r>
              <w:rPr>
                <w:rFonts w:hint="eastAsia" w:ascii="宋体" w:hAnsi="宋体" w:cs="宋体"/>
                <w:kern w:val="0"/>
                <w:sz w:val="20"/>
                <w:szCs w:val="24"/>
              </w:rPr>
              <w:tab/>
            </w:r>
            <w:r>
              <w:rPr>
                <w:rFonts w:hint="eastAsia" w:ascii="宋体" w:hAnsi="宋体" w:cs="宋体"/>
                <w:kern w:val="0"/>
                <w:sz w:val="20"/>
                <w:szCs w:val="24"/>
              </w:rPr>
              <w:t>　</w:t>
            </w:r>
          </w:p>
        </w:tc>
        <w:tc>
          <w:tcPr>
            <w:tcW w:w="168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业务主管部门</w:t>
            </w:r>
          </w:p>
        </w:tc>
        <w:tc>
          <w:tcPr>
            <w:tcW w:w="60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r>
              <w:rPr>
                <w:rFonts w:hint="eastAsia" w:ascii="宋体" w:hAnsi="宋体" w:cs="宋体"/>
                <w:kern w:val="0"/>
                <w:sz w:val="20"/>
                <w:szCs w:val="24"/>
              </w:rPr>
              <w:t>　重庆市沙坪坝区人民政府土湾街道办事处</w:t>
            </w:r>
          </w:p>
        </w:tc>
      </w:tr>
      <w:tr>
        <w:tblPrEx>
          <w:tblCellMar>
            <w:top w:w="0" w:type="dxa"/>
            <w:left w:w="108" w:type="dxa"/>
            <w:bottom w:w="0" w:type="dxa"/>
            <w:right w:w="108" w:type="dxa"/>
          </w:tblCellMar>
        </w:tblPrEx>
        <w:trPr>
          <w:trHeight w:val="555"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2024年预算</w:t>
            </w:r>
          </w:p>
        </w:tc>
        <w:tc>
          <w:tcPr>
            <w:tcW w:w="5040" w:type="dxa"/>
            <w:gridSpan w:val="5"/>
            <w:vMerge w:val="restart"/>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 xml:space="preserve">1 </w:t>
            </w:r>
          </w:p>
          <w:p>
            <w:pPr>
              <w:widowControl/>
              <w:jc w:val="center"/>
              <w:rPr>
                <w:rFonts w:ascii="宋体" w:hAnsi="宋体" w:cs="宋体"/>
                <w:kern w:val="0"/>
                <w:sz w:val="20"/>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区级支出</w:t>
            </w:r>
          </w:p>
        </w:tc>
        <w:tc>
          <w:tcPr>
            <w:tcW w:w="6095" w:type="dxa"/>
            <w:tcBorders>
              <w:top w:val="nil"/>
              <w:left w:val="nil"/>
              <w:bottom w:val="single" w:color="auto" w:sz="4" w:space="0"/>
              <w:right w:val="single" w:color="auto" w:sz="4" w:space="0"/>
            </w:tcBorders>
            <w:shd w:val="clear" w:color="auto" w:fill="auto"/>
            <w:noWrap w:val="0"/>
            <w:vAlign w:val="center"/>
          </w:tcPr>
          <w:p>
            <w:pPr>
              <w:widowControl/>
              <w:spacing w:beforeLines="0" w:afterLines="0"/>
              <w:jc w:val="left"/>
              <w:rPr>
                <w:rFonts w:hint="eastAsia" w:ascii="宋体" w:hAnsi="宋体" w:eastAsia="方正仿宋_GBK" w:cs="宋体"/>
                <w:kern w:val="0"/>
                <w:sz w:val="20"/>
                <w:szCs w:val="24"/>
                <w:lang w:val="en-US" w:eastAsia="zh-CN" w:bidi="ar-SA"/>
              </w:rPr>
            </w:pPr>
            <w:r>
              <w:rPr>
                <w:rFonts w:hint="eastAsia" w:ascii="宋体" w:hAnsi="宋体" w:cs="宋体"/>
                <w:kern w:val="0"/>
                <w:sz w:val="20"/>
                <w:szCs w:val="24"/>
              </w:rPr>
              <w:t>1</w:t>
            </w:r>
          </w:p>
        </w:tc>
      </w:tr>
      <w:tr>
        <w:tblPrEx>
          <w:tblCellMar>
            <w:top w:w="0" w:type="dxa"/>
            <w:left w:w="108" w:type="dxa"/>
            <w:bottom w:w="0" w:type="dxa"/>
            <w:right w:w="108" w:type="dxa"/>
          </w:tblCellMar>
        </w:tblPrEx>
        <w:trPr>
          <w:trHeight w:val="55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5040" w:type="dxa"/>
            <w:gridSpan w:val="5"/>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补助街镇</w:t>
            </w:r>
          </w:p>
        </w:tc>
        <w:tc>
          <w:tcPr>
            <w:tcW w:w="6095" w:type="dxa"/>
            <w:tcBorders>
              <w:top w:val="nil"/>
              <w:left w:val="nil"/>
              <w:bottom w:val="single" w:color="auto" w:sz="4" w:space="0"/>
              <w:right w:val="single" w:color="auto"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r>
              <w:rPr>
                <w:rFonts w:hint="eastAsia" w:ascii="宋体" w:hAnsi="宋体" w:cs="宋体"/>
                <w:kern w:val="0"/>
                <w:sz w:val="20"/>
                <w:szCs w:val="24"/>
              </w:rPr>
              <w:t>　</w:t>
            </w:r>
          </w:p>
        </w:tc>
      </w:tr>
      <w:tr>
        <w:tblPrEx>
          <w:tblCellMar>
            <w:top w:w="0" w:type="dxa"/>
            <w:left w:w="108" w:type="dxa"/>
            <w:bottom w:w="0" w:type="dxa"/>
            <w:right w:w="108" w:type="dxa"/>
          </w:tblCellMar>
        </w:tblPrEx>
        <w:trPr>
          <w:trHeight w:val="1109"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我街道有基干民兵80名，组织基干民兵训练（每年集中训练12天）；完成年度征兵工作；开展双拥活动；辖区1377名退役军人，开展帮扶、政策宣传等工作。</w:t>
            </w:r>
          </w:p>
        </w:tc>
      </w:tr>
      <w:tr>
        <w:tblPrEx>
          <w:tblCellMar>
            <w:top w:w="0" w:type="dxa"/>
            <w:left w:w="108" w:type="dxa"/>
            <w:bottom w:w="0" w:type="dxa"/>
            <w:right w:w="108" w:type="dxa"/>
          </w:tblCellMar>
        </w:tblPrEx>
        <w:trPr>
          <w:trHeight w:val="1005"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关于加强和改进新形势下民兵工作的意见》；《征兵工作条例》；《重庆市民兵事业费管理使用暂行办法》；沙武[2023]176号文件；《兵役法》；《重庆市民兵军事训练实施细则（试行稿）》；《民兵军事训练大纲》和区人武部年度军事训练计划；《重庆市退役军人服务中心（站）规范建设与工作运行指导手册》；纳入年度考核；</w:t>
            </w:r>
          </w:p>
        </w:tc>
      </w:tr>
      <w:tr>
        <w:tblPrEx>
          <w:tblCellMar>
            <w:top w:w="0" w:type="dxa"/>
            <w:left w:w="108" w:type="dxa"/>
            <w:bottom w:w="0" w:type="dxa"/>
            <w:right w:w="108" w:type="dxa"/>
          </w:tblCellMar>
        </w:tblPrEx>
        <w:trPr>
          <w:trHeight w:val="1080"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完成年度征兵，12次民兵训练，武装物资的预储数量，双拥工作，辖区1377名退役军人开展政策宣传等活动。</w:t>
            </w:r>
          </w:p>
        </w:tc>
      </w:tr>
      <w:tr>
        <w:tblPrEx>
          <w:tblCellMar>
            <w:top w:w="0" w:type="dxa"/>
            <w:left w:w="108" w:type="dxa"/>
            <w:bottom w:w="0" w:type="dxa"/>
            <w:right w:w="108" w:type="dxa"/>
          </w:tblCellMar>
        </w:tblPrEx>
        <w:trPr>
          <w:trHeight w:val="540"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2757" w:type="dxa"/>
            <w:tcBorders>
              <w:top w:val="single" w:color="auto" w:sz="4" w:space="0"/>
              <w:left w:val="nil"/>
              <w:bottom w:val="single" w:color="auto" w:sz="4" w:space="0"/>
              <w:right w:val="single" w:color="000000" w:sz="4" w:space="0"/>
            </w:tcBorders>
            <w:shd w:val="clear" w:color="auto" w:fill="auto"/>
            <w:noWrap w:val="0"/>
            <w:vAlign w:val="center"/>
          </w:tcPr>
          <w:p>
            <w:pPr>
              <w:widowControl/>
              <w:spacing w:beforeLines="0" w:afterLines="0"/>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cs="方正仿宋_GBK"/>
                <w:kern w:val="0"/>
                <w:sz w:val="20"/>
                <w:szCs w:val="20"/>
              </w:rPr>
              <w:t>指标</w:t>
            </w:r>
          </w:p>
        </w:tc>
        <w:tc>
          <w:tcPr>
            <w:tcW w:w="1134"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cs="方正仿宋_GBK"/>
                <w:kern w:val="0"/>
                <w:sz w:val="20"/>
                <w:szCs w:val="20"/>
              </w:rPr>
              <w:t>指标权重</w:t>
            </w:r>
          </w:p>
        </w:tc>
        <w:tc>
          <w:tcPr>
            <w:tcW w:w="1149"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cs="方正仿宋_GBK"/>
                <w:kern w:val="0"/>
                <w:sz w:val="20"/>
                <w:szCs w:val="20"/>
              </w:rPr>
              <w:t>计量单位</w:t>
            </w:r>
          </w:p>
        </w:tc>
        <w:tc>
          <w:tcPr>
            <w:tcW w:w="1300" w:type="dxa"/>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cs="方正仿宋_GBK"/>
                <w:kern w:val="0"/>
                <w:sz w:val="20"/>
                <w:szCs w:val="20"/>
              </w:rPr>
              <w:t>指标性质</w:t>
            </w:r>
          </w:p>
        </w:tc>
        <w:tc>
          <w:tcPr>
            <w:tcW w:w="6481"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cs="方正仿宋_GBK"/>
                <w:kern w:val="0"/>
                <w:sz w:val="20"/>
                <w:szCs w:val="20"/>
              </w:rPr>
              <w:t>指标值</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活动次数</w:t>
            </w:r>
          </w:p>
        </w:tc>
        <w:tc>
          <w:tcPr>
            <w:tcW w:w="1134"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15</w:t>
            </w:r>
          </w:p>
        </w:tc>
        <w:tc>
          <w:tcPr>
            <w:tcW w:w="1149"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次</w:t>
            </w:r>
          </w:p>
        </w:tc>
        <w:tc>
          <w:tcPr>
            <w:tcW w:w="1300" w:type="dxa"/>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2</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政策知晓率</w:t>
            </w:r>
          </w:p>
        </w:tc>
        <w:tc>
          <w:tcPr>
            <w:tcW w:w="1134"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20</w:t>
            </w:r>
          </w:p>
        </w:tc>
        <w:tc>
          <w:tcPr>
            <w:tcW w:w="1149"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1300" w:type="dxa"/>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90</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服务对象满意度</w:t>
            </w:r>
          </w:p>
        </w:tc>
        <w:tc>
          <w:tcPr>
            <w:tcW w:w="1134"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10</w:t>
            </w:r>
          </w:p>
        </w:tc>
        <w:tc>
          <w:tcPr>
            <w:tcW w:w="1149"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1300" w:type="dxa"/>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80</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auto"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服务计划人次</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15</w:t>
            </w:r>
          </w:p>
        </w:tc>
        <w:tc>
          <w:tcPr>
            <w:tcW w:w="1149" w:type="dxa"/>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人次</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87</w:t>
            </w:r>
          </w:p>
        </w:tc>
      </w:tr>
      <w:tr>
        <w:tblPrEx>
          <w:tblCellMar>
            <w:top w:w="0" w:type="dxa"/>
            <w:left w:w="108" w:type="dxa"/>
            <w:bottom w:w="0" w:type="dxa"/>
            <w:right w:w="108" w:type="dxa"/>
          </w:tblCellMar>
        </w:tblPrEx>
        <w:trPr>
          <w:trHeight w:val="495"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训练效果</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30</w:t>
            </w:r>
          </w:p>
        </w:tc>
        <w:tc>
          <w:tcPr>
            <w:tcW w:w="1149" w:type="dxa"/>
            <w:gridSpan w:val="2"/>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p>
        </w:tc>
        <w:tc>
          <w:tcPr>
            <w:tcW w:w="1300" w:type="dxa"/>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定性</w:t>
            </w:r>
          </w:p>
        </w:tc>
        <w:tc>
          <w:tcPr>
            <w:tcW w:w="6481" w:type="dxa"/>
            <w:gridSpan w:val="2"/>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p>
        </w:tc>
      </w:tr>
      <w:tr>
        <w:tblPrEx>
          <w:tblCellMar>
            <w:top w:w="0" w:type="dxa"/>
            <w:left w:w="108" w:type="dxa"/>
            <w:bottom w:w="0" w:type="dxa"/>
            <w:right w:w="108" w:type="dxa"/>
          </w:tblCellMar>
        </w:tblPrEx>
        <w:trPr>
          <w:trHeight w:val="735" w:hRule="atLeast"/>
        </w:trPr>
        <w:tc>
          <w:tcPr>
            <w:tcW w:w="15041" w:type="dxa"/>
            <w:gridSpan w:val="9"/>
            <w:tcBorders>
              <w:top w:val="nil"/>
              <w:left w:val="nil"/>
              <w:bottom w:val="nil"/>
              <w:right w:val="nil"/>
            </w:tcBorders>
            <w:shd w:val="clear" w:color="auto" w:fill="auto"/>
            <w:noWrap w:val="0"/>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CellMar>
            <w:top w:w="0" w:type="dxa"/>
            <w:left w:w="108" w:type="dxa"/>
            <w:bottom w:w="0" w:type="dxa"/>
            <w:right w:w="108" w:type="dxa"/>
          </w:tblCellMar>
        </w:tblPrEx>
        <w:trPr>
          <w:trHeight w:val="555" w:hRule="atLeast"/>
        </w:trPr>
        <w:tc>
          <w:tcPr>
            <w:tcW w:w="5340" w:type="dxa"/>
            <w:gridSpan w:val="3"/>
            <w:tcBorders>
              <w:top w:val="nil"/>
              <w:left w:val="nil"/>
              <w:bottom w:val="nil"/>
              <w:right w:val="nil"/>
            </w:tcBorders>
            <w:shd w:val="clear" w:color="auto" w:fill="auto"/>
            <w:noWrap w:val="0"/>
            <w:vAlign w:val="center"/>
          </w:tcPr>
          <w:p>
            <w:pPr>
              <w:widowControl/>
              <w:jc w:val="center"/>
              <w:rPr>
                <w:rFonts w:hint="eastAsia" w:ascii="宋体" w:hAnsi="宋体" w:eastAsia="方正仿宋_GBK" w:cs="宋体"/>
                <w:b/>
                <w:bCs/>
                <w:kern w:val="0"/>
                <w:sz w:val="36"/>
                <w:szCs w:val="36"/>
                <w:lang w:val="en-US" w:eastAsia="zh-CN"/>
              </w:rPr>
            </w:pPr>
            <w:r>
              <w:rPr>
                <w:rFonts w:hint="eastAsia" w:ascii="宋体" w:hAnsi="宋体" w:cs="宋体"/>
                <w:kern w:val="0"/>
                <w:sz w:val="20"/>
              </w:rPr>
              <w:t>编制单位：</w:t>
            </w:r>
            <w:r>
              <w:rPr>
                <w:rFonts w:hint="eastAsia" w:ascii="宋体" w:hAnsi="宋体" w:cs="宋体"/>
                <w:kern w:val="0"/>
                <w:sz w:val="20"/>
                <w:lang w:eastAsia="zh-CN"/>
              </w:rPr>
              <w:t>重庆市沙坪坝区人民政府土湾街道办事处</w:t>
            </w:r>
          </w:p>
        </w:tc>
        <w:tc>
          <w:tcPr>
            <w:tcW w:w="960"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1686"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shd w:val="clear" w:color="auto" w:fill="auto"/>
            <w:noWrap w:val="0"/>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CellMar>
            <w:top w:w="0" w:type="dxa"/>
            <w:left w:w="108" w:type="dxa"/>
            <w:bottom w:w="0" w:type="dxa"/>
            <w:right w:w="108" w:type="dxa"/>
          </w:tblCellMar>
        </w:tblPrEx>
        <w:trPr>
          <w:trHeight w:val="555" w:hRule="atLeast"/>
        </w:trPr>
        <w:tc>
          <w:tcPr>
            <w:tcW w:w="22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人大政协专项　</w:t>
            </w:r>
          </w:p>
        </w:tc>
        <w:tc>
          <w:tcPr>
            <w:tcW w:w="168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业务主管部门</w:t>
            </w:r>
          </w:p>
        </w:tc>
        <w:tc>
          <w:tcPr>
            <w:tcW w:w="60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r>
              <w:rPr>
                <w:rFonts w:hint="eastAsia" w:ascii="宋体" w:hAnsi="宋体" w:cs="宋体"/>
                <w:kern w:val="0"/>
                <w:sz w:val="20"/>
                <w:szCs w:val="24"/>
              </w:rPr>
              <w:t>　重庆市沙坪坝区人民政府土湾街道办事处</w:t>
            </w:r>
          </w:p>
        </w:tc>
      </w:tr>
      <w:tr>
        <w:tblPrEx>
          <w:tblCellMar>
            <w:top w:w="0" w:type="dxa"/>
            <w:left w:w="108" w:type="dxa"/>
            <w:bottom w:w="0" w:type="dxa"/>
            <w:right w:w="108" w:type="dxa"/>
          </w:tblCellMar>
        </w:tblPrEx>
        <w:trPr>
          <w:trHeight w:val="555"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2024年预算</w:t>
            </w:r>
          </w:p>
        </w:tc>
        <w:tc>
          <w:tcPr>
            <w:tcW w:w="5040" w:type="dxa"/>
            <w:gridSpan w:val="5"/>
            <w:vMerge w:val="restart"/>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 xml:space="preserve">0.6 </w:t>
            </w:r>
          </w:p>
          <w:p>
            <w:pPr>
              <w:widowControl/>
              <w:jc w:val="center"/>
              <w:rPr>
                <w:rFonts w:ascii="宋体" w:hAnsi="宋体" w:cs="宋体"/>
                <w:kern w:val="0"/>
                <w:sz w:val="20"/>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区级支出</w:t>
            </w:r>
          </w:p>
        </w:tc>
        <w:tc>
          <w:tcPr>
            <w:tcW w:w="6095" w:type="dxa"/>
            <w:tcBorders>
              <w:top w:val="nil"/>
              <w:left w:val="nil"/>
              <w:bottom w:val="single" w:color="auto" w:sz="4" w:space="0"/>
              <w:right w:val="single" w:color="auto"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r>
              <w:rPr>
                <w:rFonts w:hint="eastAsia" w:ascii="宋体" w:hAnsi="宋体" w:cs="宋体"/>
                <w:kern w:val="0"/>
                <w:sz w:val="20"/>
                <w:szCs w:val="24"/>
              </w:rPr>
              <w:t>0.6</w:t>
            </w:r>
          </w:p>
        </w:tc>
      </w:tr>
      <w:tr>
        <w:tblPrEx>
          <w:tblCellMar>
            <w:top w:w="0" w:type="dxa"/>
            <w:left w:w="108" w:type="dxa"/>
            <w:bottom w:w="0" w:type="dxa"/>
            <w:right w:w="108" w:type="dxa"/>
          </w:tblCellMar>
        </w:tblPrEx>
        <w:trPr>
          <w:trHeight w:val="55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5040" w:type="dxa"/>
            <w:gridSpan w:val="5"/>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补助街镇</w:t>
            </w:r>
          </w:p>
        </w:tc>
        <w:tc>
          <w:tcPr>
            <w:tcW w:w="6095" w:type="dxa"/>
            <w:tcBorders>
              <w:top w:val="nil"/>
              <w:left w:val="nil"/>
              <w:bottom w:val="single" w:color="auto" w:sz="4" w:space="0"/>
              <w:right w:val="single" w:color="auto"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r>
              <w:rPr>
                <w:rFonts w:hint="eastAsia" w:ascii="宋体" w:hAnsi="宋体" w:cs="宋体"/>
                <w:kern w:val="0"/>
                <w:sz w:val="20"/>
                <w:szCs w:val="24"/>
              </w:rPr>
              <w:t>　</w:t>
            </w:r>
          </w:p>
        </w:tc>
      </w:tr>
      <w:tr>
        <w:tblPrEx>
          <w:tblCellMar>
            <w:top w:w="0" w:type="dxa"/>
            <w:left w:w="108" w:type="dxa"/>
            <w:bottom w:w="0" w:type="dxa"/>
            <w:right w:w="108" w:type="dxa"/>
          </w:tblCellMar>
        </w:tblPrEx>
        <w:trPr>
          <w:trHeight w:val="1109"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街道代表议事会人员44人.每半年开展议事会，每季度开展活动。</w:t>
            </w:r>
          </w:p>
        </w:tc>
      </w:tr>
      <w:tr>
        <w:tblPrEx>
          <w:tblCellMar>
            <w:top w:w="0" w:type="dxa"/>
            <w:left w:w="108" w:type="dxa"/>
            <w:bottom w:w="0" w:type="dxa"/>
            <w:right w:w="108" w:type="dxa"/>
          </w:tblCellMar>
        </w:tblPrEx>
        <w:trPr>
          <w:trHeight w:val="1005"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重庆市沙坪坝区人大常委会2023年工作要点》；沙人办发〔2023〕8号；《沙坪坝区2023年度人大代表工作考核意见》；沙人办发〔2023〕23号；《关于开展2023年度评优评先活动的通知》；沙人办发〔2023〕24号；沙人办发〔2023〕40号；《区政协全年政协委员调研活动计划》；《区政协2023年委员履职考核办法》</w:t>
            </w:r>
          </w:p>
        </w:tc>
      </w:tr>
      <w:tr>
        <w:tblPrEx>
          <w:tblCellMar>
            <w:top w:w="0" w:type="dxa"/>
            <w:left w:w="108" w:type="dxa"/>
            <w:bottom w:w="0" w:type="dxa"/>
            <w:right w:w="108" w:type="dxa"/>
          </w:tblCellMar>
        </w:tblPrEx>
        <w:trPr>
          <w:trHeight w:val="1080"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人大代表家站日常运维经，人大工委小组、政协委员开展活动，收集社情民意，开展街道人大代表议事会。</w:t>
            </w:r>
          </w:p>
        </w:tc>
      </w:tr>
      <w:tr>
        <w:tblPrEx>
          <w:tblCellMar>
            <w:top w:w="0" w:type="dxa"/>
            <w:left w:w="108" w:type="dxa"/>
            <w:bottom w:w="0" w:type="dxa"/>
            <w:right w:w="108" w:type="dxa"/>
          </w:tblCellMar>
        </w:tblPrEx>
        <w:trPr>
          <w:trHeight w:val="540"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2757" w:type="dxa"/>
            <w:tcBorders>
              <w:top w:val="single" w:color="auto" w:sz="4" w:space="0"/>
              <w:left w:val="nil"/>
              <w:bottom w:val="single" w:color="auto" w:sz="4" w:space="0"/>
              <w:right w:val="single" w:color="000000" w:sz="4" w:space="0"/>
            </w:tcBorders>
            <w:shd w:val="clear" w:color="auto" w:fill="auto"/>
            <w:noWrap w:val="0"/>
            <w:vAlign w:val="center"/>
          </w:tcPr>
          <w:p>
            <w:pPr>
              <w:widowControl/>
              <w:spacing w:beforeLines="0" w:afterLines="0"/>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cs="方正仿宋_GBK"/>
                <w:kern w:val="0"/>
                <w:sz w:val="20"/>
                <w:szCs w:val="20"/>
              </w:rPr>
              <w:t>指标</w:t>
            </w:r>
          </w:p>
        </w:tc>
        <w:tc>
          <w:tcPr>
            <w:tcW w:w="1134"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cs="方正仿宋_GBK"/>
                <w:kern w:val="0"/>
                <w:sz w:val="20"/>
                <w:szCs w:val="20"/>
              </w:rPr>
              <w:t>指标权重</w:t>
            </w:r>
          </w:p>
        </w:tc>
        <w:tc>
          <w:tcPr>
            <w:tcW w:w="1149"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cs="方正仿宋_GBK"/>
                <w:kern w:val="0"/>
                <w:sz w:val="20"/>
                <w:szCs w:val="20"/>
              </w:rPr>
              <w:t>计量单位</w:t>
            </w:r>
          </w:p>
        </w:tc>
        <w:tc>
          <w:tcPr>
            <w:tcW w:w="1300" w:type="dxa"/>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cs="方正仿宋_GBK"/>
                <w:kern w:val="0"/>
                <w:sz w:val="20"/>
                <w:szCs w:val="20"/>
              </w:rPr>
              <w:t>指标性质</w:t>
            </w:r>
          </w:p>
        </w:tc>
        <w:tc>
          <w:tcPr>
            <w:tcW w:w="6481"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cs="方正仿宋_GBK"/>
                <w:kern w:val="0"/>
                <w:sz w:val="20"/>
                <w:szCs w:val="20"/>
              </w:rPr>
              <w:t>指标值</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代表活动次数</w:t>
            </w:r>
          </w:p>
        </w:tc>
        <w:tc>
          <w:tcPr>
            <w:tcW w:w="1134"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25</w:t>
            </w:r>
          </w:p>
        </w:tc>
        <w:tc>
          <w:tcPr>
            <w:tcW w:w="1149"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次</w:t>
            </w:r>
          </w:p>
        </w:tc>
        <w:tc>
          <w:tcPr>
            <w:tcW w:w="1300" w:type="dxa"/>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2</w:t>
            </w:r>
          </w:p>
        </w:tc>
      </w:tr>
      <w:tr>
        <w:tblPrEx>
          <w:tblCellMar>
            <w:top w:w="0" w:type="dxa"/>
            <w:left w:w="108" w:type="dxa"/>
            <w:bottom w:w="0" w:type="dxa"/>
            <w:right w:w="108" w:type="dxa"/>
          </w:tblCellMar>
        </w:tblPrEx>
        <w:trPr>
          <w:trHeight w:val="543"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接待次数</w:t>
            </w:r>
          </w:p>
        </w:tc>
        <w:tc>
          <w:tcPr>
            <w:tcW w:w="1134"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25</w:t>
            </w:r>
          </w:p>
        </w:tc>
        <w:tc>
          <w:tcPr>
            <w:tcW w:w="1149"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次</w:t>
            </w:r>
          </w:p>
        </w:tc>
        <w:tc>
          <w:tcPr>
            <w:tcW w:w="1300" w:type="dxa"/>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2</w:t>
            </w:r>
          </w:p>
        </w:tc>
      </w:tr>
      <w:tr>
        <w:tblPrEx>
          <w:tblCellMar>
            <w:top w:w="0" w:type="dxa"/>
            <w:left w:w="108" w:type="dxa"/>
            <w:bottom w:w="0" w:type="dxa"/>
            <w:right w:w="108" w:type="dxa"/>
          </w:tblCellMar>
        </w:tblPrEx>
        <w:trPr>
          <w:trHeight w:val="579"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人大政协提案建议数</w:t>
            </w:r>
          </w:p>
        </w:tc>
        <w:tc>
          <w:tcPr>
            <w:tcW w:w="1134"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30</w:t>
            </w:r>
          </w:p>
        </w:tc>
        <w:tc>
          <w:tcPr>
            <w:tcW w:w="1149"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件</w:t>
            </w:r>
          </w:p>
        </w:tc>
        <w:tc>
          <w:tcPr>
            <w:tcW w:w="1300" w:type="dxa"/>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5</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vMerge w:val="restart"/>
            <w:tcBorders>
              <w:top w:val="single" w:color="auto" w:sz="4" w:space="0"/>
              <w:left w:val="nil"/>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群众满意度</w:t>
            </w:r>
          </w:p>
        </w:tc>
        <w:tc>
          <w:tcPr>
            <w:tcW w:w="1134" w:type="dxa"/>
            <w:gridSpan w:val="2"/>
            <w:vMerge w:val="restart"/>
            <w:tcBorders>
              <w:top w:val="nil"/>
              <w:left w:val="nil"/>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10</w:t>
            </w:r>
          </w:p>
        </w:tc>
        <w:tc>
          <w:tcPr>
            <w:tcW w:w="1149" w:type="dxa"/>
            <w:gridSpan w:val="2"/>
            <w:vMerge w:val="restart"/>
            <w:tcBorders>
              <w:top w:val="nil"/>
              <w:left w:val="nil"/>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1300" w:type="dxa"/>
            <w:vMerge w:val="restart"/>
            <w:tcBorders>
              <w:top w:val="nil"/>
              <w:left w:val="nil"/>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vMerge w:val="restart"/>
            <w:tcBorders>
              <w:top w:val="nil"/>
              <w:left w:val="nil"/>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90</w:t>
            </w:r>
          </w:p>
        </w:tc>
      </w:tr>
      <w:tr>
        <w:tblPrEx>
          <w:tblCellMar>
            <w:top w:w="0" w:type="dxa"/>
            <w:left w:w="108" w:type="dxa"/>
            <w:bottom w:w="0" w:type="dxa"/>
            <w:right w:w="108" w:type="dxa"/>
          </w:tblCellMar>
        </w:tblPrEx>
        <w:trPr>
          <w:trHeight w:val="158"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vMerge w:val="continue"/>
            <w:tcBorders>
              <w:left w:val="nil"/>
              <w:bottom w:val="single" w:color="auto" w:sz="4" w:space="0"/>
              <w:right w:val="single" w:color="000000" w:sz="4" w:space="0"/>
            </w:tcBorders>
            <w:shd w:val="clear" w:color="auto" w:fill="auto"/>
            <w:noWrap w:val="0"/>
            <w:vAlign w:val="center"/>
          </w:tcPr>
          <w:p>
            <w:pPr>
              <w:widowControl/>
              <w:jc w:val="center"/>
              <w:rPr>
                <w:rFonts w:hint="eastAsia" w:ascii="宋体" w:hAnsi="宋体" w:cs="宋体"/>
                <w:kern w:val="0"/>
                <w:sz w:val="20"/>
              </w:rPr>
            </w:pPr>
          </w:p>
        </w:tc>
        <w:tc>
          <w:tcPr>
            <w:tcW w:w="1134" w:type="dxa"/>
            <w:gridSpan w:val="2"/>
            <w:vMerge w:val="continue"/>
            <w:tcBorders>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0"/>
              </w:rPr>
            </w:pPr>
          </w:p>
        </w:tc>
        <w:tc>
          <w:tcPr>
            <w:tcW w:w="1149" w:type="dxa"/>
            <w:gridSpan w:val="2"/>
            <w:vMerge w:val="continue"/>
            <w:tcBorders>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0"/>
              </w:rPr>
            </w:pPr>
          </w:p>
        </w:tc>
        <w:tc>
          <w:tcPr>
            <w:tcW w:w="1300" w:type="dxa"/>
            <w:vMerge w:val="continue"/>
            <w:tcBorders>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0"/>
              </w:rPr>
            </w:pPr>
          </w:p>
        </w:tc>
        <w:tc>
          <w:tcPr>
            <w:tcW w:w="6481" w:type="dxa"/>
            <w:gridSpan w:val="2"/>
            <w:vMerge w:val="continue"/>
            <w:tcBorders>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0"/>
              </w:rPr>
            </w:pPr>
          </w:p>
        </w:tc>
      </w:tr>
      <w:tr>
        <w:tblPrEx>
          <w:tblCellMar>
            <w:top w:w="0" w:type="dxa"/>
            <w:left w:w="108" w:type="dxa"/>
            <w:bottom w:w="0" w:type="dxa"/>
            <w:right w:w="108" w:type="dxa"/>
          </w:tblCellMar>
        </w:tblPrEx>
        <w:trPr>
          <w:trHeight w:val="735" w:hRule="atLeast"/>
        </w:trPr>
        <w:tc>
          <w:tcPr>
            <w:tcW w:w="15041" w:type="dxa"/>
            <w:gridSpan w:val="9"/>
            <w:tcBorders>
              <w:top w:val="nil"/>
              <w:left w:val="nil"/>
              <w:bottom w:val="nil"/>
              <w:right w:val="nil"/>
            </w:tcBorders>
            <w:shd w:val="clear" w:color="auto" w:fill="auto"/>
            <w:noWrap w:val="0"/>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CellMar>
            <w:top w:w="0" w:type="dxa"/>
            <w:left w:w="108" w:type="dxa"/>
            <w:bottom w:w="0" w:type="dxa"/>
            <w:right w:w="108" w:type="dxa"/>
          </w:tblCellMar>
        </w:tblPrEx>
        <w:trPr>
          <w:trHeight w:val="555" w:hRule="atLeast"/>
        </w:trPr>
        <w:tc>
          <w:tcPr>
            <w:tcW w:w="5340" w:type="dxa"/>
            <w:gridSpan w:val="3"/>
            <w:tcBorders>
              <w:top w:val="nil"/>
              <w:left w:val="nil"/>
              <w:bottom w:val="nil"/>
              <w:right w:val="nil"/>
            </w:tcBorders>
            <w:shd w:val="clear" w:color="auto" w:fill="auto"/>
            <w:noWrap w:val="0"/>
            <w:vAlign w:val="center"/>
          </w:tcPr>
          <w:p>
            <w:pPr>
              <w:widowControl/>
              <w:jc w:val="center"/>
              <w:rPr>
                <w:rFonts w:hint="eastAsia" w:ascii="宋体" w:hAnsi="宋体" w:eastAsia="方正仿宋_GBK" w:cs="宋体"/>
                <w:b/>
                <w:bCs/>
                <w:kern w:val="0"/>
                <w:sz w:val="36"/>
                <w:szCs w:val="36"/>
                <w:lang w:val="en-US" w:eastAsia="zh-CN"/>
              </w:rPr>
            </w:pPr>
            <w:r>
              <w:rPr>
                <w:rFonts w:hint="eastAsia" w:ascii="宋体" w:hAnsi="宋体" w:cs="宋体"/>
                <w:kern w:val="0"/>
                <w:sz w:val="20"/>
              </w:rPr>
              <w:t>编制单位：</w:t>
            </w:r>
            <w:r>
              <w:rPr>
                <w:rFonts w:hint="eastAsia" w:ascii="宋体" w:hAnsi="宋体" w:cs="宋体"/>
                <w:kern w:val="0"/>
                <w:sz w:val="20"/>
                <w:lang w:eastAsia="zh-CN"/>
              </w:rPr>
              <w:t>重庆市沙坪坝区人民政府土湾街道办事处</w:t>
            </w:r>
          </w:p>
        </w:tc>
        <w:tc>
          <w:tcPr>
            <w:tcW w:w="960"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1686"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shd w:val="clear" w:color="auto" w:fill="auto"/>
            <w:noWrap w:val="0"/>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CellMar>
            <w:top w:w="0" w:type="dxa"/>
            <w:left w:w="108" w:type="dxa"/>
            <w:bottom w:w="0" w:type="dxa"/>
            <w:right w:w="108" w:type="dxa"/>
          </w:tblCellMar>
        </w:tblPrEx>
        <w:trPr>
          <w:trHeight w:val="555" w:hRule="atLeast"/>
        </w:trPr>
        <w:tc>
          <w:tcPr>
            <w:tcW w:w="22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一般性项目（基础办公类）　</w:t>
            </w:r>
          </w:p>
        </w:tc>
        <w:tc>
          <w:tcPr>
            <w:tcW w:w="168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业务主管部门</w:t>
            </w:r>
          </w:p>
        </w:tc>
        <w:tc>
          <w:tcPr>
            <w:tcW w:w="60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r>
              <w:rPr>
                <w:rFonts w:hint="eastAsia" w:ascii="宋体" w:hAnsi="宋体" w:cs="宋体"/>
                <w:kern w:val="0"/>
                <w:sz w:val="20"/>
                <w:szCs w:val="24"/>
              </w:rPr>
              <w:t>　重庆市沙坪坝区人民政府土湾街道办事处</w:t>
            </w:r>
          </w:p>
        </w:tc>
      </w:tr>
      <w:tr>
        <w:tblPrEx>
          <w:tblCellMar>
            <w:top w:w="0" w:type="dxa"/>
            <w:left w:w="108" w:type="dxa"/>
            <w:bottom w:w="0" w:type="dxa"/>
            <w:right w:w="108" w:type="dxa"/>
          </w:tblCellMar>
        </w:tblPrEx>
        <w:trPr>
          <w:trHeight w:val="555"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2024年预算</w:t>
            </w:r>
          </w:p>
        </w:tc>
        <w:tc>
          <w:tcPr>
            <w:tcW w:w="5040" w:type="dxa"/>
            <w:gridSpan w:val="5"/>
            <w:vMerge w:val="restart"/>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 xml:space="preserve"> 20</w:t>
            </w:r>
          </w:p>
          <w:p>
            <w:pPr>
              <w:widowControl/>
              <w:jc w:val="center"/>
              <w:rPr>
                <w:rFonts w:ascii="宋体" w:hAnsi="宋体" w:cs="宋体"/>
                <w:kern w:val="0"/>
                <w:sz w:val="20"/>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区级支出</w:t>
            </w:r>
          </w:p>
        </w:tc>
        <w:tc>
          <w:tcPr>
            <w:tcW w:w="6095" w:type="dxa"/>
            <w:tcBorders>
              <w:top w:val="nil"/>
              <w:left w:val="nil"/>
              <w:bottom w:val="single" w:color="auto" w:sz="4" w:space="0"/>
              <w:right w:val="single" w:color="auto"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r>
              <w:rPr>
                <w:rFonts w:hint="eastAsia" w:ascii="宋体" w:hAnsi="宋体" w:cs="宋体"/>
                <w:kern w:val="0"/>
                <w:sz w:val="20"/>
                <w:szCs w:val="24"/>
              </w:rPr>
              <w:t>20</w:t>
            </w:r>
          </w:p>
        </w:tc>
      </w:tr>
      <w:tr>
        <w:tblPrEx>
          <w:tblCellMar>
            <w:top w:w="0" w:type="dxa"/>
            <w:left w:w="108" w:type="dxa"/>
            <w:bottom w:w="0" w:type="dxa"/>
            <w:right w:w="108" w:type="dxa"/>
          </w:tblCellMar>
        </w:tblPrEx>
        <w:trPr>
          <w:trHeight w:val="55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5040" w:type="dxa"/>
            <w:gridSpan w:val="5"/>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补助街镇</w:t>
            </w:r>
          </w:p>
        </w:tc>
        <w:tc>
          <w:tcPr>
            <w:tcW w:w="6095" w:type="dxa"/>
            <w:tcBorders>
              <w:top w:val="nil"/>
              <w:left w:val="nil"/>
              <w:bottom w:val="single" w:color="auto" w:sz="4" w:space="0"/>
              <w:right w:val="single" w:color="auto"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r>
              <w:rPr>
                <w:rFonts w:hint="eastAsia" w:ascii="宋体" w:hAnsi="宋体" w:cs="宋体"/>
                <w:kern w:val="0"/>
                <w:sz w:val="20"/>
                <w:szCs w:val="24"/>
              </w:rPr>
              <w:t>　</w:t>
            </w:r>
          </w:p>
        </w:tc>
      </w:tr>
      <w:tr>
        <w:tblPrEx>
          <w:tblCellMar>
            <w:top w:w="0" w:type="dxa"/>
            <w:left w:w="108" w:type="dxa"/>
            <w:bottom w:w="0" w:type="dxa"/>
            <w:right w:w="108" w:type="dxa"/>
          </w:tblCellMar>
        </w:tblPrEx>
        <w:trPr>
          <w:trHeight w:val="1109"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反映采购办公用品、耗材、书报杂志、维护维修办公设施设备、网络、公务接待等。　</w:t>
            </w:r>
          </w:p>
        </w:tc>
      </w:tr>
      <w:tr>
        <w:tblPrEx>
          <w:tblCellMar>
            <w:top w:w="0" w:type="dxa"/>
            <w:left w:w="108" w:type="dxa"/>
            <w:bottom w:w="0" w:type="dxa"/>
            <w:right w:w="108" w:type="dxa"/>
          </w:tblCellMar>
        </w:tblPrEx>
        <w:trPr>
          <w:trHeight w:val="1005"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widowControl/>
              <w:spacing w:beforeLines="0" w:afterLines="0"/>
              <w:jc w:val="center"/>
              <w:rPr>
                <w:rFonts w:hint="eastAsia" w:ascii="宋体" w:hAnsi="宋体" w:eastAsia="方正仿宋_GBK" w:cs="宋体"/>
                <w:color w:val="000000"/>
                <w:kern w:val="0"/>
                <w:sz w:val="20"/>
                <w:szCs w:val="24"/>
                <w:lang w:val="en-US" w:eastAsia="zh-CN" w:bidi="ar-SA"/>
              </w:rPr>
            </w:pPr>
            <w:r>
              <w:rPr>
                <w:rFonts w:hint="eastAsia" w:ascii="宋体" w:hAnsi="宋体" w:cs="宋体"/>
                <w:color w:val="000000"/>
                <w:kern w:val="0"/>
                <w:sz w:val="20"/>
                <w:szCs w:val="24"/>
              </w:rPr>
              <w:t>《重庆市沙坪坝区财政局关于2024年沙坪坝区预算编制政策及口径说明的通知》（沙财政发[2023]145 号）</w:t>
            </w:r>
          </w:p>
        </w:tc>
      </w:tr>
      <w:tr>
        <w:tblPrEx>
          <w:tblCellMar>
            <w:top w:w="0" w:type="dxa"/>
            <w:left w:w="108" w:type="dxa"/>
            <w:bottom w:w="0" w:type="dxa"/>
            <w:right w:w="108" w:type="dxa"/>
          </w:tblCellMar>
        </w:tblPrEx>
        <w:trPr>
          <w:trHeight w:val="1080"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widowControl/>
              <w:spacing w:beforeLines="0" w:afterLines="0"/>
              <w:jc w:val="center"/>
              <w:rPr>
                <w:rFonts w:hint="eastAsia" w:ascii="宋体" w:hAnsi="宋体" w:eastAsia="方正仿宋_GBK" w:cs="宋体"/>
                <w:color w:val="000000"/>
                <w:kern w:val="0"/>
                <w:sz w:val="20"/>
                <w:szCs w:val="24"/>
                <w:lang w:val="en-US" w:eastAsia="zh-CN" w:bidi="ar-SA"/>
              </w:rPr>
            </w:pPr>
            <w:r>
              <w:rPr>
                <w:rFonts w:hint="eastAsia" w:ascii="宋体" w:hAnsi="宋体" w:cs="宋体"/>
                <w:color w:val="000000"/>
                <w:kern w:val="0"/>
                <w:sz w:val="20"/>
                <w:szCs w:val="24"/>
              </w:rPr>
              <w:t>保障单位正常运转。</w:t>
            </w:r>
          </w:p>
        </w:tc>
      </w:tr>
      <w:tr>
        <w:tblPrEx>
          <w:tblCellMar>
            <w:top w:w="0" w:type="dxa"/>
            <w:left w:w="108" w:type="dxa"/>
            <w:bottom w:w="0" w:type="dxa"/>
            <w:right w:w="108" w:type="dxa"/>
          </w:tblCellMar>
        </w:tblPrEx>
        <w:trPr>
          <w:trHeight w:val="540"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2757" w:type="dxa"/>
            <w:tcBorders>
              <w:top w:val="single" w:color="auto" w:sz="4" w:space="0"/>
              <w:left w:val="nil"/>
              <w:bottom w:val="single" w:color="auto" w:sz="4" w:space="0"/>
              <w:right w:val="single" w:color="000000"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指标</w:t>
            </w:r>
          </w:p>
        </w:tc>
        <w:tc>
          <w:tcPr>
            <w:tcW w:w="1134"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指标权重</w:t>
            </w:r>
          </w:p>
        </w:tc>
        <w:tc>
          <w:tcPr>
            <w:tcW w:w="1149"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计量单位</w:t>
            </w:r>
          </w:p>
        </w:tc>
        <w:tc>
          <w:tcPr>
            <w:tcW w:w="1300" w:type="dxa"/>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指标性质</w:t>
            </w:r>
          </w:p>
        </w:tc>
        <w:tc>
          <w:tcPr>
            <w:tcW w:w="6481"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指标值</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买办公用品</w:t>
            </w:r>
          </w:p>
        </w:tc>
        <w:tc>
          <w:tcPr>
            <w:tcW w:w="1134"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20</w:t>
            </w:r>
          </w:p>
        </w:tc>
        <w:tc>
          <w:tcPr>
            <w:tcW w:w="1149"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次</w:t>
            </w:r>
          </w:p>
        </w:tc>
        <w:tc>
          <w:tcPr>
            <w:tcW w:w="1300" w:type="dxa"/>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2</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订阅报刊</w:t>
            </w:r>
          </w:p>
        </w:tc>
        <w:tc>
          <w:tcPr>
            <w:tcW w:w="1134"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20</w:t>
            </w:r>
          </w:p>
        </w:tc>
        <w:tc>
          <w:tcPr>
            <w:tcW w:w="1149"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次</w:t>
            </w:r>
          </w:p>
        </w:tc>
        <w:tc>
          <w:tcPr>
            <w:tcW w:w="1300" w:type="dxa"/>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2</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维修次数</w:t>
            </w:r>
          </w:p>
        </w:tc>
        <w:tc>
          <w:tcPr>
            <w:tcW w:w="1134"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20</w:t>
            </w:r>
          </w:p>
        </w:tc>
        <w:tc>
          <w:tcPr>
            <w:tcW w:w="1149"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次</w:t>
            </w:r>
          </w:p>
        </w:tc>
        <w:tc>
          <w:tcPr>
            <w:tcW w:w="1300" w:type="dxa"/>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2</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满意率</w:t>
            </w:r>
          </w:p>
        </w:tc>
        <w:tc>
          <w:tcPr>
            <w:tcW w:w="1134"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10</w:t>
            </w:r>
          </w:p>
        </w:tc>
        <w:tc>
          <w:tcPr>
            <w:tcW w:w="1149"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1300" w:type="dxa"/>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85</w:t>
            </w:r>
          </w:p>
        </w:tc>
      </w:tr>
      <w:tr>
        <w:tblPrEx>
          <w:tblCellMar>
            <w:top w:w="0" w:type="dxa"/>
            <w:left w:w="108" w:type="dxa"/>
            <w:bottom w:w="0" w:type="dxa"/>
            <w:right w:w="108" w:type="dxa"/>
          </w:tblCellMar>
        </w:tblPrEx>
        <w:trPr>
          <w:trHeight w:val="495"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单位运行情况</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20</w:t>
            </w:r>
          </w:p>
        </w:tc>
        <w:tc>
          <w:tcPr>
            <w:tcW w:w="1149" w:type="dxa"/>
            <w:gridSpan w:val="2"/>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p>
        </w:tc>
        <w:tc>
          <w:tcPr>
            <w:tcW w:w="1300" w:type="dxa"/>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定性</w:t>
            </w:r>
          </w:p>
        </w:tc>
        <w:tc>
          <w:tcPr>
            <w:tcW w:w="6481" w:type="dxa"/>
            <w:gridSpan w:val="2"/>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p>
        </w:tc>
      </w:tr>
      <w:tr>
        <w:tblPrEx>
          <w:tblCellMar>
            <w:top w:w="0" w:type="dxa"/>
            <w:left w:w="108" w:type="dxa"/>
            <w:bottom w:w="0" w:type="dxa"/>
            <w:right w:w="108" w:type="dxa"/>
          </w:tblCellMar>
        </w:tblPrEx>
        <w:trPr>
          <w:trHeight w:val="735" w:hRule="atLeast"/>
        </w:trPr>
        <w:tc>
          <w:tcPr>
            <w:tcW w:w="15041" w:type="dxa"/>
            <w:gridSpan w:val="9"/>
            <w:tcBorders>
              <w:top w:val="nil"/>
              <w:left w:val="nil"/>
              <w:bottom w:val="nil"/>
              <w:right w:val="nil"/>
            </w:tcBorders>
            <w:shd w:val="clear" w:color="auto" w:fill="auto"/>
            <w:noWrap w:val="0"/>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CellMar>
            <w:top w:w="0" w:type="dxa"/>
            <w:left w:w="108" w:type="dxa"/>
            <w:bottom w:w="0" w:type="dxa"/>
            <w:right w:w="108" w:type="dxa"/>
          </w:tblCellMar>
        </w:tblPrEx>
        <w:trPr>
          <w:trHeight w:val="555" w:hRule="atLeast"/>
        </w:trPr>
        <w:tc>
          <w:tcPr>
            <w:tcW w:w="5340" w:type="dxa"/>
            <w:gridSpan w:val="3"/>
            <w:tcBorders>
              <w:top w:val="nil"/>
              <w:left w:val="nil"/>
              <w:bottom w:val="nil"/>
              <w:right w:val="nil"/>
            </w:tcBorders>
            <w:shd w:val="clear" w:color="auto" w:fill="auto"/>
            <w:noWrap w:val="0"/>
            <w:vAlign w:val="center"/>
          </w:tcPr>
          <w:p>
            <w:pPr>
              <w:widowControl/>
              <w:jc w:val="center"/>
              <w:rPr>
                <w:rFonts w:hint="eastAsia" w:ascii="宋体" w:hAnsi="宋体" w:eastAsia="方正仿宋_GBK" w:cs="宋体"/>
                <w:b/>
                <w:bCs/>
                <w:kern w:val="0"/>
                <w:sz w:val="36"/>
                <w:szCs w:val="36"/>
                <w:lang w:val="en-US" w:eastAsia="zh-CN"/>
              </w:rPr>
            </w:pPr>
            <w:r>
              <w:rPr>
                <w:rFonts w:hint="eastAsia" w:ascii="宋体" w:hAnsi="宋体" w:cs="宋体"/>
                <w:kern w:val="0"/>
                <w:sz w:val="20"/>
              </w:rPr>
              <w:t>编制单位：</w:t>
            </w:r>
            <w:r>
              <w:rPr>
                <w:rFonts w:hint="eastAsia" w:ascii="宋体" w:hAnsi="宋体" w:cs="宋体"/>
                <w:kern w:val="0"/>
                <w:sz w:val="20"/>
                <w:lang w:eastAsia="zh-CN"/>
              </w:rPr>
              <w:t>重庆市沙坪坝区人民政府土湾街道办事处</w:t>
            </w:r>
          </w:p>
        </w:tc>
        <w:tc>
          <w:tcPr>
            <w:tcW w:w="960"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1686"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shd w:val="clear" w:color="auto" w:fill="auto"/>
            <w:noWrap w:val="0"/>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CellMar>
            <w:top w:w="0" w:type="dxa"/>
            <w:left w:w="108" w:type="dxa"/>
            <w:bottom w:w="0" w:type="dxa"/>
            <w:right w:w="108" w:type="dxa"/>
          </w:tblCellMar>
        </w:tblPrEx>
        <w:trPr>
          <w:trHeight w:val="555" w:hRule="atLeast"/>
        </w:trPr>
        <w:tc>
          <w:tcPr>
            <w:tcW w:w="22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农贸市场管护　</w:t>
            </w:r>
          </w:p>
        </w:tc>
        <w:tc>
          <w:tcPr>
            <w:tcW w:w="168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业务主管部门</w:t>
            </w:r>
          </w:p>
        </w:tc>
        <w:tc>
          <w:tcPr>
            <w:tcW w:w="60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r>
              <w:rPr>
                <w:rFonts w:hint="eastAsia" w:ascii="宋体" w:hAnsi="宋体" w:cs="宋体"/>
                <w:kern w:val="0"/>
                <w:sz w:val="20"/>
                <w:szCs w:val="24"/>
              </w:rPr>
              <w:t>　重庆市沙坪坝区人民政府土湾街道办事处</w:t>
            </w:r>
          </w:p>
        </w:tc>
      </w:tr>
      <w:tr>
        <w:tblPrEx>
          <w:tblCellMar>
            <w:top w:w="0" w:type="dxa"/>
            <w:left w:w="108" w:type="dxa"/>
            <w:bottom w:w="0" w:type="dxa"/>
            <w:right w:w="108" w:type="dxa"/>
          </w:tblCellMar>
        </w:tblPrEx>
        <w:trPr>
          <w:trHeight w:val="555"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2024年预算</w:t>
            </w:r>
          </w:p>
        </w:tc>
        <w:tc>
          <w:tcPr>
            <w:tcW w:w="5040" w:type="dxa"/>
            <w:gridSpan w:val="5"/>
            <w:vMerge w:val="restart"/>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 xml:space="preserve"> 0.6</w:t>
            </w:r>
          </w:p>
          <w:p>
            <w:pPr>
              <w:widowControl/>
              <w:jc w:val="center"/>
              <w:rPr>
                <w:rFonts w:ascii="宋体" w:hAnsi="宋体" w:cs="宋体"/>
                <w:kern w:val="0"/>
                <w:sz w:val="20"/>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区级支出</w:t>
            </w:r>
          </w:p>
        </w:tc>
        <w:tc>
          <w:tcPr>
            <w:tcW w:w="6095" w:type="dxa"/>
            <w:tcBorders>
              <w:top w:val="nil"/>
              <w:left w:val="nil"/>
              <w:bottom w:val="single" w:color="auto" w:sz="4" w:space="0"/>
              <w:right w:val="single" w:color="auto"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r>
              <w:rPr>
                <w:rFonts w:hint="eastAsia" w:ascii="宋体" w:hAnsi="宋体" w:cs="宋体"/>
                <w:kern w:val="0"/>
                <w:sz w:val="20"/>
                <w:szCs w:val="24"/>
              </w:rPr>
              <w:t>0.6</w:t>
            </w:r>
          </w:p>
        </w:tc>
      </w:tr>
      <w:tr>
        <w:tblPrEx>
          <w:tblCellMar>
            <w:top w:w="0" w:type="dxa"/>
            <w:left w:w="108" w:type="dxa"/>
            <w:bottom w:w="0" w:type="dxa"/>
            <w:right w:w="108" w:type="dxa"/>
          </w:tblCellMar>
        </w:tblPrEx>
        <w:trPr>
          <w:trHeight w:val="55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5040" w:type="dxa"/>
            <w:gridSpan w:val="5"/>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补助街镇</w:t>
            </w:r>
          </w:p>
        </w:tc>
        <w:tc>
          <w:tcPr>
            <w:tcW w:w="6095" w:type="dxa"/>
            <w:tcBorders>
              <w:top w:val="nil"/>
              <w:left w:val="nil"/>
              <w:bottom w:val="single" w:color="auto" w:sz="4" w:space="0"/>
              <w:right w:val="single" w:color="auto"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r>
              <w:rPr>
                <w:rFonts w:hint="eastAsia" w:ascii="宋体" w:hAnsi="宋体" w:cs="宋体"/>
                <w:kern w:val="0"/>
                <w:sz w:val="20"/>
                <w:szCs w:val="24"/>
              </w:rPr>
              <w:t>　</w:t>
            </w:r>
          </w:p>
        </w:tc>
      </w:tr>
      <w:tr>
        <w:tblPrEx>
          <w:tblCellMar>
            <w:top w:w="0" w:type="dxa"/>
            <w:left w:w="108" w:type="dxa"/>
            <w:bottom w:w="0" w:type="dxa"/>
            <w:right w:w="108" w:type="dxa"/>
          </w:tblCellMar>
        </w:tblPrEx>
        <w:trPr>
          <w:trHeight w:val="1109"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按照街道的农贸市场长效管理办法规定，将农贸市场长效管理资金用于加强农贸市场管理。</w:t>
            </w:r>
          </w:p>
        </w:tc>
      </w:tr>
      <w:tr>
        <w:tblPrEx>
          <w:tblCellMar>
            <w:top w:w="0" w:type="dxa"/>
            <w:left w:w="108" w:type="dxa"/>
            <w:bottom w:w="0" w:type="dxa"/>
            <w:right w:w="108" w:type="dxa"/>
          </w:tblCellMar>
        </w:tblPrEx>
        <w:trPr>
          <w:trHeight w:val="1005"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沙菜办发（2015）25号文件：《关于落实沙坪坝区农贸市场长效管理实施意见的通知》；土湾街道办事处关于印发《土湾街道农贸市场长效管理实施意见》的通知。</w:t>
            </w:r>
          </w:p>
        </w:tc>
      </w:tr>
      <w:tr>
        <w:tblPrEx>
          <w:tblCellMar>
            <w:top w:w="0" w:type="dxa"/>
            <w:left w:w="108" w:type="dxa"/>
            <w:bottom w:w="0" w:type="dxa"/>
            <w:right w:w="108" w:type="dxa"/>
          </w:tblCellMar>
        </w:tblPrEx>
        <w:trPr>
          <w:trHeight w:val="1080"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对三个农贸市场完度考核，使各市场秩序井然、干净整洁、消费安全，成为辖区群众放心满意的购物场所。</w:t>
            </w:r>
          </w:p>
        </w:tc>
      </w:tr>
      <w:tr>
        <w:tblPrEx>
          <w:tblCellMar>
            <w:top w:w="0" w:type="dxa"/>
            <w:left w:w="108" w:type="dxa"/>
            <w:bottom w:w="0" w:type="dxa"/>
            <w:right w:w="108" w:type="dxa"/>
          </w:tblCellMar>
        </w:tblPrEx>
        <w:trPr>
          <w:trHeight w:val="540"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2757" w:type="dxa"/>
            <w:tcBorders>
              <w:top w:val="single" w:color="auto" w:sz="4" w:space="0"/>
              <w:left w:val="nil"/>
              <w:bottom w:val="single" w:color="auto" w:sz="4" w:space="0"/>
              <w:right w:val="single" w:color="000000" w:sz="4" w:space="0"/>
            </w:tcBorders>
            <w:shd w:val="clear" w:color="auto" w:fill="auto"/>
            <w:noWrap w:val="0"/>
            <w:vAlign w:val="center"/>
          </w:tcPr>
          <w:p>
            <w:pPr>
              <w:widowControl/>
              <w:spacing w:beforeLines="0" w:afterLines="0"/>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cs="方正仿宋_GBK"/>
                <w:kern w:val="0"/>
                <w:sz w:val="20"/>
                <w:szCs w:val="20"/>
              </w:rPr>
              <w:t>指标</w:t>
            </w:r>
          </w:p>
        </w:tc>
        <w:tc>
          <w:tcPr>
            <w:tcW w:w="1134"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cs="方正仿宋_GBK"/>
                <w:kern w:val="0"/>
                <w:sz w:val="20"/>
                <w:szCs w:val="20"/>
              </w:rPr>
              <w:t>指标权重</w:t>
            </w:r>
          </w:p>
        </w:tc>
        <w:tc>
          <w:tcPr>
            <w:tcW w:w="1149"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cs="方正仿宋_GBK"/>
                <w:kern w:val="0"/>
                <w:sz w:val="20"/>
                <w:szCs w:val="20"/>
              </w:rPr>
              <w:t>计量单位</w:t>
            </w:r>
          </w:p>
        </w:tc>
        <w:tc>
          <w:tcPr>
            <w:tcW w:w="1300" w:type="dxa"/>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cs="方正仿宋_GBK"/>
                <w:kern w:val="0"/>
                <w:sz w:val="20"/>
                <w:szCs w:val="20"/>
              </w:rPr>
              <w:t>指标性质</w:t>
            </w:r>
          </w:p>
        </w:tc>
        <w:tc>
          <w:tcPr>
            <w:tcW w:w="6481"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cs="方正仿宋_GBK"/>
                <w:kern w:val="0"/>
                <w:sz w:val="20"/>
                <w:szCs w:val="20"/>
              </w:rPr>
              <w:t>指标值</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考核次数</w:t>
            </w:r>
          </w:p>
        </w:tc>
        <w:tc>
          <w:tcPr>
            <w:tcW w:w="1134"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30</w:t>
            </w:r>
          </w:p>
        </w:tc>
        <w:tc>
          <w:tcPr>
            <w:tcW w:w="1149"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次</w:t>
            </w:r>
          </w:p>
        </w:tc>
        <w:tc>
          <w:tcPr>
            <w:tcW w:w="1300" w:type="dxa"/>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3</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服务质量达标率</w:t>
            </w:r>
          </w:p>
        </w:tc>
        <w:tc>
          <w:tcPr>
            <w:tcW w:w="1134"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20</w:t>
            </w:r>
          </w:p>
        </w:tc>
        <w:tc>
          <w:tcPr>
            <w:tcW w:w="1149"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1300" w:type="dxa"/>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88</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群众满意度</w:t>
            </w:r>
          </w:p>
        </w:tc>
        <w:tc>
          <w:tcPr>
            <w:tcW w:w="1134" w:type="dxa"/>
            <w:gridSpan w:val="2"/>
            <w:tcBorders>
              <w:top w:val="nil"/>
              <w:left w:val="nil"/>
              <w:bottom w:val="nil"/>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10</w:t>
            </w:r>
          </w:p>
        </w:tc>
        <w:tc>
          <w:tcPr>
            <w:tcW w:w="1149" w:type="dxa"/>
            <w:gridSpan w:val="2"/>
            <w:tcBorders>
              <w:top w:val="nil"/>
              <w:left w:val="nil"/>
              <w:bottom w:val="nil"/>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1300" w:type="dxa"/>
            <w:tcBorders>
              <w:top w:val="nil"/>
              <w:left w:val="nil"/>
              <w:bottom w:val="nil"/>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tcBorders>
              <w:top w:val="nil"/>
              <w:left w:val="nil"/>
              <w:bottom w:val="nil"/>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90</w:t>
            </w:r>
          </w:p>
        </w:tc>
      </w:tr>
      <w:tr>
        <w:tblPrEx>
          <w:tblCellMar>
            <w:top w:w="0" w:type="dxa"/>
            <w:left w:w="108" w:type="dxa"/>
            <w:bottom w:w="0" w:type="dxa"/>
            <w:right w:w="108" w:type="dxa"/>
          </w:tblCellMar>
        </w:tblPrEx>
        <w:trPr>
          <w:trHeight w:val="495"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市场秩序</w:t>
            </w:r>
          </w:p>
        </w:tc>
        <w:tc>
          <w:tcPr>
            <w:tcW w:w="1134"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30</w:t>
            </w:r>
          </w:p>
        </w:tc>
        <w:tc>
          <w:tcPr>
            <w:tcW w:w="1149"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p>
        </w:tc>
        <w:tc>
          <w:tcPr>
            <w:tcW w:w="1300" w:type="dxa"/>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定性</w:t>
            </w:r>
          </w:p>
        </w:tc>
        <w:tc>
          <w:tcPr>
            <w:tcW w:w="6481"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p>
        </w:tc>
      </w:tr>
      <w:tr>
        <w:tblPrEx>
          <w:tblCellMar>
            <w:top w:w="0" w:type="dxa"/>
            <w:left w:w="108" w:type="dxa"/>
            <w:bottom w:w="0" w:type="dxa"/>
            <w:right w:w="108" w:type="dxa"/>
          </w:tblCellMar>
        </w:tblPrEx>
        <w:trPr>
          <w:trHeight w:val="735" w:hRule="atLeast"/>
        </w:trPr>
        <w:tc>
          <w:tcPr>
            <w:tcW w:w="15041" w:type="dxa"/>
            <w:gridSpan w:val="9"/>
            <w:tcBorders>
              <w:top w:val="nil"/>
              <w:left w:val="nil"/>
              <w:bottom w:val="nil"/>
              <w:right w:val="nil"/>
            </w:tcBorders>
            <w:shd w:val="clear" w:color="auto" w:fill="auto"/>
            <w:noWrap w:val="0"/>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CellMar>
            <w:top w:w="0" w:type="dxa"/>
            <w:left w:w="108" w:type="dxa"/>
            <w:bottom w:w="0" w:type="dxa"/>
            <w:right w:w="108" w:type="dxa"/>
          </w:tblCellMar>
        </w:tblPrEx>
        <w:trPr>
          <w:trHeight w:val="555" w:hRule="atLeast"/>
        </w:trPr>
        <w:tc>
          <w:tcPr>
            <w:tcW w:w="5340" w:type="dxa"/>
            <w:gridSpan w:val="3"/>
            <w:tcBorders>
              <w:top w:val="nil"/>
              <w:left w:val="nil"/>
              <w:bottom w:val="nil"/>
              <w:right w:val="nil"/>
            </w:tcBorders>
            <w:shd w:val="clear" w:color="auto" w:fill="auto"/>
            <w:noWrap w:val="0"/>
            <w:vAlign w:val="center"/>
          </w:tcPr>
          <w:p>
            <w:pPr>
              <w:widowControl/>
              <w:jc w:val="center"/>
              <w:rPr>
                <w:rFonts w:hint="eastAsia" w:ascii="宋体" w:hAnsi="宋体" w:eastAsia="方正仿宋_GBK" w:cs="宋体"/>
                <w:b/>
                <w:bCs/>
                <w:kern w:val="0"/>
                <w:sz w:val="36"/>
                <w:szCs w:val="36"/>
                <w:lang w:val="en-US" w:eastAsia="zh-CN"/>
              </w:rPr>
            </w:pPr>
            <w:r>
              <w:rPr>
                <w:rFonts w:hint="eastAsia" w:ascii="宋体" w:hAnsi="宋体" w:cs="宋体"/>
                <w:kern w:val="0"/>
                <w:sz w:val="20"/>
              </w:rPr>
              <w:t>编制单位：</w:t>
            </w:r>
            <w:r>
              <w:rPr>
                <w:rFonts w:hint="eastAsia" w:ascii="宋体" w:hAnsi="宋体" w:cs="宋体"/>
                <w:kern w:val="0"/>
                <w:sz w:val="20"/>
                <w:lang w:eastAsia="zh-CN"/>
              </w:rPr>
              <w:t>重庆市沙坪坝区人民政府土湾街道办事处</w:t>
            </w:r>
          </w:p>
        </w:tc>
        <w:tc>
          <w:tcPr>
            <w:tcW w:w="960"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1686"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shd w:val="clear" w:color="auto" w:fill="auto"/>
            <w:noWrap w:val="0"/>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CellMar>
            <w:top w:w="0" w:type="dxa"/>
            <w:left w:w="108" w:type="dxa"/>
            <w:bottom w:w="0" w:type="dxa"/>
            <w:right w:w="108" w:type="dxa"/>
          </w:tblCellMar>
        </w:tblPrEx>
        <w:trPr>
          <w:trHeight w:val="555" w:hRule="atLeast"/>
        </w:trPr>
        <w:tc>
          <w:tcPr>
            <w:tcW w:w="22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安全稳定　</w:t>
            </w:r>
          </w:p>
        </w:tc>
        <w:tc>
          <w:tcPr>
            <w:tcW w:w="168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业务主管部门</w:t>
            </w:r>
          </w:p>
        </w:tc>
        <w:tc>
          <w:tcPr>
            <w:tcW w:w="60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r>
              <w:rPr>
                <w:rFonts w:hint="eastAsia" w:ascii="宋体" w:hAnsi="宋体" w:cs="宋体"/>
                <w:kern w:val="0"/>
                <w:sz w:val="20"/>
                <w:szCs w:val="24"/>
              </w:rPr>
              <w:t>　重庆市沙坪坝区人民政府土湾街道办事处</w:t>
            </w:r>
          </w:p>
        </w:tc>
      </w:tr>
      <w:tr>
        <w:tblPrEx>
          <w:tblCellMar>
            <w:top w:w="0" w:type="dxa"/>
            <w:left w:w="108" w:type="dxa"/>
            <w:bottom w:w="0" w:type="dxa"/>
            <w:right w:w="108" w:type="dxa"/>
          </w:tblCellMar>
        </w:tblPrEx>
        <w:trPr>
          <w:trHeight w:val="555"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2024年预算</w:t>
            </w:r>
          </w:p>
        </w:tc>
        <w:tc>
          <w:tcPr>
            <w:tcW w:w="5040" w:type="dxa"/>
            <w:gridSpan w:val="5"/>
            <w:vMerge w:val="restart"/>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 xml:space="preserve"> 10</w:t>
            </w:r>
          </w:p>
          <w:p>
            <w:pPr>
              <w:widowControl/>
              <w:jc w:val="center"/>
              <w:rPr>
                <w:rFonts w:ascii="宋体" w:hAnsi="宋体" w:cs="宋体"/>
                <w:kern w:val="0"/>
                <w:sz w:val="20"/>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区级支出</w:t>
            </w:r>
          </w:p>
        </w:tc>
        <w:tc>
          <w:tcPr>
            <w:tcW w:w="6095" w:type="dxa"/>
            <w:tcBorders>
              <w:top w:val="nil"/>
              <w:left w:val="nil"/>
              <w:bottom w:val="single" w:color="auto" w:sz="4" w:space="0"/>
              <w:right w:val="single" w:color="auto"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r>
              <w:rPr>
                <w:rFonts w:hint="eastAsia" w:ascii="宋体" w:hAnsi="宋体" w:cs="宋体"/>
                <w:kern w:val="0"/>
                <w:sz w:val="20"/>
                <w:szCs w:val="24"/>
              </w:rPr>
              <w:t>10</w:t>
            </w:r>
          </w:p>
        </w:tc>
      </w:tr>
      <w:tr>
        <w:tblPrEx>
          <w:tblCellMar>
            <w:top w:w="0" w:type="dxa"/>
            <w:left w:w="108" w:type="dxa"/>
            <w:bottom w:w="0" w:type="dxa"/>
            <w:right w:w="108" w:type="dxa"/>
          </w:tblCellMar>
        </w:tblPrEx>
        <w:trPr>
          <w:trHeight w:val="55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5040" w:type="dxa"/>
            <w:gridSpan w:val="5"/>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补助街镇</w:t>
            </w:r>
          </w:p>
        </w:tc>
        <w:tc>
          <w:tcPr>
            <w:tcW w:w="6095" w:type="dxa"/>
            <w:tcBorders>
              <w:top w:val="nil"/>
              <w:left w:val="nil"/>
              <w:bottom w:val="single" w:color="auto" w:sz="4" w:space="0"/>
              <w:right w:val="single" w:color="auto"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r>
              <w:rPr>
                <w:rFonts w:hint="eastAsia" w:ascii="宋体" w:hAnsi="宋体" w:cs="宋体"/>
                <w:kern w:val="0"/>
                <w:sz w:val="20"/>
                <w:szCs w:val="24"/>
              </w:rPr>
              <w:t>　</w:t>
            </w:r>
          </w:p>
        </w:tc>
      </w:tr>
      <w:tr>
        <w:tblPrEx>
          <w:tblCellMar>
            <w:top w:w="0" w:type="dxa"/>
            <w:left w:w="108" w:type="dxa"/>
            <w:bottom w:w="0" w:type="dxa"/>
            <w:right w:w="108" w:type="dxa"/>
          </w:tblCellMar>
        </w:tblPrEx>
        <w:trPr>
          <w:trHeight w:val="1109"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辖区老旧住宅多分布广，完善消防设施，补全被盗破损消防器材。辖区生产经营户1000余家，开展安全工作。对辖区进行安全巡查整治。加强辖区社会治安综合治理；开展平安建设；各类信访重点人等重点维稳人员的稳控；处理其他突发群访集访事件。</w:t>
            </w:r>
          </w:p>
        </w:tc>
      </w:tr>
      <w:tr>
        <w:tblPrEx>
          <w:tblCellMar>
            <w:top w:w="0" w:type="dxa"/>
            <w:left w:w="108" w:type="dxa"/>
            <w:bottom w:w="0" w:type="dxa"/>
            <w:right w:w="108" w:type="dxa"/>
          </w:tblCellMar>
        </w:tblPrEx>
        <w:trPr>
          <w:trHeight w:val="1005"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沙应急〔2023〕29号、渝减委〔2022〕1号、沙减委〔2022〕1号、沙安办〔2022〕25号、渝减办〔2023〕14号；沙反诈办〔2023〕2号，沙政法发〔2023〕6号，沙平安重点人群组〔2023〕1号、沙禁毒办〔2023〕8号、关于抽调工作人员做好“9.30活动”现场、关于抽调工作人员参与沙坪坝区2023年春季房交会期间信访维稳工作的通知、关于进一步加强预防青少年儿童溺水工作的通知、关于进一步做好反诈宣传防范工作的通知、关于组织开展打击治理电信网络诈骗犯罪全民反诈在行动集中宣传月的通知、沙禁毒办〔2023〕13号</w:t>
            </w:r>
          </w:p>
        </w:tc>
      </w:tr>
      <w:tr>
        <w:tblPrEx>
          <w:tblCellMar>
            <w:top w:w="0" w:type="dxa"/>
            <w:left w:w="108" w:type="dxa"/>
            <w:bottom w:w="0" w:type="dxa"/>
            <w:right w:w="108" w:type="dxa"/>
          </w:tblCellMar>
        </w:tblPrEx>
        <w:trPr>
          <w:trHeight w:val="924"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辖区生产经营户1000余家，开展安全工作。对辖区进行安全巡查整治。建立健全辖区应急队伍和应急消防站完善设施设备。加强辖区社会治安综合治理；开展平安建设；各类信访重点人等重点维稳人员的稳控；处理其他突发群访集访事件。打造基层社会治理品牌。</w:t>
            </w:r>
          </w:p>
        </w:tc>
      </w:tr>
      <w:tr>
        <w:tblPrEx>
          <w:tblCellMar>
            <w:top w:w="0" w:type="dxa"/>
            <w:left w:w="108" w:type="dxa"/>
            <w:bottom w:w="0" w:type="dxa"/>
            <w:right w:w="108" w:type="dxa"/>
          </w:tblCellMar>
        </w:tblPrEx>
        <w:trPr>
          <w:trHeight w:val="540"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2757" w:type="dxa"/>
            <w:tcBorders>
              <w:top w:val="single" w:color="auto" w:sz="4" w:space="0"/>
              <w:left w:val="nil"/>
              <w:bottom w:val="single" w:color="auto" w:sz="4" w:space="0"/>
              <w:right w:val="single" w:color="000000"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指标</w:t>
            </w:r>
          </w:p>
        </w:tc>
        <w:tc>
          <w:tcPr>
            <w:tcW w:w="1134"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指标权重</w:t>
            </w:r>
          </w:p>
        </w:tc>
        <w:tc>
          <w:tcPr>
            <w:tcW w:w="1149"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计量单位</w:t>
            </w:r>
          </w:p>
        </w:tc>
        <w:tc>
          <w:tcPr>
            <w:tcW w:w="1300" w:type="dxa"/>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指标性质</w:t>
            </w:r>
          </w:p>
        </w:tc>
        <w:tc>
          <w:tcPr>
            <w:tcW w:w="6481"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指标值</w:t>
            </w:r>
          </w:p>
        </w:tc>
      </w:tr>
      <w:tr>
        <w:tblPrEx>
          <w:tblCellMar>
            <w:top w:w="0" w:type="dxa"/>
            <w:left w:w="108" w:type="dxa"/>
            <w:bottom w:w="0" w:type="dxa"/>
            <w:right w:w="108" w:type="dxa"/>
          </w:tblCellMar>
        </w:tblPrEx>
        <w:trPr>
          <w:trHeight w:val="37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消防安全检查次数</w:t>
            </w:r>
          </w:p>
        </w:tc>
        <w:tc>
          <w:tcPr>
            <w:tcW w:w="1134"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10</w:t>
            </w:r>
          </w:p>
        </w:tc>
        <w:tc>
          <w:tcPr>
            <w:tcW w:w="1149"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次</w:t>
            </w:r>
          </w:p>
        </w:tc>
        <w:tc>
          <w:tcPr>
            <w:tcW w:w="1300" w:type="dxa"/>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54</w:t>
            </w:r>
          </w:p>
        </w:tc>
      </w:tr>
      <w:tr>
        <w:tblPrEx>
          <w:tblCellMar>
            <w:top w:w="0" w:type="dxa"/>
            <w:left w:w="108" w:type="dxa"/>
            <w:bottom w:w="0" w:type="dxa"/>
            <w:right w:w="108" w:type="dxa"/>
          </w:tblCellMar>
        </w:tblPrEx>
        <w:trPr>
          <w:trHeight w:val="423"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设备购置数量</w:t>
            </w:r>
          </w:p>
        </w:tc>
        <w:tc>
          <w:tcPr>
            <w:tcW w:w="1134"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10</w:t>
            </w:r>
          </w:p>
        </w:tc>
        <w:tc>
          <w:tcPr>
            <w:tcW w:w="1149"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件</w:t>
            </w:r>
          </w:p>
        </w:tc>
        <w:tc>
          <w:tcPr>
            <w:tcW w:w="1300" w:type="dxa"/>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500</w:t>
            </w:r>
          </w:p>
        </w:tc>
      </w:tr>
      <w:tr>
        <w:tblPrEx>
          <w:tblCellMar>
            <w:top w:w="0" w:type="dxa"/>
            <w:left w:w="108" w:type="dxa"/>
            <w:bottom w:w="0" w:type="dxa"/>
            <w:right w:w="108" w:type="dxa"/>
          </w:tblCellMar>
        </w:tblPrEx>
        <w:trPr>
          <w:trHeight w:val="239"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应急救援物资完好率</w:t>
            </w:r>
          </w:p>
        </w:tc>
        <w:tc>
          <w:tcPr>
            <w:tcW w:w="1134"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20</w:t>
            </w:r>
          </w:p>
        </w:tc>
        <w:tc>
          <w:tcPr>
            <w:tcW w:w="1149"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1300" w:type="dxa"/>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70</w:t>
            </w:r>
          </w:p>
        </w:tc>
      </w:tr>
      <w:tr>
        <w:tblPrEx>
          <w:tblCellMar>
            <w:top w:w="0" w:type="dxa"/>
            <w:left w:w="108" w:type="dxa"/>
            <w:bottom w:w="0" w:type="dxa"/>
            <w:right w:w="108" w:type="dxa"/>
          </w:tblCellMar>
        </w:tblPrEx>
        <w:trPr>
          <w:trHeight w:val="266"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设备验收合格率</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10</w:t>
            </w:r>
          </w:p>
        </w:tc>
        <w:tc>
          <w:tcPr>
            <w:tcW w:w="1149" w:type="dxa"/>
            <w:gridSpan w:val="2"/>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1300" w:type="dxa"/>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90</w:t>
            </w:r>
          </w:p>
        </w:tc>
      </w:tr>
      <w:tr>
        <w:tblPrEx>
          <w:tblCellMar>
            <w:top w:w="0" w:type="dxa"/>
            <w:left w:w="108" w:type="dxa"/>
            <w:bottom w:w="0" w:type="dxa"/>
            <w:right w:w="108" w:type="dxa"/>
          </w:tblCellMar>
        </w:tblPrEx>
        <w:trPr>
          <w:trHeight w:val="270" w:hRule="atLeast"/>
        </w:trPr>
        <w:tc>
          <w:tcPr>
            <w:tcW w:w="2220"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本地信访稳控率</w:t>
            </w:r>
          </w:p>
        </w:tc>
        <w:tc>
          <w:tcPr>
            <w:tcW w:w="1134"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20</w:t>
            </w:r>
          </w:p>
        </w:tc>
        <w:tc>
          <w:tcPr>
            <w:tcW w:w="1149"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1300" w:type="dxa"/>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97</w:t>
            </w:r>
          </w:p>
        </w:tc>
      </w:tr>
      <w:tr>
        <w:tblPrEx>
          <w:tblCellMar>
            <w:top w:w="0" w:type="dxa"/>
            <w:left w:w="108" w:type="dxa"/>
            <w:bottom w:w="0" w:type="dxa"/>
            <w:right w:w="108" w:type="dxa"/>
          </w:tblCellMar>
        </w:tblPrEx>
        <w:trPr>
          <w:trHeight w:val="235" w:hRule="atLeast"/>
        </w:trPr>
        <w:tc>
          <w:tcPr>
            <w:tcW w:w="2220" w:type="dxa"/>
            <w:vMerge w:val="continue"/>
            <w:tcBorders>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信访事项受理率、办结率</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10</w:t>
            </w:r>
          </w:p>
        </w:tc>
        <w:tc>
          <w:tcPr>
            <w:tcW w:w="1149" w:type="dxa"/>
            <w:gridSpan w:val="2"/>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1300" w:type="dxa"/>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100</w:t>
            </w:r>
          </w:p>
        </w:tc>
      </w:tr>
      <w:tr>
        <w:tblPrEx>
          <w:tblCellMar>
            <w:top w:w="0" w:type="dxa"/>
            <w:left w:w="108" w:type="dxa"/>
            <w:bottom w:w="0" w:type="dxa"/>
            <w:right w:w="108" w:type="dxa"/>
          </w:tblCellMar>
        </w:tblPrEx>
        <w:trPr>
          <w:trHeight w:val="411"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稳控人数</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10</w:t>
            </w:r>
          </w:p>
        </w:tc>
        <w:tc>
          <w:tcPr>
            <w:tcW w:w="1149" w:type="dxa"/>
            <w:gridSpan w:val="2"/>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人次</w:t>
            </w:r>
          </w:p>
        </w:tc>
        <w:tc>
          <w:tcPr>
            <w:tcW w:w="1300" w:type="dxa"/>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1500</w:t>
            </w:r>
          </w:p>
        </w:tc>
      </w:tr>
      <w:tr>
        <w:tblPrEx>
          <w:tblCellMar>
            <w:top w:w="0" w:type="dxa"/>
            <w:left w:w="108" w:type="dxa"/>
            <w:bottom w:w="0" w:type="dxa"/>
            <w:right w:w="108" w:type="dxa"/>
          </w:tblCellMar>
        </w:tblPrEx>
        <w:trPr>
          <w:trHeight w:val="735" w:hRule="atLeast"/>
        </w:trPr>
        <w:tc>
          <w:tcPr>
            <w:tcW w:w="15041" w:type="dxa"/>
            <w:gridSpan w:val="9"/>
            <w:tcBorders>
              <w:top w:val="nil"/>
              <w:left w:val="nil"/>
              <w:bottom w:val="nil"/>
              <w:right w:val="nil"/>
            </w:tcBorders>
            <w:shd w:val="clear" w:color="auto" w:fill="auto"/>
            <w:noWrap w:val="0"/>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CellMar>
            <w:top w:w="0" w:type="dxa"/>
            <w:left w:w="108" w:type="dxa"/>
            <w:bottom w:w="0" w:type="dxa"/>
            <w:right w:w="108" w:type="dxa"/>
          </w:tblCellMar>
        </w:tblPrEx>
        <w:trPr>
          <w:trHeight w:val="555" w:hRule="atLeast"/>
        </w:trPr>
        <w:tc>
          <w:tcPr>
            <w:tcW w:w="5340" w:type="dxa"/>
            <w:gridSpan w:val="3"/>
            <w:tcBorders>
              <w:top w:val="nil"/>
              <w:left w:val="nil"/>
              <w:bottom w:val="nil"/>
              <w:right w:val="nil"/>
            </w:tcBorders>
            <w:shd w:val="clear" w:color="auto" w:fill="auto"/>
            <w:noWrap w:val="0"/>
            <w:vAlign w:val="center"/>
          </w:tcPr>
          <w:p>
            <w:pPr>
              <w:widowControl/>
              <w:jc w:val="center"/>
              <w:rPr>
                <w:rFonts w:hint="eastAsia" w:ascii="宋体" w:hAnsi="宋体" w:eastAsia="方正仿宋_GBK" w:cs="宋体"/>
                <w:b/>
                <w:bCs/>
                <w:kern w:val="0"/>
                <w:sz w:val="36"/>
                <w:szCs w:val="36"/>
                <w:lang w:val="en-US" w:eastAsia="zh-CN"/>
              </w:rPr>
            </w:pPr>
            <w:r>
              <w:rPr>
                <w:rFonts w:hint="eastAsia" w:ascii="宋体" w:hAnsi="宋体" w:cs="宋体"/>
                <w:kern w:val="0"/>
                <w:sz w:val="20"/>
              </w:rPr>
              <w:t>编制单位：</w:t>
            </w:r>
            <w:r>
              <w:rPr>
                <w:rFonts w:hint="eastAsia" w:ascii="宋体" w:hAnsi="宋体" w:cs="宋体"/>
                <w:kern w:val="0"/>
                <w:sz w:val="20"/>
                <w:lang w:eastAsia="zh-CN"/>
              </w:rPr>
              <w:t>重庆市沙坪坝区人民政府土湾街道办事处</w:t>
            </w:r>
          </w:p>
        </w:tc>
        <w:tc>
          <w:tcPr>
            <w:tcW w:w="960"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1686"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shd w:val="clear" w:color="auto" w:fill="auto"/>
            <w:noWrap w:val="0"/>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CellMar>
            <w:top w:w="0" w:type="dxa"/>
            <w:left w:w="108" w:type="dxa"/>
            <w:bottom w:w="0" w:type="dxa"/>
            <w:right w:w="108" w:type="dxa"/>
          </w:tblCellMar>
        </w:tblPrEx>
        <w:trPr>
          <w:trHeight w:val="555" w:hRule="atLeast"/>
        </w:trPr>
        <w:tc>
          <w:tcPr>
            <w:tcW w:w="22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城区市政环卫管护　</w:t>
            </w:r>
          </w:p>
        </w:tc>
        <w:tc>
          <w:tcPr>
            <w:tcW w:w="168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业务主管部门</w:t>
            </w:r>
          </w:p>
        </w:tc>
        <w:tc>
          <w:tcPr>
            <w:tcW w:w="6095"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eastAsia="方正仿宋_GBK" w:cs="宋体"/>
                <w:kern w:val="0"/>
                <w:sz w:val="20"/>
                <w:lang w:val="en-US" w:eastAsia="zh-CN" w:bidi="ar-SA"/>
              </w:rPr>
            </w:pPr>
            <w:r>
              <w:rPr>
                <w:rFonts w:hint="eastAsia" w:ascii="宋体" w:hAnsi="宋体" w:cs="宋体"/>
                <w:kern w:val="0"/>
                <w:sz w:val="20"/>
              </w:rPr>
              <w:t>　重庆市沙坪坝区人民政府土湾街道办事处</w:t>
            </w:r>
          </w:p>
        </w:tc>
      </w:tr>
      <w:tr>
        <w:tblPrEx>
          <w:tblCellMar>
            <w:top w:w="0" w:type="dxa"/>
            <w:left w:w="108" w:type="dxa"/>
            <w:bottom w:w="0" w:type="dxa"/>
            <w:right w:w="108" w:type="dxa"/>
          </w:tblCellMar>
        </w:tblPrEx>
        <w:trPr>
          <w:trHeight w:val="555"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2024年预算</w:t>
            </w:r>
          </w:p>
        </w:tc>
        <w:tc>
          <w:tcPr>
            <w:tcW w:w="5040" w:type="dxa"/>
            <w:gridSpan w:val="5"/>
            <w:vMerge w:val="restart"/>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center"/>
              <w:rPr>
                <w:rFonts w:hint="default" w:ascii="宋体" w:hAnsi="宋体" w:eastAsia="方正仿宋_GBK" w:cs="宋体"/>
                <w:kern w:val="0"/>
                <w:sz w:val="20"/>
                <w:lang w:val="en-US" w:eastAsia="zh-CN" w:bidi="ar-SA"/>
              </w:rPr>
            </w:pPr>
            <w:r>
              <w:rPr>
                <w:rFonts w:hint="eastAsia" w:ascii="宋体" w:hAnsi="宋体" w:cs="宋体"/>
                <w:kern w:val="0"/>
                <w:sz w:val="20"/>
              </w:rPr>
              <w:t xml:space="preserve"> </w:t>
            </w:r>
            <w:r>
              <w:rPr>
                <w:rFonts w:hint="eastAsia" w:ascii="宋体" w:hAnsi="宋体" w:cs="宋体"/>
                <w:kern w:val="0"/>
                <w:sz w:val="20"/>
                <w:lang w:val="en-US" w:eastAsia="zh-CN"/>
              </w:rPr>
              <w:t>212.26</w:t>
            </w:r>
          </w:p>
          <w:p>
            <w:pPr>
              <w:widowControl/>
              <w:jc w:val="center"/>
              <w:rPr>
                <w:rFonts w:ascii="宋体" w:hAnsi="宋体" w:cs="宋体"/>
                <w:kern w:val="0"/>
                <w:sz w:val="20"/>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区级支出</w:t>
            </w:r>
          </w:p>
        </w:tc>
        <w:tc>
          <w:tcPr>
            <w:tcW w:w="6095" w:type="dxa"/>
            <w:tcBorders>
              <w:top w:val="nil"/>
              <w:left w:val="nil"/>
              <w:bottom w:val="single" w:color="auto" w:sz="4" w:space="0"/>
              <w:right w:val="single" w:color="auto" w:sz="4" w:space="0"/>
            </w:tcBorders>
            <w:shd w:val="clear" w:color="auto" w:fill="auto"/>
            <w:noWrap w:val="0"/>
            <w:vAlign w:val="center"/>
          </w:tcPr>
          <w:p>
            <w:pPr>
              <w:widowControl/>
              <w:jc w:val="left"/>
              <w:rPr>
                <w:rFonts w:hint="default" w:ascii="宋体" w:hAnsi="宋体" w:eastAsia="方正仿宋_GBK" w:cs="宋体"/>
                <w:kern w:val="0"/>
                <w:sz w:val="20"/>
                <w:lang w:val="en-US" w:eastAsia="zh-CN" w:bidi="ar-SA"/>
              </w:rPr>
            </w:pPr>
            <w:r>
              <w:rPr>
                <w:rFonts w:hint="eastAsia" w:ascii="宋体" w:hAnsi="宋体" w:cs="宋体"/>
                <w:kern w:val="0"/>
                <w:sz w:val="20"/>
                <w:lang w:val="en-US" w:eastAsia="zh-CN"/>
              </w:rPr>
              <w:t>212.26</w:t>
            </w:r>
          </w:p>
        </w:tc>
      </w:tr>
      <w:tr>
        <w:tblPrEx>
          <w:tblCellMar>
            <w:top w:w="0" w:type="dxa"/>
            <w:left w:w="108" w:type="dxa"/>
            <w:bottom w:w="0" w:type="dxa"/>
            <w:right w:w="108" w:type="dxa"/>
          </w:tblCellMar>
        </w:tblPrEx>
        <w:trPr>
          <w:trHeight w:val="55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5040" w:type="dxa"/>
            <w:gridSpan w:val="5"/>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ascii="宋体" w:hAnsi="宋体" w:eastAsia="方正仿宋_GBK" w:cs="宋体"/>
                <w:kern w:val="0"/>
                <w:sz w:val="20"/>
                <w:lang w:val="en-US" w:eastAsia="zh-CN" w:bidi="ar-SA"/>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补助街镇</w:t>
            </w:r>
          </w:p>
        </w:tc>
        <w:tc>
          <w:tcPr>
            <w:tcW w:w="609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方正仿宋_GBK" w:cs="宋体"/>
                <w:kern w:val="0"/>
                <w:sz w:val="20"/>
                <w:lang w:val="en-US" w:eastAsia="zh-CN" w:bidi="ar-SA"/>
              </w:rPr>
            </w:pPr>
            <w:r>
              <w:rPr>
                <w:rFonts w:hint="eastAsia" w:ascii="宋体" w:hAnsi="宋体" w:cs="宋体"/>
                <w:kern w:val="0"/>
                <w:sz w:val="20"/>
              </w:rPr>
              <w:t>　</w:t>
            </w:r>
          </w:p>
        </w:tc>
      </w:tr>
      <w:tr>
        <w:tblPrEx>
          <w:tblCellMar>
            <w:top w:w="0" w:type="dxa"/>
            <w:left w:w="108" w:type="dxa"/>
            <w:bottom w:w="0" w:type="dxa"/>
            <w:right w:w="108" w:type="dxa"/>
          </w:tblCellMar>
        </w:tblPrEx>
        <w:trPr>
          <w:trHeight w:val="1109"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土湾辖区精扫保洁454430平方米：市政车行道、人行道和路沿197694平方米；人行道绿化、社区公园、护坡和滩涂256736平方米。</w:t>
            </w:r>
          </w:p>
        </w:tc>
      </w:tr>
      <w:tr>
        <w:tblPrEx>
          <w:tblCellMar>
            <w:top w:w="0" w:type="dxa"/>
            <w:left w:w="108" w:type="dxa"/>
            <w:bottom w:w="0" w:type="dxa"/>
            <w:right w:w="108" w:type="dxa"/>
          </w:tblCellMar>
        </w:tblPrEx>
        <w:trPr>
          <w:trHeight w:val="1005"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根据重庆市沙坪坝区城市综合管理工作领导小组关于印发《2023年沙坪坝区城市综合管理工作考核方案》的通知；沙创卫办〔2023〕8号；渝办发[2010]285号；《重庆市市政工程设施及园林养护维修定额》（08定额）；《重庆市沙坪坝区环卫作业、市政和绿化养护费用测算报告》</w:t>
            </w:r>
          </w:p>
        </w:tc>
      </w:tr>
      <w:tr>
        <w:tblPrEx>
          <w:tblCellMar>
            <w:top w:w="0" w:type="dxa"/>
            <w:left w:w="108" w:type="dxa"/>
            <w:bottom w:w="0" w:type="dxa"/>
            <w:right w:w="108" w:type="dxa"/>
          </w:tblCellMar>
        </w:tblPrEx>
        <w:trPr>
          <w:trHeight w:val="1080"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做好辖区清洁卫生，达到城市日常环境卫生管理要求。按时发放工资，完成辖区植被修剪，及时消除枯枝更换绿植，确保绿化。保障公厕干净整洁，无异味，无设施损坏。提高市政设施、既有道路完好率，提高群众满意度。</w:t>
            </w:r>
          </w:p>
        </w:tc>
      </w:tr>
      <w:tr>
        <w:tblPrEx>
          <w:tblCellMar>
            <w:top w:w="0" w:type="dxa"/>
            <w:left w:w="108" w:type="dxa"/>
            <w:bottom w:w="0" w:type="dxa"/>
            <w:right w:w="108" w:type="dxa"/>
          </w:tblCellMar>
        </w:tblPrEx>
        <w:trPr>
          <w:trHeight w:val="540"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2757" w:type="dxa"/>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指标</w:t>
            </w:r>
          </w:p>
        </w:tc>
        <w:tc>
          <w:tcPr>
            <w:tcW w:w="1134"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指标权重</w:t>
            </w:r>
          </w:p>
        </w:tc>
        <w:tc>
          <w:tcPr>
            <w:tcW w:w="1149"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计量单位</w:t>
            </w:r>
          </w:p>
        </w:tc>
        <w:tc>
          <w:tcPr>
            <w:tcW w:w="13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指标性质</w:t>
            </w:r>
          </w:p>
        </w:tc>
        <w:tc>
          <w:tcPr>
            <w:tcW w:w="6481"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指标值</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日均保洁次数</w:t>
            </w:r>
          </w:p>
        </w:tc>
        <w:tc>
          <w:tcPr>
            <w:tcW w:w="1134"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30</w:t>
            </w:r>
          </w:p>
        </w:tc>
        <w:tc>
          <w:tcPr>
            <w:tcW w:w="1149"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次</w:t>
            </w:r>
          </w:p>
        </w:tc>
        <w:tc>
          <w:tcPr>
            <w:tcW w:w="1300" w:type="dxa"/>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3</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设施完好率</w:t>
            </w:r>
          </w:p>
        </w:tc>
        <w:tc>
          <w:tcPr>
            <w:tcW w:w="1134"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30</w:t>
            </w:r>
          </w:p>
        </w:tc>
        <w:tc>
          <w:tcPr>
            <w:tcW w:w="1149"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1300" w:type="dxa"/>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80</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保洁覆盖率</w:t>
            </w:r>
          </w:p>
        </w:tc>
        <w:tc>
          <w:tcPr>
            <w:tcW w:w="1134"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20</w:t>
            </w:r>
          </w:p>
        </w:tc>
        <w:tc>
          <w:tcPr>
            <w:tcW w:w="1149"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1300" w:type="dxa"/>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85</w:t>
            </w:r>
          </w:p>
        </w:tc>
      </w:tr>
      <w:tr>
        <w:tblPrEx>
          <w:tblCellMar>
            <w:top w:w="0" w:type="dxa"/>
            <w:left w:w="108" w:type="dxa"/>
            <w:bottom w:w="0" w:type="dxa"/>
            <w:right w:w="108" w:type="dxa"/>
          </w:tblCellMar>
        </w:tblPrEx>
        <w:trPr>
          <w:trHeight w:val="495"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群众满意率</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10</w:t>
            </w:r>
          </w:p>
        </w:tc>
        <w:tc>
          <w:tcPr>
            <w:tcW w:w="1149" w:type="dxa"/>
            <w:gridSpan w:val="2"/>
            <w:tcBorders>
              <w:top w:val="single" w:color="auto" w:sz="4" w:space="0"/>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1300" w:type="dxa"/>
            <w:tcBorders>
              <w:top w:val="single" w:color="auto" w:sz="4" w:space="0"/>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6481" w:type="dxa"/>
            <w:gridSpan w:val="2"/>
            <w:tcBorders>
              <w:top w:val="single" w:color="auto" w:sz="4" w:space="0"/>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85</w:t>
            </w:r>
          </w:p>
        </w:tc>
      </w:tr>
      <w:tr>
        <w:tblPrEx>
          <w:tblCellMar>
            <w:top w:w="0" w:type="dxa"/>
            <w:left w:w="108" w:type="dxa"/>
            <w:bottom w:w="0" w:type="dxa"/>
            <w:right w:w="108" w:type="dxa"/>
          </w:tblCellMar>
        </w:tblPrEx>
        <w:trPr>
          <w:trHeight w:val="735" w:hRule="atLeast"/>
        </w:trPr>
        <w:tc>
          <w:tcPr>
            <w:tcW w:w="15041" w:type="dxa"/>
            <w:gridSpan w:val="9"/>
            <w:tcBorders>
              <w:top w:val="nil"/>
              <w:left w:val="nil"/>
              <w:bottom w:val="nil"/>
              <w:right w:val="nil"/>
            </w:tcBorders>
            <w:shd w:val="clear" w:color="auto" w:fill="auto"/>
            <w:noWrap w:val="0"/>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CellMar>
            <w:top w:w="0" w:type="dxa"/>
            <w:left w:w="108" w:type="dxa"/>
            <w:bottom w:w="0" w:type="dxa"/>
            <w:right w:w="108" w:type="dxa"/>
          </w:tblCellMar>
        </w:tblPrEx>
        <w:trPr>
          <w:trHeight w:val="555" w:hRule="atLeast"/>
        </w:trPr>
        <w:tc>
          <w:tcPr>
            <w:tcW w:w="5340" w:type="dxa"/>
            <w:gridSpan w:val="3"/>
            <w:tcBorders>
              <w:top w:val="nil"/>
              <w:left w:val="nil"/>
              <w:bottom w:val="nil"/>
              <w:right w:val="nil"/>
            </w:tcBorders>
            <w:shd w:val="clear" w:color="auto" w:fill="auto"/>
            <w:noWrap w:val="0"/>
            <w:vAlign w:val="center"/>
          </w:tcPr>
          <w:p>
            <w:pPr>
              <w:widowControl/>
              <w:jc w:val="center"/>
              <w:rPr>
                <w:rFonts w:hint="eastAsia" w:ascii="宋体" w:hAnsi="宋体" w:eastAsia="方正仿宋_GBK" w:cs="宋体"/>
                <w:b/>
                <w:bCs/>
                <w:kern w:val="0"/>
                <w:sz w:val="36"/>
                <w:szCs w:val="36"/>
                <w:lang w:val="en-US" w:eastAsia="zh-CN"/>
              </w:rPr>
            </w:pPr>
            <w:r>
              <w:rPr>
                <w:rFonts w:hint="eastAsia" w:ascii="宋体" w:hAnsi="宋体" w:cs="宋体"/>
                <w:kern w:val="0"/>
                <w:sz w:val="20"/>
              </w:rPr>
              <w:t>编制单位：</w:t>
            </w:r>
            <w:r>
              <w:rPr>
                <w:rFonts w:hint="eastAsia" w:ascii="宋体" w:hAnsi="宋体" w:cs="宋体"/>
                <w:kern w:val="0"/>
                <w:sz w:val="20"/>
                <w:lang w:eastAsia="zh-CN"/>
              </w:rPr>
              <w:t>重庆市沙坪坝区人民政府土湾街道办事处</w:t>
            </w:r>
          </w:p>
        </w:tc>
        <w:tc>
          <w:tcPr>
            <w:tcW w:w="960"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1686"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shd w:val="clear" w:color="auto" w:fill="auto"/>
            <w:noWrap w:val="0"/>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CellMar>
            <w:top w:w="0" w:type="dxa"/>
            <w:left w:w="108" w:type="dxa"/>
            <w:bottom w:w="0" w:type="dxa"/>
            <w:right w:w="108" w:type="dxa"/>
          </w:tblCellMar>
        </w:tblPrEx>
        <w:trPr>
          <w:trHeight w:val="555" w:hRule="atLeast"/>
        </w:trPr>
        <w:tc>
          <w:tcPr>
            <w:tcW w:w="22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社区建设　</w:t>
            </w:r>
          </w:p>
        </w:tc>
        <w:tc>
          <w:tcPr>
            <w:tcW w:w="168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业务主管部门</w:t>
            </w:r>
          </w:p>
        </w:tc>
        <w:tc>
          <w:tcPr>
            <w:tcW w:w="60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r>
              <w:rPr>
                <w:rFonts w:hint="eastAsia" w:ascii="宋体" w:hAnsi="宋体" w:cs="宋体"/>
                <w:kern w:val="0"/>
                <w:sz w:val="20"/>
                <w:szCs w:val="24"/>
              </w:rPr>
              <w:t>　重庆市沙坪坝区人民政府土湾街道办事处</w:t>
            </w:r>
          </w:p>
        </w:tc>
      </w:tr>
      <w:tr>
        <w:tblPrEx>
          <w:tblCellMar>
            <w:top w:w="0" w:type="dxa"/>
            <w:left w:w="108" w:type="dxa"/>
            <w:bottom w:w="0" w:type="dxa"/>
            <w:right w:w="108" w:type="dxa"/>
          </w:tblCellMar>
        </w:tblPrEx>
        <w:trPr>
          <w:trHeight w:val="555"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2024年预算</w:t>
            </w:r>
          </w:p>
        </w:tc>
        <w:tc>
          <w:tcPr>
            <w:tcW w:w="5040" w:type="dxa"/>
            <w:gridSpan w:val="5"/>
            <w:vMerge w:val="restart"/>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 xml:space="preserve">2.34 </w:t>
            </w:r>
          </w:p>
          <w:p>
            <w:pPr>
              <w:widowControl/>
              <w:jc w:val="center"/>
              <w:rPr>
                <w:rFonts w:ascii="宋体" w:hAnsi="宋体" w:cs="宋体"/>
                <w:kern w:val="0"/>
                <w:sz w:val="20"/>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区级支出</w:t>
            </w:r>
          </w:p>
        </w:tc>
        <w:tc>
          <w:tcPr>
            <w:tcW w:w="6095" w:type="dxa"/>
            <w:tcBorders>
              <w:top w:val="nil"/>
              <w:left w:val="nil"/>
              <w:bottom w:val="single" w:color="auto" w:sz="4" w:space="0"/>
              <w:right w:val="single" w:color="auto"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r>
              <w:rPr>
                <w:rFonts w:hint="eastAsia" w:ascii="宋体" w:hAnsi="宋体" w:cs="宋体"/>
                <w:kern w:val="0"/>
                <w:sz w:val="20"/>
                <w:szCs w:val="24"/>
              </w:rPr>
              <w:t>2.34</w:t>
            </w:r>
          </w:p>
        </w:tc>
      </w:tr>
      <w:tr>
        <w:tblPrEx>
          <w:tblCellMar>
            <w:top w:w="0" w:type="dxa"/>
            <w:left w:w="108" w:type="dxa"/>
            <w:bottom w:w="0" w:type="dxa"/>
            <w:right w:w="108" w:type="dxa"/>
          </w:tblCellMar>
        </w:tblPrEx>
        <w:trPr>
          <w:trHeight w:val="55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5040" w:type="dxa"/>
            <w:gridSpan w:val="5"/>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补助街镇</w:t>
            </w:r>
          </w:p>
        </w:tc>
        <w:tc>
          <w:tcPr>
            <w:tcW w:w="6095" w:type="dxa"/>
            <w:tcBorders>
              <w:top w:val="nil"/>
              <w:left w:val="nil"/>
              <w:bottom w:val="single" w:color="auto" w:sz="4" w:space="0"/>
              <w:right w:val="single" w:color="auto" w:sz="4" w:space="0"/>
            </w:tcBorders>
            <w:shd w:val="clear" w:color="auto" w:fill="auto"/>
            <w:noWrap w:val="0"/>
            <w:vAlign w:val="center"/>
          </w:tcPr>
          <w:p>
            <w:pPr>
              <w:widowControl/>
              <w:spacing w:beforeLines="0" w:afterLines="0"/>
              <w:jc w:val="left"/>
              <w:rPr>
                <w:rFonts w:hint="eastAsia" w:ascii="宋体" w:hAnsi="宋体" w:eastAsia="宋体" w:cs="宋体"/>
                <w:kern w:val="0"/>
                <w:sz w:val="20"/>
                <w:szCs w:val="24"/>
                <w:lang w:val="en-US" w:eastAsia="zh-CN" w:bidi="ar-SA"/>
              </w:rPr>
            </w:pPr>
            <w:r>
              <w:rPr>
                <w:rFonts w:hint="eastAsia" w:ascii="宋体" w:hAnsi="宋体" w:cs="宋体"/>
                <w:kern w:val="0"/>
                <w:sz w:val="20"/>
                <w:szCs w:val="24"/>
              </w:rPr>
              <w:t>　</w:t>
            </w:r>
          </w:p>
        </w:tc>
      </w:tr>
      <w:tr>
        <w:tblPrEx>
          <w:tblCellMar>
            <w:top w:w="0" w:type="dxa"/>
            <w:left w:w="108" w:type="dxa"/>
            <w:bottom w:w="0" w:type="dxa"/>
            <w:right w:w="108" w:type="dxa"/>
          </w:tblCellMar>
        </w:tblPrEx>
        <w:trPr>
          <w:trHeight w:val="1109"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center"/>
          </w:tcPr>
          <w:p>
            <w:pPr>
              <w:widowControl/>
              <w:tabs>
                <w:tab w:val="center" w:pos="6399"/>
                <w:tab w:val="left" w:pos="9165"/>
              </w:tabs>
              <w:spacing w:beforeLines="0" w:afterLines="0"/>
              <w:jc w:val="left"/>
              <w:rPr>
                <w:rFonts w:hint="eastAsia" w:ascii="方正仿宋_GBK" w:hAnsi="方正仿宋_GBK" w:eastAsia="方正仿宋_GBK" w:cs="方正仿宋_GBK"/>
                <w:kern w:val="0"/>
                <w:sz w:val="20"/>
                <w:szCs w:val="24"/>
                <w:lang w:val="en-US" w:eastAsia="zh-CN" w:bidi="ar-SA"/>
              </w:rPr>
            </w:pPr>
            <w:r>
              <w:rPr>
                <w:rFonts w:hint="eastAsia" w:ascii="方正仿宋_GBK" w:hAnsi="方正仿宋_GBK" w:cs="方正仿宋_GBK"/>
                <w:kern w:val="0"/>
                <w:sz w:val="20"/>
                <w:szCs w:val="24"/>
              </w:rPr>
              <w:t>推进党建扎桩、治理结网系统工程；对社区计算机进行维修或升级；对社区零星办公用房进行维护；聘请专家对社区工作者进行培训；对困难民政对象进行临时帮扶或救助；关爱未成年人。</w:t>
            </w:r>
          </w:p>
        </w:tc>
      </w:tr>
      <w:tr>
        <w:tblPrEx>
          <w:tblCellMar>
            <w:top w:w="0" w:type="dxa"/>
            <w:left w:w="108" w:type="dxa"/>
            <w:bottom w:w="0" w:type="dxa"/>
            <w:right w:w="108" w:type="dxa"/>
          </w:tblCellMar>
        </w:tblPrEx>
        <w:trPr>
          <w:trHeight w:val="1005"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center"/>
          </w:tcPr>
          <w:p>
            <w:pPr>
              <w:widowControl/>
              <w:spacing w:beforeLines="0" w:afterLines="0"/>
              <w:jc w:val="center"/>
              <w:rPr>
                <w:rFonts w:hint="eastAsia" w:ascii="方正仿宋_GBK" w:hAnsi="方正仿宋_GBK" w:eastAsia="方正仿宋_GBK" w:cs="方正仿宋_GBK"/>
                <w:kern w:val="0"/>
                <w:sz w:val="20"/>
                <w:szCs w:val="24"/>
                <w:lang w:val="en-US" w:eastAsia="zh-CN" w:bidi="ar-SA"/>
              </w:rPr>
            </w:pPr>
            <w:r>
              <w:rPr>
                <w:rFonts w:hint="eastAsia" w:ascii="方正仿宋_GBK" w:hAnsi="方正仿宋_GBK" w:cs="方正仿宋_GBK"/>
                <w:kern w:val="0"/>
                <w:sz w:val="20"/>
                <w:szCs w:val="24"/>
              </w:rPr>
              <w:t>沙创卫办〔2023〕12号关于印发《沙坪坝区2023-2024年国家卫生区现场评价任务分工表》的通知 沙委办〔2023〕50号关于印发《沙坪坝区“健康小区”建设工作方案》的通知；沙爱卫办〔2023〕15号关于开展病媒生物防制标准化小区试点建设工作的通知　</w:t>
            </w:r>
          </w:p>
        </w:tc>
      </w:tr>
      <w:tr>
        <w:tblPrEx>
          <w:tblCellMar>
            <w:top w:w="0" w:type="dxa"/>
            <w:left w:w="108" w:type="dxa"/>
            <w:bottom w:w="0" w:type="dxa"/>
            <w:right w:w="108" w:type="dxa"/>
          </w:tblCellMar>
        </w:tblPrEx>
        <w:trPr>
          <w:trHeight w:val="1080"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center"/>
          </w:tcPr>
          <w:p>
            <w:pPr>
              <w:widowControl/>
              <w:spacing w:beforeLines="0" w:afterLines="0"/>
              <w:jc w:val="center"/>
              <w:rPr>
                <w:rFonts w:hint="eastAsia" w:ascii="方正仿宋_GBK" w:hAnsi="方正仿宋_GBK" w:eastAsia="方正仿宋_GBK" w:cs="方正仿宋_GBK"/>
                <w:kern w:val="0"/>
                <w:sz w:val="20"/>
                <w:szCs w:val="24"/>
                <w:lang w:val="en-US" w:eastAsia="zh-CN" w:bidi="ar-SA"/>
              </w:rPr>
            </w:pPr>
            <w:r>
              <w:rPr>
                <w:rFonts w:hint="eastAsia" w:ascii="方正仿宋_GBK" w:hAnsi="方正仿宋_GBK" w:cs="方正仿宋_GBK"/>
                <w:kern w:val="0"/>
                <w:sz w:val="20"/>
                <w:szCs w:val="24"/>
              </w:rPr>
              <w:t>1.对社区零星社区办公用房维修，计算机维护，保证社区工作人员的办公；2.聘请专家对社区干部进行能力提升；3.协调辖区物业小区及业委会工作；4.开展居民协商活动推进基层社会治理建设；5.对特殊群体进行关怀看顾，保障民生，维护社会和谐。　</w:t>
            </w:r>
          </w:p>
        </w:tc>
      </w:tr>
      <w:tr>
        <w:tblPrEx>
          <w:tblCellMar>
            <w:top w:w="0" w:type="dxa"/>
            <w:left w:w="108" w:type="dxa"/>
            <w:bottom w:w="0" w:type="dxa"/>
            <w:right w:w="108" w:type="dxa"/>
          </w:tblCellMar>
        </w:tblPrEx>
        <w:trPr>
          <w:trHeight w:val="540"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2757" w:type="dxa"/>
            <w:tcBorders>
              <w:top w:val="single" w:color="auto" w:sz="4" w:space="0"/>
              <w:left w:val="nil"/>
              <w:bottom w:val="single" w:color="auto" w:sz="4" w:space="0"/>
              <w:right w:val="single" w:color="000000"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指标</w:t>
            </w:r>
          </w:p>
        </w:tc>
        <w:tc>
          <w:tcPr>
            <w:tcW w:w="1134"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指标权重</w:t>
            </w:r>
          </w:p>
        </w:tc>
        <w:tc>
          <w:tcPr>
            <w:tcW w:w="1149"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计量单位</w:t>
            </w:r>
          </w:p>
        </w:tc>
        <w:tc>
          <w:tcPr>
            <w:tcW w:w="1300" w:type="dxa"/>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指标性质</w:t>
            </w:r>
          </w:p>
        </w:tc>
        <w:tc>
          <w:tcPr>
            <w:tcW w:w="6481" w:type="dxa"/>
            <w:gridSpan w:val="2"/>
            <w:tcBorders>
              <w:top w:val="nil"/>
              <w:left w:val="nil"/>
              <w:bottom w:val="single" w:color="auto" w:sz="4" w:space="0"/>
              <w:right w:val="single" w:color="auto" w:sz="4" w:space="0"/>
            </w:tcBorders>
            <w:shd w:val="clear" w:color="auto" w:fill="auto"/>
            <w:noWrap w:val="0"/>
            <w:vAlign w:val="center"/>
          </w:tcPr>
          <w:p>
            <w:pPr>
              <w:widowControl/>
              <w:spacing w:beforeLines="0" w:afterLines="0"/>
              <w:jc w:val="center"/>
              <w:rPr>
                <w:rFonts w:hint="eastAsia" w:ascii="宋体" w:hAnsi="宋体" w:eastAsia="宋体" w:cs="宋体"/>
                <w:kern w:val="0"/>
                <w:sz w:val="20"/>
                <w:szCs w:val="24"/>
                <w:lang w:val="en-US" w:eastAsia="zh-CN" w:bidi="ar-SA"/>
              </w:rPr>
            </w:pPr>
            <w:r>
              <w:rPr>
                <w:rFonts w:hint="eastAsia" w:ascii="宋体" w:hAnsi="宋体" w:cs="宋体"/>
                <w:kern w:val="0"/>
                <w:sz w:val="20"/>
                <w:szCs w:val="24"/>
              </w:rPr>
              <w:t>指标值</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培训次数</w:t>
            </w:r>
          </w:p>
        </w:tc>
        <w:tc>
          <w:tcPr>
            <w:tcW w:w="1134"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30</w:t>
            </w:r>
          </w:p>
        </w:tc>
        <w:tc>
          <w:tcPr>
            <w:tcW w:w="1149"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次</w:t>
            </w:r>
          </w:p>
        </w:tc>
        <w:tc>
          <w:tcPr>
            <w:tcW w:w="1300" w:type="dxa"/>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2</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维修（改造）单位成本</w:t>
            </w:r>
          </w:p>
        </w:tc>
        <w:tc>
          <w:tcPr>
            <w:tcW w:w="1134"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30</w:t>
            </w:r>
          </w:p>
        </w:tc>
        <w:tc>
          <w:tcPr>
            <w:tcW w:w="1149"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元/平方米</w:t>
            </w:r>
          </w:p>
        </w:tc>
        <w:tc>
          <w:tcPr>
            <w:tcW w:w="1300" w:type="dxa"/>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120</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居民满意度</w:t>
            </w:r>
          </w:p>
        </w:tc>
        <w:tc>
          <w:tcPr>
            <w:tcW w:w="1134"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10</w:t>
            </w:r>
          </w:p>
        </w:tc>
        <w:tc>
          <w:tcPr>
            <w:tcW w:w="1149"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1300" w:type="dxa"/>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90</w:t>
            </w:r>
          </w:p>
        </w:tc>
      </w:tr>
      <w:tr>
        <w:tblPrEx>
          <w:tblCellMar>
            <w:top w:w="0" w:type="dxa"/>
            <w:left w:w="108" w:type="dxa"/>
            <w:bottom w:w="0" w:type="dxa"/>
            <w:right w:w="108" w:type="dxa"/>
          </w:tblCellMar>
        </w:tblPrEx>
        <w:trPr>
          <w:trHeight w:val="495"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维修面积</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20</w:t>
            </w:r>
          </w:p>
        </w:tc>
        <w:tc>
          <w:tcPr>
            <w:tcW w:w="1149" w:type="dxa"/>
            <w:gridSpan w:val="2"/>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平方米</w:t>
            </w:r>
          </w:p>
        </w:tc>
        <w:tc>
          <w:tcPr>
            <w:tcW w:w="1300" w:type="dxa"/>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w:t>
            </w:r>
          </w:p>
        </w:tc>
        <w:tc>
          <w:tcPr>
            <w:tcW w:w="6481" w:type="dxa"/>
            <w:gridSpan w:val="2"/>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cs="方正仿宋_GBK"/>
                <w:color w:val="000000"/>
                <w:sz w:val="20"/>
                <w:szCs w:val="20"/>
              </w:rPr>
              <w:t>200</w:t>
            </w:r>
          </w:p>
        </w:tc>
      </w:tr>
      <w:tr>
        <w:tblPrEx>
          <w:tblCellMar>
            <w:top w:w="0" w:type="dxa"/>
            <w:left w:w="108" w:type="dxa"/>
            <w:bottom w:w="0" w:type="dxa"/>
            <w:right w:w="108" w:type="dxa"/>
          </w:tblCellMar>
        </w:tblPrEx>
        <w:trPr>
          <w:trHeight w:val="735" w:hRule="atLeast"/>
        </w:trPr>
        <w:tc>
          <w:tcPr>
            <w:tcW w:w="15041" w:type="dxa"/>
            <w:gridSpan w:val="9"/>
            <w:tcBorders>
              <w:top w:val="nil"/>
              <w:left w:val="nil"/>
              <w:bottom w:val="nil"/>
              <w:right w:val="nil"/>
            </w:tcBorders>
            <w:shd w:val="clear" w:color="auto" w:fill="auto"/>
            <w:noWrap w:val="0"/>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CellMar>
            <w:top w:w="0" w:type="dxa"/>
            <w:left w:w="108" w:type="dxa"/>
            <w:bottom w:w="0" w:type="dxa"/>
            <w:right w:w="108" w:type="dxa"/>
          </w:tblCellMar>
        </w:tblPrEx>
        <w:trPr>
          <w:trHeight w:val="555" w:hRule="atLeast"/>
        </w:trPr>
        <w:tc>
          <w:tcPr>
            <w:tcW w:w="5340" w:type="dxa"/>
            <w:gridSpan w:val="3"/>
            <w:tcBorders>
              <w:top w:val="nil"/>
              <w:left w:val="nil"/>
              <w:bottom w:val="nil"/>
              <w:right w:val="nil"/>
            </w:tcBorders>
            <w:shd w:val="clear" w:color="auto" w:fill="auto"/>
            <w:noWrap w:val="0"/>
            <w:vAlign w:val="center"/>
          </w:tcPr>
          <w:p>
            <w:pPr>
              <w:widowControl/>
              <w:jc w:val="center"/>
              <w:rPr>
                <w:rFonts w:hint="eastAsia" w:ascii="宋体" w:hAnsi="宋体" w:eastAsia="方正仿宋_GBK" w:cs="宋体"/>
                <w:b/>
                <w:bCs/>
                <w:kern w:val="0"/>
                <w:sz w:val="36"/>
                <w:szCs w:val="36"/>
                <w:lang w:val="en-US" w:eastAsia="zh-CN"/>
              </w:rPr>
            </w:pPr>
            <w:r>
              <w:rPr>
                <w:rFonts w:hint="eastAsia" w:ascii="宋体" w:hAnsi="宋体" w:cs="宋体"/>
                <w:kern w:val="0"/>
                <w:sz w:val="20"/>
              </w:rPr>
              <w:t>编制单位：</w:t>
            </w:r>
            <w:r>
              <w:rPr>
                <w:rFonts w:hint="eastAsia" w:ascii="宋体" w:hAnsi="宋体" w:cs="宋体"/>
                <w:kern w:val="0"/>
                <w:sz w:val="20"/>
                <w:lang w:eastAsia="zh-CN"/>
              </w:rPr>
              <w:t>重庆市沙坪坝区人民政府土湾街道办事处</w:t>
            </w:r>
          </w:p>
        </w:tc>
        <w:tc>
          <w:tcPr>
            <w:tcW w:w="960"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1686"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shd w:val="clear" w:color="auto" w:fill="auto"/>
            <w:noWrap w:val="0"/>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CellMar>
            <w:top w:w="0" w:type="dxa"/>
            <w:left w:w="108" w:type="dxa"/>
            <w:bottom w:w="0" w:type="dxa"/>
            <w:right w:w="108" w:type="dxa"/>
          </w:tblCellMar>
        </w:tblPrEx>
        <w:trPr>
          <w:trHeight w:val="555" w:hRule="atLeast"/>
        </w:trPr>
        <w:tc>
          <w:tcPr>
            <w:tcW w:w="22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　卫生健康</w:t>
            </w:r>
          </w:p>
        </w:tc>
        <w:tc>
          <w:tcPr>
            <w:tcW w:w="168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业务主管部门</w:t>
            </w:r>
          </w:p>
        </w:tc>
        <w:tc>
          <w:tcPr>
            <w:tcW w:w="6095"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eastAsia="方正仿宋_GBK" w:cs="宋体"/>
                <w:kern w:val="0"/>
                <w:sz w:val="20"/>
                <w:lang w:val="en-US" w:eastAsia="zh-CN" w:bidi="ar-SA"/>
              </w:rPr>
            </w:pPr>
            <w:r>
              <w:rPr>
                <w:rFonts w:hint="eastAsia" w:ascii="宋体" w:hAnsi="宋体" w:cs="宋体"/>
                <w:kern w:val="0"/>
                <w:sz w:val="20"/>
              </w:rPr>
              <w:t>　　重庆市沙坪坝区人民政府土湾街道办事处</w:t>
            </w:r>
          </w:p>
        </w:tc>
      </w:tr>
      <w:tr>
        <w:tblPrEx>
          <w:tblCellMar>
            <w:top w:w="0" w:type="dxa"/>
            <w:left w:w="108" w:type="dxa"/>
            <w:bottom w:w="0" w:type="dxa"/>
            <w:right w:w="108" w:type="dxa"/>
          </w:tblCellMar>
        </w:tblPrEx>
        <w:trPr>
          <w:trHeight w:val="555"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2024年预算</w:t>
            </w:r>
          </w:p>
        </w:tc>
        <w:tc>
          <w:tcPr>
            <w:tcW w:w="5040" w:type="dxa"/>
            <w:gridSpan w:val="5"/>
            <w:vMerge w:val="restart"/>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center"/>
              <w:rPr>
                <w:rFonts w:hint="default" w:ascii="宋体" w:hAnsi="宋体" w:eastAsia="方正仿宋_GBK" w:cs="宋体"/>
                <w:kern w:val="0"/>
                <w:sz w:val="20"/>
                <w:lang w:val="en-US" w:eastAsia="zh-CN" w:bidi="ar-SA"/>
              </w:rPr>
            </w:pPr>
            <w:r>
              <w:rPr>
                <w:rFonts w:hint="eastAsia" w:ascii="宋体" w:hAnsi="宋体" w:cs="宋体"/>
                <w:kern w:val="0"/>
                <w:sz w:val="20"/>
              </w:rPr>
              <w:t xml:space="preserve"> </w:t>
            </w:r>
            <w:r>
              <w:rPr>
                <w:rFonts w:hint="eastAsia" w:ascii="宋体" w:hAnsi="宋体" w:cs="宋体"/>
                <w:kern w:val="0"/>
                <w:sz w:val="20"/>
                <w:lang w:val="en-US" w:eastAsia="zh-CN"/>
              </w:rPr>
              <w:t>2.2</w:t>
            </w:r>
          </w:p>
          <w:p>
            <w:pPr>
              <w:widowControl/>
              <w:jc w:val="center"/>
              <w:rPr>
                <w:rFonts w:ascii="宋体" w:hAnsi="宋体" w:cs="宋体"/>
                <w:kern w:val="0"/>
                <w:sz w:val="20"/>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区级支出</w:t>
            </w:r>
          </w:p>
        </w:tc>
        <w:tc>
          <w:tcPr>
            <w:tcW w:w="6095" w:type="dxa"/>
            <w:tcBorders>
              <w:top w:val="nil"/>
              <w:left w:val="nil"/>
              <w:bottom w:val="single" w:color="auto" w:sz="4" w:space="0"/>
              <w:right w:val="single" w:color="auto" w:sz="4" w:space="0"/>
            </w:tcBorders>
            <w:shd w:val="clear" w:color="auto" w:fill="auto"/>
            <w:noWrap w:val="0"/>
            <w:vAlign w:val="center"/>
          </w:tcPr>
          <w:p>
            <w:pPr>
              <w:widowControl/>
              <w:ind w:right="438" w:rightChars="137"/>
              <w:jc w:val="left"/>
              <w:rPr>
                <w:rFonts w:hint="default" w:ascii="宋体" w:hAnsi="宋体" w:eastAsia="方正仿宋_GBK" w:cs="宋体"/>
                <w:kern w:val="0"/>
                <w:sz w:val="20"/>
                <w:lang w:val="en-US" w:eastAsia="zh-CN" w:bidi="ar-SA"/>
              </w:rPr>
            </w:pPr>
            <w:r>
              <w:rPr>
                <w:rFonts w:hint="eastAsia" w:ascii="宋体" w:hAnsi="宋体" w:cs="宋体"/>
                <w:kern w:val="0"/>
                <w:sz w:val="20"/>
                <w:lang w:val="en-US" w:eastAsia="zh-CN"/>
              </w:rPr>
              <w:t>2.2</w:t>
            </w:r>
          </w:p>
        </w:tc>
      </w:tr>
      <w:tr>
        <w:tblPrEx>
          <w:tblCellMar>
            <w:top w:w="0" w:type="dxa"/>
            <w:left w:w="108" w:type="dxa"/>
            <w:bottom w:w="0" w:type="dxa"/>
            <w:right w:w="108" w:type="dxa"/>
          </w:tblCellMar>
        </w:tblPrEx>
        <w:trPr>
          <w:trHeight w:val="55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5040" w:type="dxa"/>
            <w:gridSpan w:val="5"/>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ascii="宋体" w:hAnsi="宋体" w:eastAsia="方正仿宋_GBK" w:cs="宋体"/>
                <w:kern w:val="0"/>
                <w:sz w:val="20"/>
                <w:lang w:val="en-US" w:eastAsia="zh-CN" w:bidi="ar-SA"/>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补助街镇</w:t>
            </w:r>
          </w:p>
        </w:tc>
        <w:tc>
          <w:tcPr>
            <w:tcW w:w="609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方正仿宋_GBK" w:cs="宋体"/>
                <w:kern w:val="0"/>
                <w:sz w:val="20"/>
                <w:lang w:val="en-US" w:eastAsia="zh-CN" w:bidi="ar-SA"/>
              </w:rPr>
            </w:pPr>
            <w:r>
              <w:rPr>
                <w:rFonts w:hint="eastAsia" w:ascii="宋体" w:hAnsi="宋体" w:cs="宋体"/>
                <w:kern w:val="0"/>
                <w:sz w:val="20"/>
              </w:rPr>
              <w:t>　</w:t>
            </w:r>
          </w:p>
        </w:tc>
      </w:tr>
      <w:tr>
        <w:tblPrEx>
          <w:tblCellMar>
            <w:top w:w="0" w:type="dxa"/>
            <w:left w:w="108" w:type="dxa"/>
            <w:bottom w:w="0" w:type="dxa"/>
            <w:right w:w="108" w:type="dxa"/>
          </w:tblCellMar>
        </w:tblPrEx>
        <w:trPr>
          <w:trHeight w:val="1109"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color w:val="000000"/>
                <w:sz w:val="20"/>
                <w:szCs w:val="20"/>
              </w:rPr>
              <w:t>开展健康区建设相关工作；推进辖区健康示范小区建设；开展各种卫生健康知识讲座、无偿献血及宣传活动；对辖区育龄妇女开展优生优育宣传指导与关爱；对计生特扶人员进行关爱；对残疾人进行关爱；对老年人进行健康服务。</w:t>
            </w:r>
          </w:p>
        </w:tc>
      </w:tr>
      <w:tr>
        <w:tblPrEx>
          <w:tblCellMar>
            <w:top w:w="0" w:type="dxa"/>
            <w:left w:w="108" w:type="dxa"/>
            <w:bottom w:w="0" w:type="dxa"/>
            <w:right w:w="108" w:type="dxa"/>
          </w:tblCellMar>
        </w:tblPrEx>
        <w:trPr>
          <w:trHeight w:val="1005"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color w:val="000000"/>
                <w:sz w:val="20"/>
                <w:szCs w:val="20"/>
              </w:rPr>
              <w:t>沙创卫办〔2023〕12号关于印发《沙坪坝区2023-2024年国家卫生区现场评价任务分工表》的通知 沙委办〔2023〕50号关于印发《沙坪坝区“健康小区”建设工作方案》的通知；沙爱卫办〔2023〕15号关于开展病媒生物防制标准化小区试点建设工作的通知；</w:t>
            </w:r>
          </w:p>
        </w:tc>
      </w:tr>
      <w:tr>
        <w:tblPrEx>
          <w:tblCellMar>
            <w:top w:w="0" w:type="dxa"/>
            <w:left w:w="108" w:type="dxa"/>
            <w:bottom w:w="0" w:type="dxa"/>
            <w:right w:w="108" w:type="dxa"/>
          </w:tblCellMar>
        </w:tblPrEx>
        <w:trPr>
          <w:trHeight w:val="1080"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color w:val="000000"/>
                <w:sz w:val="20"/>
                <w:szCs w:val="20"/>
              </w:rPr>
              <w:t>1.巩固国卫，开展爱国卫生各项活动10场次；2.举办卫生讲座4次；3.巩固国卫，建设健康小区，制作健康教育宣传专栏6期72个；4.开展无偿献血、看望生病住院计生特扶人员，维护社会稳定。</w:t>
            </w:r>
          </w:p>
        </w:tc>
      </w:tr>
      <w:tr>
        <w:tblPrEx>
          <w:tblCellMar>
            <w:top w:w="0" w:type="dxa"/>
            <w:left w:w="108" w:type="dxa"/>
            <w:bottom w:w="0" w:type="dxa"/>
            <w:right w:w="108" w:type="dxa"/>
          </w:tblCellMar>
        </w:tblPrEx>
        <w:trPr>
          <w:trHeight w:val="540"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2757" w:type="dxa"/>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指标</w:t>
            </w:r>
          </w:p>
        </w:tc>
        <w:tc>
          <w:tcPr>
            <w:tcW w:w="1134"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指标权重</w:t>
            </w:r>
          </w:p>
        </w:tc>
        <w:tc>
          <w:tcPr>
            <w:tcW w:w="1149"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计量单位</w:t>
            </w:r>
          </w:p>
        </w:tc>
        <w:tc>
          <w:tcPr>
            <w:tcW w:w="13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指标性质</w:t>
            </w:r>
          </w:p>
        </w:tc>
        <w:tc>
          <w:tcPr>
            <w:tcW w:w="6481"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指标值</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活动次数</w:t>
            </w:r>
          </w:p>
        </w:tc>
        <w:tc>
          <w:tcPr>
            <w:tcW w:w="1134"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30</w:t>
            </w:r>
          </w:p>
        </w:tc>
        <w:tc>
          <w:tcPr>
            <w:tcW w:w="1149"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次</w:t>
            </w:r>
          </w:p>
        </w:tc>
        <w:tc>
          <w:tcPr>
            <w:tcW w:w="1300" w:type="dxa"/>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4</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宣传覆盖率</w:t>
            </w:r>
          </w:p>
        </w:tc>
        <w:tc>
          <w:tcPr>
            <w:tcW w:w="1134"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20</w:t>
            </w:r>
          </w:p>
        </w:tc>
        <w:tc>
          <w:tcPr>
            <w:tcW w:w="1149"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1300" w:type="dxa"/>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85</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群众满意度</w:t>
            </w:r>
          </w:p>
        </w:tc>
        <w:tc>
          <w:tcPr>
            <w:tcW w:w="1134"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10</w:t>
            </w:r>
          </w:p>
        </w:tc>
        <w:tc>
          <w:tcPr>
            <w:tcW w:w="1149"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1300" w:type="dxa"/>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90</w:t>
            </w:r>
          </w:p>
        </w:tc>
      </w:tr>
      <w:tr>
        <w:tblPrEx>
          <w:tblCellMar>
            <w:top w:w="0" w:type="dxa"/>
            <w:left w:w="108" w:type="dxa"/>
            <w:bottom w:w="0" w:type="dxa"/>
            <w:right w:w="108" w:type="dxa"/>
          </w:tblCellMar>
        </w:tblPrEx>
        <w:trPr>
          <w:trHeight w:val="495"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活动人次</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30</w:t>
            </w:r>
          </w:p>
        </w:tc>
        <w:tc>
          <w:tcPr>
            <w:tcW w:w="1149" w:type="dxa"/>
            <w:gridSpan w:val="2"/>
            <w:tcBorders>
              <w:top w:val="single" w:color="auto" w:sz="4" w:space="0"/>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人次</w:t>
            </w:r>
          </w:p>
        </w:tc>
        <w:tc>
          <w:tcPr>
            <w:tcW w:w="1300" w:type="dxa"/>
            <w:tcBorders>
              <w:top w:val="single" w:color="auto" w:sz="4" w:space="0"/>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6481" w:type="dxa"/>
            <w:gridSpan w:val="2"/>
            <w:tcBorders>
              <w:top w:val="single" w:color="auto" w:sz="4" w:space="0"/>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180</w:t>
            </w:r>
          </w:p>
        </w:tc>
      </w:tr>
      <w:tr>
        <w:tblPrEx>
          <w:tblCellMar>
            <w:top w:w="0" w:type="dxa"/>
            <w:left w:w="108" w:type="dxa"/>
            <w:bottom w:w="0" w:type="dxa"/>
            <w:right w:w="108" w:type="dxa"/>
          </w:tblCellMar>
        </w:tblPrEx>
        <w:trPr>
          <w:trHeight w:val="735" w:hRule="atLeast"/>
        </w:trPr>
        <w:tc>
          <w:tcPr>
            <w:tcW w:w="15041" w:type="dxa"/>
            <w:gridSpan w:val="9"/>
            <w:tcBorders>
              <w:top w:val="nil"/>
              <w:left w:val="nil"/>
              <w:bottom w:val="nil"/>
              <w:right w:val="nil"/>
            </w:tcBorders>
            <w:shd w:val="clear" w:color="auto" w:fill="auto"/>
            <w:noWrap w:val="0"/>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CellMar>
            <w:top w:w="0" w:type="dxa"/>
            <w:left w:w="108" w:type="dxa"/>
            <w:bottom w:w="0" w:type="dxa"/>
            <w:right w:w="108" w:type="dxa"/>
          </w:tblCellMar>
        </w:tblPrEx>
        <w:trPr>
          <w:trHeight w:val="555" w:hRule="atLeast"/>
        </w:trPr>
        <w:tc>
          <w:tcPr>
            <w:tcW w:w="5340" w:type="dxa"/>
            <w:gridSpan w:val="3"/>
            <w:tcBorders>
              <w:top w:val="nil"/>
              <w:left w:val="nil"/>
              <w:bottom w:val="nil"/>
              <w:right w:val="nil"/>
            </w:tcBorders>
            <w:shd w:val="clear" w:color="auto" w:fill="auto"/>
            <w:noWrap w:val="0"/>
            <w:vAlign w:val="center"/>
          </w:tcPr>
          <w:p>
            <w:pPr>
              <w:widowControl/>
              <w:jc w:val="center"/>
              <w:rPr>
                <w:rFonts w:hint="eastAsia" w:ascii="宋体" w:hAnsi="宋体" w:eastAsia="方正仿宋_GBK" w:cs="宋体"/>
                <w:b/>
                <w:bCs/>
                <w:kern w:val="0"/>
                <w:sz w:val="36"/>
                <w:szCs w:val="36"/>
                <w:lang w:val="en-US" w:eastAsia="zh-CN"/>
              </w:rPr>
            </w:pPr>
            <w:r>
              <w:rPr>
                <w:rFonts w:hint="eastAsia" w:ascii="宋体" w:hAnsi="宋体" w:cs="宋体"/>
                <w:kern w:val="0"/>
                <w:sz w:val="20"/>
              </w:rPr>
              <w:t>编制单位：</w:t>
            </w:r>
            <w:r>
              <w:rPr>
                <w:rFonts w:hint="eastAsia" w:ascii="宋体" w:hAnsi="宋体" w:cs="宋体"/>
                <w:kern w:val="0"/>
                <w:sz w:val="20"/>
                <w:lang w:eastAsia="zh-CN"/>
              </w:rPr>
              <w:t>重庆市沙坪坝区人民政府土湾街道办事处</w:t>
            </w:r>
          </w:p>
        </w:tc>
        <w:tc>
          <w:tcPr>
            <w:tcW w:w="960"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1686"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shd w:val="clear" w:color="auto" w:fill="auto"/>
            <w:noWrap w:val="0"/>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CellMar>
            <w:top w:w="0" w:type="dxa"/>
            <w:left w:w="108" w:type="dxa"/>
            <w:bottom w:w="0" w:type="dxa"/>
            <w:right w:w="108" w:type="dxa"/>
          </w:tblCellMar>
        </w:tblPrEx>
        <w:trPr>
          <w:trHeight w:val="555" w:hRule="atLeast"/>
        </w:trPr>
        <w:tc>
          <w:tcPr>
            <w:tcW w:w="22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一般性项目（运行成本类）　</w:t>
            </w:r>
          </w:p>
        </w:tc>
        <w:tc>
          <w:tcPr>
            <w:tcW w:w="168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业务主管部门</w:t>
            </w:r>
          </w:p>
        </w:tc>
        <w:tc>
          <w:tcPr>
            <w:tcW w:w="6095"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eastAsia="方正仿宋_GBK" w:cs="宋体"/>
                <w:kern w:val="0"/>
                <w:sz w:val="20"/>
                <w:lang w:val="en-US" w:eastAsia="zh-CN" w:bidi="ar-SA"/>
              </w:rPr>
            </w:pPr>
            <w:r>
              <w:rPr>
                <w:rFonts w:hint="eastAsia" w:ascii="宋体" w:hAnsi="宋体" w:cs="宋体"/>
                <w:kern w:val="0"/>
                <w:sz w:val="20"/>
              </w:rPr>
              <w:t>　重庆市沙坪坝区人民政府土湾街道办事处</w:t>
            </w:r>
          </w:p>
        </w:tc>
      </w:tr>
      <w:tr>
        <w:tblPrEx>
          <w:tblCellMar>
            <w:top w:w="0" w:type="dxa"/>
            <w:left w:w="108" w:type="dxa"/>
            <w:bottom w:w="0" w:type="dxa"/>
            <w:right w:w="108" w:type="dxa"/>
          </w:tblCellMar>
        </w:tblPrEx>
        <w:trPr>
          <w:trHeight w:val="555"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2024年预算</w:t>
            </w:r>
          </w:p>
        </w:tc>
        <w:tc>
          <w:tcPr>
            <w:tcW w:w="5040" w:type="dxa"/>
            <w:gridSpan w:val="5"/>
            <w:vMerge w:val="restart"/>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lang w:val="en-US" w:eastAsia="zh-CN"/>
              </w:rPr>
              <w:t>58</w:t>
            </w:r>
            <w:r>
              <w:rPr>
                <w:rFonts w:hint="eastAsia" w:ascii="宋体" w:hAnsi="宋体" w:cs="宋体"/>
                <w:kern w:val="0"/>
                <w:sz w:val="20"/>
              </w:rPr>
              <w:t xml:space="preserve"> </w:t>
            </w:r>
          </w:p>
          <w:p>
            <w:pPr>
              <w:widowControl/>
              <w:jc w:val="center"/>
              <w:rPr>
                <w:rFonts w:ascii="宋体" w:hAnsi="宋体" w:cs="宋体"/>
                <w:kern w:val="0"/>
                <w:sz w:val="20"/>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区级支出</w:t>
            </w:r>
          </w:p>
        </w:tc>
        <w:tc>
          <w:tcPr>
            <w:tcW w:w="6095" w:type="dxa"/>
            <w:tcBorders>
              <w:top w:val="nil"/>
              <w:left w:val="nil"/>
              <w:bottom w:val="single" w:color="auto" w:sz="4" w:space="0"/>
              <w:right w:val="single" w:color="auto" w:sz="4" w:space="0"/>
            </w:tcBorders>
            <w:shd w:val="clear" w:color="auto" w:fill="auto"/>
            <w:noWrap w:val="0"/>
            <w:vAlign w:val="center"/>
          </w:tcPr>
          <w:p>
            <w:pPr>
              <w:widowControl/>
              <w:jc w:val="left"/>
              <w:rPr>
                <w:rFonts w:hint="default" w:ascii="宋体" w:hAnsi="宋体" w:eastAsia="方正仿宋_GBK" w:cs="宋体"/>
                <w:kern w:val="0"/>
                <w:sz w:val="20"/>
                <w:lang w:val="en-US" w:eastAsia="zh-CN" w:bidi="ar-SA"/>
              </w:rPr>
            </w:pPr>
            <w:r>
              <w:rPr>
                <w:rFonts w:hint="eastAsia" w:ascii="宋体" w:hAnsi="宋体" w:cs="宋体"/>
                <w:kern w:val="0"/>
                <w:sz w:val="20"/>
                <w:lang w:val="en-US" w:eastAsia="zh-CN"/>
              </w:rPr>
              <w:t>58</w:t>
            </w:r>
          </w:p>
        </w:tc>
      </w:tr>
      <w:tr>
        <w:tblPrEx>
          <w:tblCellMar>
            <w:top w:w="0" w:type="dxa"/>
            <w:left w:w="108" w:type="dxa"/>
            <w:bottom w:w="0" w:type="dxa"/>
            <w:right w:w="108" w:type="dxa"/>
          </w:tblCellMar>
        </w:tblPrEx>
        <w:trPr>
          <w:trHeight w:val="55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5040" w:type="dxa"/>
            <w:gridSpan w:val="5"/>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ascii="宋体" w:hAnsi="宋体" w:eastAsia="方正仿宋_GBK" w:cs="宋体"/>
                <w:kern w:val="0"/>
                <w:sz w:val="20"/>
                <w:lang w:val="en-US" w:eastAsia="zh-CN" w:bidi="ar-SA"/>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补助街镇</w:t>
            </w:r>
          </w:p>
        </w:tc>
        <w:tc>
          <w:tcPr>
            <w:tcW w:w="609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方正仿宋_GBK" w:cs="宋体"/>
                <w:kern w:val="0"/>
                <w:sz w:val="20"/>
                <w:lang w:val="en-US" w:eastAsia="zh-CN" w:bidi="ar-SA"/>
              </w:rPr>
            </w:pPr>
            <w:r>
              <w:rPr>
                <w:rFonts w:hint="eastAsia" w:ascii="宋体" w:hAnsi="宋体" w:cs="宋体"/>
                <w:kern w:val="0"/>
                <w:sz w:val="20"/>
              </w:rPr>
              <w:t>　</w:t>
            </w:r>
          </w:p>
        </w:tc>
      </w:tr>
      <w:tr>
        <w:tblPrEx>
          <w:tblCellMar>
            <w:top w:w="0" w:type="dxa"/>
            <w:left w:w="108" w:type="dxa"/>
            <w:bottom w:w="0" w:type="dxa"/>
            <w:right w:w="108" w:type="dxa"/>
          </w:tblCellMar>
        </w:tblPrEx>
        <w:trPr>
          <w:trHeight w:val="1109"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color w:val="000000"/>
                <w:sz w:val="20"/>
                <w:szCs w:val="20"/>
              </w:rPr>
              <w:t>反映用水、电、邮寄、通讯、网络、信息化软件运维、物管、租电动车打印机等单位运行费用</w:t>
            </w:r>
          </w:p>
        </w:tc>
      </w:tr>
      <w:tr>
        <w:tblPrEx>
          <w:tblCellMar>
            <w:top w:w="0" w:type="dxa"/>
            <w:left w:w="108" w:type="dxa"/>
            <w:bottom w:w="0" w:type="dxa"/>
            <w:right w:w="108" w:type="dxa"/>
          </w:tblCellMar>
        </w:tblPrEx>
        <w:trPr>
          <w:trHeight w:val="1005"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color w:val="000000"/>
                <w:sz w:val="20"/>
                <w:szCs w:val="20"/>
              </w:rPr>
              <w:t>《重庆市沙坪坝区财政局关于2024年沙坪坝区预算编制政策及口径说明的通知》（沙财政发[2023]145 号）</w:t>
            </w:r>
          </w:p>
        </w:tc>
      </w:tr>
      <w:tr>
        <w:tblPrEx>
          <w:tblCellMar>
            <w:top w:w="0" w:type="dxa"/>
            <w:left w:w="108" w:type="dxa"/>
            <w:bottom w:w="0" w:type="dxa"/>
            <w:right w:w="108" w:type="dxa"/>
          </w:tblCellMar>
        </w:tblPrEx>
        <w:trPr>
          <w:trHeight w:val="1080"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color w:val="000000"/>
                <w:sz w:val="20"/>
                <w:szCs w:val="20"/>
              </w:rPr>
              <w:t>保证机关正常运转</w:t>
            </w:r>
          </w:p>
        </w:tc>
      </w:tr>
      <w:tr>
        <w:tblPrEx>
          <w:tblCellMar>
            <w:top w:w="0" w:type="dxa"/>
            <w:left w:w="108" w:type="dxa"/>
            <w:bottom w:w="0" w:type="dxa"/>
            <w:right w:w="108" w:type="dxa"/>
          </w:tblCellMar>
        </w:tblPrEx>
        <w:trPr>
          <w:trHeight w:val="540"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2757" w:type="dxa"/>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指标</w:t>
            </w:r>
          </w:p>
        </w:tc>
        <w:tc>
          <w:tcPr>
            <w:tcW w:w="1134"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指标权重</w:t>
            </w:r>
          </w:p>
        </w:tc>
        <w:tc>
          <w:tcPr>
            <w:tcW w:w="1149"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计量单位</w:t>
            </w:r>
          </w:p>
        </w:tc>
        <w:tc>
          <w:tcPr>
            <w:tcW w:w="13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指标性质</w:t>
            </w:r>
          </w:p>
        </w:tc>
        <w:tc>
          <w:tcPr>
            <w:tcW w:w="6481"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指标值</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缴纳水电费</w:t>
            </w:r>
          </w:p>
        </w:tc>
        <w:tc>
          <w:tcPr>
            <w:tcW w:w="1134"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30</w:t>
            </w:r>
          </w:p>
        </w:tc>
        <w:tc>
          <w:tcPr>
            <w:tcW w:w="1149"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次</w:t>
            </w:r>
          </w:p>
        </w:tc>
        <w:tc>
          <w:tcPr>
            <w:tcW w:w="1300" w:type="dxa"/>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12</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缴纳物业费</w:t>
            </w:r>
          </w:p>
        </w:tc>
        <w:tc>
          <w:tcPr>
            <w:tcW w:w="1134"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30</w:t>
            </w:r>
          </w:p>
        </w:tc>
        <w:tc>
          <w:tcPr>
            <w:tcW w:w="1149"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次</w:t>
            </w:r>
          </w:p>
        </w:tc>
        <w:tc>
          <w:tcPr>
            <w:tcW w:w="1300" w:type="dxa"/>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4</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满意率</w:t>
            </w:r>
          </w:p>
        </w:tc>
        <w:tc>
          <w:tcPr>
            <w:tcW w:w="1134"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10</w:t>
            </w:r>
          </w:p>
        </w:tc>
        <w:tc>
          <w:tcPr>
            <w:tcW w:w="1149"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1300" w:type="dxa"/>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85</w:t>
            </w:r>
          </w:p>
        </w:tc>
      </w:tr>
      <w:tr>
        <w:tblPrEx>
          <w:tblCellMar>
            <w:top w:w="0" w:type="dxa"/>
            <w:left w:w="108" w:type="dxa"/>
            <w:bottom w:w="0" w:type="dxa"/>
            <w:right w:w="108" w:type="dxa"/>
          </w:tblCellMar>
        </w:tblPrEx>
        <w:trPr>
          <w:trHeight w:val="495"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机关运行情况</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20</w:t>
            </w:r>
          </w:p>
        </w:tc>
        <w:tc>
          <w:tcPr>
            <w:tcW w:w="1149" w:type="dxa"/>
            <w:gridSpan w:val="2"/>
            <w:tcBorders>
              <w:top w:val="single" w:color="auto" w:sz="4" w:space="0"/>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p>
        </w:tc>
        <w:tc>
          <w:tcPr>
            <w:tcW w:w="1300" w:type="dxa"/>
            <w:tcBorders>
              <w:top w:val="single" w:color="auto" w:sz="4" w:space="0"/>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定性</w:t>
            </w:r>
          </w:p>
        </w:tc>
        <w:tc>
          <w:tcPr>
            <w:tcW w:w="6481" w:type="dxa"/>
            <w:gridSpan w:val="2"/>
            <w:tcBorders>
              <w:top w:val="single" w:color="auto" w:sz="4" w:space="0"/>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p>
        </w:tc>
      </w:tr>
      <w:tr>
        <w:tblPrEx>
          <w:tblCellMar>
            <w:top w:w="0" w:type="dxa"/>
            <w:left w:w="108" w:type="dxa"/>
            <w:bottom w:w="0" w:type="dxa"/>
            <w:right w:w="108" w:type="dxa"/>
          </w:tblCellMar>
        </w:tblPrEx>
        <w:trPr>
          <w:trHeight w:val="735" w:hRule="atLeast"/>
        </w:trPr>
        <w:tc>
          <w:tcPr>
            <w:tcW w:w="15041" w:type="dxa"/>
            <w:gridSpan w:val="9"/>
            <w:tcBorders>
              <w:top w:val="nil"/>
              <w:left w:val="nil"/>
              <w:bottom w:val="nil"/>
              <w:right w:val="nil"/>
            </w:tcBorders>
            <w:shd w:val="clear" w:color="auto" w:fill="auto"/>
            <w:noWrap w:val="0"/>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CellMar>
            <w:top w:w="0" w:type="dxa"/>
            <w:left w:w="108" w:type="dxa"/>
            <w:bottom w:w="0" w:type="dxa"/>
            <w:right w:w="108" w:type="dxa"/>
          </w:tblCellMar>
        </w:tblPrEx>
        <w:trPr>
          <w:trHeight w:val="555" w:hRule="atLeast"/>
        </w:trPr>
        <w:tc>
          <w:tcPr>
            <w:tcW w:w="5340" w:type="dxa"/>
            <w:gridSpan w:val="3"/>
            <w:tcBorders>
              <w:top w:val="nil"/>
              <w:left w:val="nil"/>
              <w:bottom w:val="nil"/>
              <w:right w:val="nil"/>
            </w:tcBorders>
            <w:shd w:val="clear" w:color="auto" w:fill="auto"/>
            <w:noWrap w:val="0"/>
            <w:vAlign w:val="center"/>
          </w:tcPr>
          <w:p>
            <w:pPr>
              <w:widowControl/>
              <w:jc w:val="center"/>
              <w:rPr>
                <w:rFonts w:hint="eastAsia" w:ascii="宋体" w:hAnsi="宋体" w:eastAsia="方正仿宋_GBK" w:cs="宋体"/>
                <w:b/>
                <w:bCs/>
                <w:kern w:val="0"/>
                <w:sz w:val="36"/>
                <w:szCs w:val="36"/>
                <w:lang w:val="en-US" w:eastAsia="zh-CN"/>
              </w:rPr>
            </w:pPr>
            <w:r>
              <w:rPr>
                <w:rFonts w:hint="eastAsia" w:ascii="宋体" w:hAnsi="宋体" w:cs="宋体"/>
                <w:kern w:val="0"/>
                <w:sz w:val="20"/>
              </w:rPr>
              <w:t>编制单位：</w:t>
            </w:r>
            <w:r>
              <w:rPr>
                <w:rFonts w:hint="eastAsia" w:ascii="宋体" w:hAnsi="宋体" w:cs="宋体"/>
                <w:kern w:val="0"/>
                <w:sz w:val="20"/>
                <w:lang w:eastAsia="zh-CN"/>
              </w:rPr>
              <w:t>重庆市沙坪坝区人民政府土湾街道办事处</w:t>
            </w:r>
          </w:p>
        </w:tc>
        <w:tc>
          <w:tcPr>
            <w:tcW w:w="960"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1686"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shd w:val="clear" w:color="auto" w:fill="auto"/>
            <w:noWrap w:val="0"/>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CellMar>
            <w:top w:w="0" w:type="dxa"/>
            <w:left w:w="108" w:type="dxa"/>
            <w:bottom w:w="0" w:type="dxa"/>
            <w:right w:w="108" w:type="dxa"/>
          </w:tblCellMar>
        </w:tblPrEx>
        <w:trPr>
          <w:trHeight w:val="555" w:hRule="atLeast"/>
        </w:trPr>
        <w:tc>
          <w:tcPr>
            <w:tcW w:w="22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服务企业发展　</w:t>
            </w:r>
          </w:p>
        </w:tc>
        <w:tc>
          <w:tcPr>
            <w:tcW w:w="168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业务主管部门</w:t>
            </w:r>
          </w:p>
        </w:tc>
        <w:tc>
          <w:tcPr>
            <w:tcW w:w="6095"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eastAsia="方正仿宋_GBK" w:cs="宋体"/>
                <w:kern w:val="0"/>
                <w:sz w:val="20"/>
                <w:lang w:val="en-US" w:eastAsia="zh-CN" w:bidi="ar-SA"/>
              </w:rPr>
            </w:pPr>
            <w:r>
              <w:rPr>
                <w:rFonts w:hint="eastAsia" w:ascii="宋体" w:hAnsi="宋体" w:cs="宋体"/>
                <w:kern w:val="0"/>
                <w:sz w:val="20"/>
              </w:rPr>
              <w:t>　重庆市沙坪坝区人民政府土湾街道办事处</w:t>
            </w:r>
          </w:p>
        </w:tc>
      </w:tr>
      <w:tr>
        <w:tblPrEx>
          <w:tblCellMar>
            <w:top w:w="0" w:type="dxa"/>
            <w:left w:w="108" w:type="dxa"/>
            <w:bottom w:w="0" w:type="dxa"/>
            <w:right w:w="108" w:type="dxa"/>
          </w:tblCellMar>
        </w:tblPrEx>
        <w:trPr>
          <w:trHeight w:val="555"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2024年预算</w:t>
            </w:r>
          </w:p>
        </w:tc>
        <w:tc>
          <w:tcPr>
            <w:tcW w:w="5040" w:type="dxa"/>
            <w:gridSpan w:val="5"/>
            <w:vMerge w:val="restart"/>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lang w:val="en-US" w:eastAsia="zh-CN"/>
              </w:rPr>
              <w:t>0.64</w:t>
            </w:r>
            <w:r>
              <w:rPr>
                <w:rFonts w:hint="eastAsia" w:ascii="宋体" w:hAnsi="宋体" w:cs="宋体"/>
                <w:kern w:val="0"/>
                <w:sz w:val="20"/>
              </w:rPr>
              <w:t xml:space="preserve"> </w:t>
            </w:r>
          </w:p>
          <w:p>
            <w:pPr>
              <w:widowControl/>
              <w:jc w:val="center"/>
              <w:rPr>
                <w:rFonts w:ascii="宋体" w:hAnsi="宋体" w:cs="宋体"/>
                <w:kern w:val="0"/>
                <w:sz w:val="20"/>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区级支出</w:t>
            </w:r>
          </w:p>
        </w:tc>
        <w:tc>
          <w:tcPr>
            <w:tcW w:w="6095" w:type="dxa"/>
            <w:tcBorders>
              <w:top w:val="nil"/>
              <w:left w:val="nil"/>
              <w:bottom w:val="single" w:color="auto" w:sz="4" w:space="0"/>
              <w:right w:val="single" w:color="auto" w:sz="4" w:space="0"/>
            </w:tcBorders>
            <w:shd w:val="clear" w:color="auto" w:fill="auto"/>
            <w:noWrap w:val="0"/>
            <w:vAlign w:val="center"/>
          </w:tcPr>
          <w:p>
            <w:pPr>
              <w:widowControl/>
              <w:jc w:val="left"/>
              <w:rPr>
                <w:rFonts w:hint="default" w:ascii="宋体" w:hAnsi="宋体" w:eastAsia="方正仿宋_GBK" w:cs="宋体"/>
                <w:kern w:val="0"/>
                <w:sz w:val="20"/>
                <w:lang w:val="en-US" w:eastAsia="zh-CN" w:bidi="ar-SA"/>
              </w:rPr>
            </w:pPr>
            <w:r>
              <w:rPr>
                <w:rFonts w:hint="eastAsia" w:ascii="宋体" w:hAnsi="宋体" w:cs="宋体"/>
                <w:kern w:val="0"/>
                <w:sz w:val="20"/>
                <w:lang w:val="en-US" w:eastAsia="zh-CN"/>
              </w:rPr>
              <w:t>0.64</w:t>
            </w:r>
          </w:p>
        </w:tc>
      </w:tr>
      <w:tr>
        <w:tblPrEx>
          <w:tblCellMar>
            <w:top w:w="0" w:type="dxa"/>
            <w:left w:w="108" w:type="dxa"/>
            <w:bottom w:w="0" w:type="dxa"/>
            <w:right w:w="108" w:type="dxa"/>
          </w:tblCellMar>
        </w:tblPrEx>
        <w:trPr>
          <w:trHeight w:val="55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5040" w:type="dxa"/>
            <w:gridSpan w:val="5"/>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ascii="宋体" w:hAnsi="宋体" w:eastAsia="方正仿宋_GBK" w:cs="宋体"/>
                <w:kern w:val="0"/>
                <w:sz w:val="20"/>
                <w:lang w:val="en-US" w:eastAsia="zh-CN" w:bidi="ar-SA"/>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补助街镇</w:t>
            </w:r>
          </w:p>
        </w:tc>
        <w:tc>
          <w:tcPr>
            <w:tcW w:w="609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方正仿宋_GBK" w:cs="宋体"/>
                <w:kern w:val="0"/>
                <w:sz w:val="20"/>
                <w:lang w:val="en-US" w:eastAsia="zh-CN" w:bidi="ar-SA"/>
              </w:rPr>
            </w:pPr>
            <w:r>
              <w:rPr>
                <w:rFonts w:hint="eastAsia" w:ascii="宋体" w:hAnsi="宋体" w:cs="宋体"/>
                <w:kern w:val="0"/>
                <w:sz w:val="20"/>
              </w:rPr>
              <w:t>　</w:t>
            </w:r>
          </w:p>
        </w:tc>
      </w:tr>
      <w:tr>
        <w:tblPrEx>
          <w:tblCellMar>
            <w:top w:w="0" w:type="dxa"/>
            <w:left w:w="108" w:type="dxa"/>
            <w:bottom w:w="0" w:type="dxa"/>
            <w:right w:w="108" w:type="dxa"/>
          </w:tblCellMar>
        </w:tblPrEx>
        <w:trPr>
          <w:trHeight w:val="1109"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color w:val="000000"/>
                <w:sz w:val="20"/>
                <w:szCs w:val="20"/>
              </w:rPr>
              <w:t xml:space="preserve">按照区政府对街道经济社会发展预期任务考核的要求，现结合实际，重点加强和企业沟通交流、推进招商引资、帮助企业限上升规，培育科技型企业、加强城调记账户的业务指导、扎实做好食品安全包保工作。  </w:t>
            </w:r>
          </w:p>
        </w:tc>
      </w:tr>
      <w:tr>
        <w:tblPrEx>
          <w:tblCellMar>
            <w:top w:w="0" w:type="dxa"/>
            <w:left w:w="108" w:type="dxa"/>
            <w:bottom w:w="0" w:type="dxa"/>
            <w:right w:w="108" w:type="dxa"/>
          </w:tblCellMar>
        </w:tblPrEx>
        <w:trPr>
          <w:trHeight w:val="1005"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color w:val="000000"/>
                <w:sz w:val="20"/>
                <w:szCs w:val="20"/>
              </w:rPr>
              <w:t>《关于做好镇街和园区服务经济发展有关工作的通知》；《重庆市沙坪坝区招商引资领导小组关于印发沙坪坝区2023年镇街招商引税工作方案的通知》；《重庆市沙坪坝区科学技术局关于印发重庆市沙坪坝区支持科技型企业发展壮大十条举措》；《食品安全法》；沙招商发[2023]2号；沙府办发[2023]49号</w:t>
            </w:r>
          </w:p>
        </w:tc>
      </w:tr>
      <w:tr>
        <w:tblPrEx>
          <w:tblCellMar>
            <w:top w:w="0" w:type="dxa"/>
            <w:left w:w="108" w:type="dxa"/>
            <w:bottom w:w="0" w:type="dxa"/>
            <w:right w:w="108" w:type="dxa"/>
          </w:tblCellMar>
        </w:tblPrEx>
        <w:trPr>
          <w:trHeight w:val="1080"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color w:val="000000"/>
                <w:sz w:val="20"/>
                <w:szCs w:val="20"/>
              </w:rPr>
              <w:t>重点加强和企业沟通交流、推进招商引资、帮助企业限上升规，培育科技型企业、加强城调记账户的业务指导、扎实做好食品安全包保工作。每季度开展惠企政策宣讲会1次。开展企业走访、助推企业做大做强、发展商会会员活动至少2批。培育科技型企业至少10家，推荐入库高新技术企业至少1家。完成区级留存税收5万元。每季度包保督导工作完成率100%。</w:t>
            </w:r>
          </w:p>
        </w:tc>
      </w:tr>
      <w:tr>
        <w:tblPrEx>
          <w:tblCellMar>
            <w:top w:w="0" w:type="dxa"/>
            <w:left w:w="108" w:type="dxa"/>
            <w:bottom w:w="0" w:type="dxa"/>
            <w:right w:w="108" w:type="dxa"/>
          </w:tblCellMar>
        </w:tblPrEx>
        <w:trPr>
          <w:trHeight w:val="540"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2757" w:type="dxa"/>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指标</w:t>
            </w:r>
          </w:p>
        </w:tc>
        <w:tc>
          <w:tcPr>
            <w:tcW w:w="1134"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指标权重</w:t>
            </w:r>
          </w:p>
        </w:tc>
        <w:tc>
          <w:tcPr>
            <w:tcW w:w="1149"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计量单位</w:t>
            </w:r>
          </w:p>
        </w:tc>
        <w:tc>
          <w:tcPr>
            <w:tcW w:w="13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指标性质</w:t>
            </w:r>
          </w:p>
        </w:tc>
        <w:tc>
          <w:tcPr>
            <w:tcW w:w="6481"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指标值</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座谈次数</w:t>
            </w:r>
          </w:p>
        </w:tc>
        <w:tc>
          <w:tcPr>
            <w:tcW w:w="1134"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30</w:t>
            </w:r>
          </w:p>
        </w:tc>
        <w:tc>
          <w:tcPr>
            <w:tcW w:w="1149"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次</w:t>
            </w:r>
          </w:p>
        </w:tc>
        <w:tc>
          <w:tcPr>
            <w:tcW w:w="1300" w:type="dxa"/>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4</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宣传次数</w:t>
            </w:r>
          </w:p>
        </w:tc>
        <w:tc>
          <w:tcPr>
            <w:tcW w:w="1134"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30</w:t>
            </w:r>
          </w:p>
        </w:tc>
        <w:tc>
          <w:tcPr>
            <w:tcW w:w="1149"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次</w:t>
            </w:r>
          </w:p>
        </w:tc>
        <w:tc>
          <w:tcPr>
            <w:tcW w:w="1300" w:type="dxa"/>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4</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政策知晓率</w:t>
            </w:r>
          </w:p>
        </w:tc>
        <w:tc>
          <w:tcPr>
            <w:tcW w:w="1134"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20</w:t>
            </w:r>
          </w:p>
        </w:tc>
        <w:tc>
          <w:tcPr>
            <w:tcW w:w="1149"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1300" w:type="dxa"/>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90</w:t>
            </w:r>
          </w:p>
        </w:tc>
      </w:tr>
      <w:tr>
        <w:tblPrEx>
          <w:tblCellMar>
            <w:top w:w="0" w:type="dxa"/>
            <w:left w:w="108" w:type="dxa"/>
            <w:bottom w:w="0" w:type="dxa"/>
            <w:right w:w="108" w:type="dxa"/>
          </w:tblCellMar>
        </w:tblPrEx>
        <w:trPr>
          <w:trHeight w:val="495"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企业满意度</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10</w:t>
            </w:r>
          </w:p>
        </w:tc>
        <w:tc>
          <w:tcPr>
            <w:tcW w:w="1149" w:type="dxa"/>
            <w:gridSpan w:val="2"/>
            <w:tcBorders>
              <w:top w:val="single" w:color="auto" w:sz="4" w:space="0"/>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1300" w:type="dxa"/>
            <w:tcBorders>
              <w:top w:val="single" w:color="auto" w:sz="4" w:space="0"/>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6481" w:type="dxa"/>
            <w:gridSpan w:val="2"/>
            <w:tcBorders>
              <w:top w:val="single" w:color="auto" w:sz="4" w:space="0"/>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90</w:t>
            </w:r>
          </w:p>
        </w:tc>
      </w:tr>
      <w:tr>
        <w:tblPrEx>
          <w:tblCellMar>
            <w:top w:w="0" w:type="dxa"/>
            <w:left w:w="108" w:type="dxa"/>
            <w:bottom w:w="0" w:type="dxa"/>
            <w:right w:w="108" w:type="dxa"/>
          </w:tblCellMar>
        </w:tblPrEx>
        <w:trPr>
          <w:trHeight w:val="735" w:hRule="atLeast"/>
        </w:trPr>
        <w:tc>
          <w:tcPr>
            <w:tcW w:w="15041" w:type="dxa"/>
            <w:gridSpan w:val="9"/>
            <w:tcBorders>
              <w:top w:val="nil"/>
              <w:left w:val="nil"/>
              <w:bottom w:val="nil"/>
              <w:right w:val="nil"/>
            </w:tcBorders>
            <w:shd w:val="clear" w:color="auto" w:fill="auto"/>
            <w:noWrap w:val="0"/>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CellMar>
            <w:top w:w="0" w:type="dxa"/>
            <w:left w:w="108" w:type="dxa"/>
            <w:bottom w:w="0" w:type="dxa"/>
            <w:right w:w="108" w:type="dxa"/>
          </w:tblCellMar>
        </w:tblPrEx>
        <w:trPr>
          <w:trHeight w:val="555" w:hRule="atLeast"/>
        </w:trPr>
        <w:tc>
          <w:tcPr>
            <w:tcW w:w="5340" w:type="dxa"/>
            <w:gridSpan w:val="3"/>
            <w:tcBorders>
              <w:top w:val="nil"/>
              <w:left w:val="nil"/>
              <w:bottom w:val="nil"/>
              <w:right w:val="nil"/>
            </w:tcBorders>
            <w:shd w:val="clear" w:color="auto" w:fill="auto"/>
            <w:noWrap w:val="0"/>
            <w:vAlign w:val="center"/>
          </w:tcPr>
          <w:p>
            <w:pPr>
              <w:widowControl/>
              <w:jc w:val="center"/>
              <w:rPr>
                <w:rFonts w:hint="eastAsia" w:ascii="宋体" w:hAnsi="宋体" w:eastAsia="方正仿宋_GBK" w:cs="宋体"/>
                <w:b/>
                <w:bCs/>
                <w:kern w:val="0"/>
                <w:sz w:val="36"/>
                <w:szCs w:val="36"/>
                <w:lang w:val="en-US" w:eastAsia="zh-CN"/>
              </w:rPr>
            </w:pPr>
            <w:r>
              <w:rPr>
                <w:rFonts w:hint="eastAsia" w:ascii="宋体" w:hAnsi="宋体" w:cs="宋体"/>
                <w:kern w:val="0"/>
                <w:sz w:val="20"/>
              </w:rPr>
              <w:t>编制单位：</w:t>
            </w:r>
            <w:r>
              <w:rPr>
                <w:rFonts w:hint="eastAsia" w:ascii="宋体" w:hAnsi="宋体" w:cs="宋体"/>
                <w:kern w:val="0"/>
                <w:sz w:val="20"/>
                <w:lang w:eastAsia="zh-CN"/>
              </w:rPr>
              <w:t>重庆市沙坪坝区人民政府土湾街道办事处</w:t>
            </w:r>
          </w:p>
        </w:tc>
        <w:tc>
          <w:tcPr>
            <w:tcW w:w="960"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1686"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shd w:val="clear" w:color="auto" w:fill="auto"/>
            <w:noWrap w:val="0"/>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CellMar>
            <w:top w:w="0" w:type="dxa"/>
            <w:left w:w="108" w:type="dxa"/>
            <w:bottom w:w="0" w:type="dxa"/>
            <w:right w:w="108" w:type="dxa"/>
          </w:tblCellMar>
        </w:tblPrEx>
        <w:trPr>
          <w:trHeight w:val="555" w:hRule="atLeast"/>
        </w:trPr>
        <w:tc>
          <w:tcPr>
            <w:tcW w:w="22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党建引领群团建设　</w:t>
            </w:r>
          </w:p>
        </w:tc>
        <w:tc>
          <w:tcPr>
            <w:tcW w:w="168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业务主管部门</w:t>
            </w:r>
          </w:p>
        </w:tc>
        <w:tc>
          <w:tcPr>
            <w:tcW w:w="6095"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eastAsia="方正仿宋_GBK" w:cs="宋体"/>
                <w:kern w:val="0"/>
                <w:sz w:val="20"/>
                <w:lang w:val="en-US" w:eastAsia="zh-CN" w:bidi="ar-SA"/>
              </w:rPr>
            </w:pPr>
            <w:r>
              <w:rPr>
                <w:rFonts w:hint="eastAsia" w:ascii="宋体" w:hAnsi="宋体" w:cs="宋体"/>
                <w:kern w:val="0"/>
                <w:sz w:val="20"/>
              </w:rPr>
              <w:t>　重庆市沙坪坝区人民政府土湾街道办事处</w:t>
            </w:r>
          </w:p>
        </w:tc>
      </w:tr>
      <w:tr>
        <w:tblPrEx>
          <w:tblCellMar>
            <w:top w:w="0" w:type="dxa"/>
            <w:left w:w="108" w:type="dxa"/>
            <w:bottom w:w="0" w:type="dxa"/>
            <w:right w:w="108" w:type="dxa"/>
          </w:tblCellMar>
        </w:tblPrEx>
        <w:trPr>
          <w:trHeight w:val="555"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2024年预算</w:t>
            </w:r>
          </w:p>
        </w:tc>
        <w:tc>
          <w:tcPr>
            <w:tcW w:w="5040" w:type="dxa"/>
            <w:gridSpan w:val="5"/>
            <w:vMerge w:val="restart"/>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lang w:val="en-US" w:eastAsia="zh-CN"/>
              </w:rPr>
              <w:t>3.56</w:t>
            </w:r>
            <w:r>
              <w:rPr>
                <w:rFonts w:hint="eastAsia" w:ascii="宋体" w:hAnsi="宋体" w:cs="宋体"/>
                <w:kern w:val="0"/>
                <w:sz w:val="20"/>
              </w:rPr>
              <w:t xml:space="preserve"> </w:t>
            </w:r>
          </w:p>
          <w:p>
            <w:pPr>
              <w:widowControl/>
              <w:jc w:val="center"/>
              <w:rPr>
                <w:rFonts w:ascii="宋体" w:hAnsi="宋体" w:cs="宋体"/>
                <w:kern w:val="0"/>
                <w:sz w:val="20"/>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区级支出</w:t>
            </w:r>
          </w:p>
        </w:tc>
        <w:tc>
          <w:tcPr>
            <w:tcW w:w="6095" w:type="dxa"/>
            <w:tcBorders>
              <w:top w:val="nil"/>
              <w:left w:val="nil"/>
              <w:bottom w:val="single" w:color="auto" w:sz="4" w:space="0"/>
              <w:right w:val="single" w:color="auto" w:sz="4" w:space="0"/>
            </w:tcBorders>
            <w:shd w:val="clear" w:color="auto" w:fill="auto"/>
            <w:noWrap w:val="0"/>
            <w:vAlign w:val="center"/>
          </w:tcPr>
          <w:p>
            <w:pPr>
              <w:widowControl/>
              <w:jc w:val="left"/>
              <w:rPr>
                <w:rFonts w:hint="default" w:ascii="宋体" w:hAnsi="宋体" w:eastAsia="方正仿宋_GBK" w:cs="宋体"/>
                <w:kern w:val="0"/>
                <w:sz w:val="20"/>
                <w:lang w:val="en-US" w:eastAsia="zh-CN" w:bidi="ar-SA"/>
              </w:rPr>
            </w:pPr>
            <w:r>
              <w:rPr>
                <w:rFonts w:hint="eastAsia" w:ascii="宋体" w:hAnsi="宋体" w:cs="宋体"/>
                <w:kern w:val="0"/>
                <w:sz w:val="20"/>
                <w:lang w:val="en-US" w:eastAsia="zh-CN"/>
              </w:rPr>
              <w:t>3.56</w:t>
            </w:r>
          </w:p>
        </w:tc>
      </w:tr>
      <w:tr>
        <w:tblPrEx>
          <w:tblCellMar>
            <w:top w:w="0" w:type="dxa"/>
            <w:left w:w="108" w:type="dxa"/>
            <w:bottom w:w="0" w:type="dxa"/>
            <w:right w:w="108" w:type="dxa"/>
          </w:tblCellMar>
        </w:tblPrEx>
        <w:trPr>
          <w:trHeight w:val="55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5040" w:type="dxa"/>
            <w:gridSpan w:val="5"/>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ascii="宋体" w:hAnsi="宋体" w:eastAsia="方正仿宋_GBK" w:cs="宋体"/>
                <w:kern w:val="0"/>
                <w:sz w:val="20"/>
                <w:lang w:val="en-US" w:eastAsia="zh-CN" w:bidi="ar-SA"/>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补助街镇</w:t>
            </w:r>
          </w:p>
        </w:tc>
        <w:tc>
          <w:tcPr>
            <w:tcW w:w="609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方正仿宋_GBK" w:cs="宋体"/>
                <w:kern w:val="0"/>
                <w:sz w:val="20"/>
                <w:lang w:val="en-US" w:eastAsia="zh-CN" w:bidi="ar-SA"/>
              </w:rPr>
            </w:pPr>
            <w:r>
              <w:rPr>
                <w:rFonts w:hint="eastAsia" w:ascii="宋体" w:hAnsi="宋体" w:cs="宋体"/>
                <w:kern w:val="0"/>
                <w:sz w:val="20"/>
              </w:rPr>
              <w:t>　</w:t>
            </w:r>
          </w:p>
        </w:tc>
      </w:tr>
      <w:tr>
        <w:tblPrEx>
          <w:tblCellMar>
            <w:top w:w="0" w:type="dxa"/>
            <w:left w:w="108" w:type="dxa"/>
            <w:bottom w:w="0" w:type="dxa"/>
            <w:right w:w="108" w:type="dxa"/>
          </w:tblCellMar>
        </w:tblPrEx>
        <w:trPr>
          <w:trHeight w:val="1109"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发挥党建带头作用，利用党群服务中心阵地开展全辖区党员群众活动。推动关工委、共青团员、妇联等开展宣传、活动费用。</w:t>
            </w:r>
          </w:p>
        </w:tc>
      </w:tr>
      <w:tr>
        <w:tblPrEx>
          <w:tblCellMar>
            <w:top w:w="0" w:type="dxa"/>
            <w:left w:w="108" w:type="dxa"/>
            <w:bottom w:w="0" w:type="dxa"/>
            <w:right w:w="108" w:type="dxa"/>
          </w:tblCellMar>
        </w:tblPrEx>
        <w:trPr>
          <w:trHeight w:val="1005"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沙考办发〔2021〕7号、沙委组〔2021〕48号、沙委党建〔2020〕8号、沙委组（2023）26号、沙委组〔2020〕56号、沙委党建〔2020〕11号、沙委组〔2019〕56号、《关于印发&lt;深化拓展“三百”“五微”行动工作方案&gt;的通知》、沙委组〔2020〕317号、沙委党建〔2021〕2号。关于开展2023年“三八”国际妇女节纪念活动的通知；沙团〔2022〕9号</w:t>
            </w:r>
          </w:p>
        </w:tc>
      </w:tr>
      <w:tr>
        <w:tblPrEx>
          <w:tblCellMar>
            <w:top w:w="0" w:type="dxa"/>
            <w:left w:w="108" w:type="dxa"/>
            <w:bottom w:w="0" w:type="dxa"/>
            <w:right w:w="108" w:type="dxa"/>
          </w:tblCellMar>
        </w:tblPrEx>
        <w:trPr>
          <w:trHeight w:val="1080"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11个党群服务站日常维护，发挥党建带头作用，利用党群服务中心阵地开展全辖区党员群众活动。推动共青团员、妇联等开展宣传、活动费用。</w:t>
            </w:r>
          </w:p>
        </w:tc>
      </w:tr>
      <w:tr>
        <w:tblPrEx>
          <w:tblCellMar>
            <w:top w:w="0" w:type="dxa"/>
            <w:left w:w="108" w:type="dxa"/>
            <w:bottom w:w="0" w:type="dxa"/>
            <w:right w:w="108" w:type="dxa"/>
          </w:tblCellMar>
        </w:tblPrEx>
        <w:trPr>
          <w:trHeight w:val="540"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2757" w:type="dxa"/>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指标</w:t>
            </w:r>
          </w:p>
        </w:tc>
        <w:tc>
          <w:tcPr>
            <w:tcW w:w="1134"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指标权重</w:t>
            </w:r>
          </w:p>
        </w:tc>
        <w:tc>
          <w:tcPr>
            <w:tcW w:w="1149"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计量单位</w:t>
            </w:r>
          </w:p>
        </w:tc>
        <w:tc>
          <w:tcPr>
            <w:tcW w:w="13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指标性质</w:t>
            </w:r>
          </w:p>
        </w:tc>
        <w:tc>
          <w:tcPr>
            <w:tcW w:w="6481"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指标值</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活动开展次数</w:t>
            </w:r>
          </w:p>
        </w:tc>
        <w:tc>
          <w:tcPr>
            <w:tcW w:w="1134"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30</w:t>
            </w:r>
          </w:p>
        </w:tc>
        <w:tc>
          <w:tcPr>
            <w:tcW w:w="1149"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次</w:t>
            </w:r>
          </w:p>
        </w:tc>
        <w:tc>
          <w:tcPr>
            <w:tcW w:w="1300" w:type="dxa"/>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2</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党群服务站维护数量</w:t>
            </w:r>
          </w:p>
        </w:tc>
        <w:tc>
          <w:tcPr>
            <w:tcW w:w="1134"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30</w:t>
            </w:r>
          </w:p>
        </w:tc>
        <w:tc>
          <w:tcPr>
            <w:tcW w:w="1149"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处</w:t>
            </w:r>
          </w:p>
        </w:tc>
        <w:tc>
          <w:tcPr>
            <w:tcW w:w="1300" w:type="dxa"/>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11</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党员群众满意度</w:t>
            </w:r>
          </w:p>
        </w:tc>
        <w:tc>
          <w:tcPr>
            <w:tcW w:w="1134"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10</w:t>
            </w:r>
          </w:p>
        </w:tc>
        <w:tc>
          <w:tcPr>
            <w:tcW w:w="1149"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1300" w:type="dxa"/>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90</w:t>
            </w:r>
          </w:p>
        </w:tc>
      </w:tr>
      <w:tr>
        <w:tblPrEx>
          <w:tblCellMar>
            <w:top w:w="0" w:type="dxa"/>
            <w:left w:w="108" w:type="dxa"/>
            <w:bottom w:w="0" w:type="dxa"/>
            <w:right w:w="108" w:type="dxa"/>
          </w:tblCellMar>
        </w:tblPrEx>
        <w:trPr>
          <w:trHeight w:val="495"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参与人次</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20</w:t>
            </w:r>
          </w:p>
        </w:tc>
        <w:tc>
          <w:tcPr>
            <w:tcW w:w="1149" w:type="dxa"/>
            <w:gridSpan w:val="2"/>
            <w:tcBorders>
              <w:top w:val="single" w:color="auto" w:sz="4" w:space="0"/>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人次</w:t>
            </w:r>
          </w:p>
        </w:tc>
        <w:tc>
          <w:tcPr>
            <w:tcW w:w="1300" w:type="dxa"/>
            <w:tcBorders>
              <w:top w:val="single" w:color="auto" w:sz="4" w:space="0"/>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6481" w:type="dxa"/>
            <w:gridSpan w:val="2"/>
            <w:tcBorders>
              <w:top w:val="single" w:color="auto" w:sz="4" w:space="0"/>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300</w:t>
            </w:r>
          </w:p>
        </w:tc>
      </w:tr>
      <w:tr>
        <w:tblPrEx>
          <w:tblCellMar>
            <w:top w:w="0" w:type="dxa"/>
            <w:left w:w="108" w:type="dxa"/>
            <w:bottom w:w="0" w:type="dxa"/>
            <w:right w:w="108" w:type="dxa"/>
          </w:tblCellMar>
        </w:tblPrEx>
        <w:trPr>
          <w:trHeight w:val="735" w:hRule="atLeast"/>
        </w:trPr>
        <w:tc>
          <w:tcPr>
            <w:tcW w:w="15041" w:type="dxa"/>
            <w:gridSpan w:val="9"/>
            <w:tcBorders>
              <w:top w:val="nil"/>
              <w:left w:val="nil"/>
              <w:bottom w:val="nil"/>
              <w:right w:val="nil"/>
            </w:tcBorders>
            <w:shd w:val="clear" w:color="auto" w:fill="auto"/>
            <w:noWrap w:val="0"/>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CellMar>
            <w:top w:w="0" w:type="dxa"/>
            <w:left w:w="108" w:type="dxa"/>
            <w:bottom w:w="0" w:type="dxa"/>
            <w:right w:w="108" w:type="dxa"/>
          </w:tblCellMar>
        </w:tblPrEx>
        <w:trPr>
          <w:trHeight w:val="555" w:hRule="atLeast"/>
        </w:trPr>
        <w:tc>
          <w:tcPr>
            <w:tcW w:w="5340" w:type="dxa"/>
            <w:gridSpan w:val="3"/>
            <w:tcBorders>
              <w:top w:val="nil"/>
              <w:left w:val="nil"/>
              <w:bottom w:val="nil"/>
              <w:right w:val="nil"/>
            </w:tcBorders>
            <w:shd w:val="clear" w:color="auto" w:fill="auto"/>
            <w:noWrap w:val="0"/>
            <w:vAlign w:val="center"/>
          </w:tcPr>
          <w:p>
            <w:pPr>
              <w:widowControl/>
              <w:jc w:val="center"/>
              <w:rPr>
                <w:rFonts w:hint="eastAsia" w:ascii="宋体" w:hAnsi="宋体" w:eastAsia="方正仿宋_GBK" w:cs="宋体"/>
                <w:b/>
                <w:bCs/>
                <w:kern w:val="0"/>
                <w:sz w:val="36"/>
                <w:szCs w:val="36"/>
                <w:lang w:val="en-US" w:eastAsia="zh-CN"/>
              </w:rPr>
            </w:pPr>
            <w:r>
              <w:rPr>
                <w:rFonts w:hint="eastAsia" w:ascii="宋体" w:hAnsi="宋体" w:cs="宋体"/>
                <w:kern w:val="0"/>
                <w:sz w:val="20"/>
              </w:rPr>
              <w:t>编制单位：</w:t>
            </w:r>
            <w:r>
              <w:rPr>
                <w:rFonts w:hint="eastAsia" w:ascii="宋体" w:hAnsi="宋体" w:cs="宋体"/>
                <w:kern w:val="0"/>
                <w:sz w:val="20"/>
                <w:lang w:eastAsia="zh-CN"/>
              </w:rPr>
              <w:t>重庆市沙坪坝区人民政府土湾街道办事处</w:t>
            </w:r>
          </w:p>
        </w:tc>
        <w:tc>
          <w:tcPr>
            <w:tcW w:w="960"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1686"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shd w:val="clear" w:color="auto" w:fill="auto"/>
            <w:noWrap w:val="0"/>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CellMar>
            <w:top w:w="0" w:type="dxa"/>
            <w:left w:w="108" w:type="dxa"/>
            <w:bottom w:w="0" w:type="dxa"/>
            <w:right w:w="108" w:type="dxa"/>
          </w:tblCellMar>
        </w:tblPrEx>
        <w:trPr>
          <w:trHeight w:val="555" w:hRule="atLeast"/>
        </w:trPr>
        <w:tc>
          <w:tcPr>
            <w:tcW w:w="22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非税成本　</w:t>
            </w:r>
          </w:p>
        </w:tc>
        <w:tc>
          <w:tcPr>
            <w:tcW w:w="168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业务主管部门</w:t>
            </w:r>
          </w:p>
        </w:tc>
        <w:tc>
          <w:tcPr>
            <w:tcW w:w="6095"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eastAsia="方正仿宋_GBK" w:cs="宋体"/>
                <w:kern w:val="0"/>
                <w:sz w:val="20"/>
                <w:lang w:val="en-US" w:eastAsia="zh-CN" w:bidi="ar-SA"/>
              </w:rPr>
            </w:pPr>
            <w:r>
              <w:rPr>
                <w:rFonts w:hint="eastAsia" w:ascii="宋体" w:hAnsi="宋体" w:cs="宋体"/>
                <w:kern w:val="0"/>
                <w:sz w:val="20"/>
              </w:rPr>
              <w:t>　重庆市沙坪坝区人民政府土湾街道办事处</w:t>
            </w:r>
          </w:p>
        </w:tc>
      </w:tr>
      <w:tr>
        <w:tblPrEx>
          <w:tblCellMar>
            <w:top w:w="0" w:type="dxa"/>
            <w:left w:w="108" w:type="dxa"/>
            <w:bottom w:w="0" w:type="dxa"/>
            <w:right w:w="108" w:type="dxa"/>
          </w:tblCellMar>
        </w:tblPrEx>
        <w:trPr>
          <w:trHeight w:val="555"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2024年预算</w:t>
            </w:r>
          </w:p>
        </w:tc>
        <w:tc>
          <w:tcPr>
            <w:tcW w:w="5040" w:type="dxa"/>
            <w:gridSpan w:val="5"/>
            <w:vMerge w:val="restart"/>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lang w:val="en-US" w:eastAsia="zh-CN"/>
              </w:rPr>
              <w:t>9</w:t>
            </w:r>
            <w:r>
              <w:rPr>
                <w:rFonts w:hint="eastAsia" w:ascii="宋体" w:hAnsi="宋体" w:cs="宋体"/>
                <w:kern w:val="0"/>
                <w:sz w:val="20"/>
              </w:rPr>
              <w:t xml:space="preserve"> </w:t>
            </w:r>
          </w:p>
          <w:p>
            <w:pPr>
              <w:widowControl/>
              <w:jc w:val="center"/>
              <w:rPr>
                <w:rFonts w:ascii="宋体" w:hAnsi="宋体" w:cs="宋体"/>
                <w:kern w:val="0"/>
                <w:sz w:val="20"/>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区级支出</w:t>
            </w:r>
          </w:p>
        </w:tc>
        <w:tc>
          <w:tcPr>
            <w:tcW w:w="6095"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方正仿宋_GBK" w:cs="宋体"/>
                <w:kern w:val="0"/>
                <w:sz w:val="20"/>
                <w:lang w:val="en-US" w:eastAsia="zh-CN" w:bidi="ar-SA"/>
              </w:rPr>
            </w:pPr>
            <w:r>
              <w:rPr>
                <w:rFonts w:hint="eastAsia" w:ascii="宋体" w:hAnsi="宋体" w:cs="宋体"/>
                <w:kern w:val="0"/>
                <w:sz w:val="20"/>
                <w:lang w:val="en-US" w:eastAsia="zh-CN"/>
              </w:rPr>
              <w:t>9</w:t>
            </w:r>
          </w:p>
        </w:tc>
      </w:tr>
      <w:tr>
        <w:tblPrEx>
          <w:tblCellMar>
            <w:top w:w="0" w:type="dxa"/>
            <w:left w:w="108" w:type="dxa"/>
            <w:bottom w:w="0" w:type="dxa"/>
            <w:right w:w="108" w:type="dxa"/>
          </w:tblCellMar>
        </w:tblPrEx>
        <w:trPr>
          <w:trHeight w:val="55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5040" w:type="dxa"/>
            <w:gridSpan w:val="5"/>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ascii="宋体" w:hAnsi="宋体" w:eastAsia="方正仿宋_GBK" w:cs="宋体"/>
                <w:kern w:val="0"/>
                <w:sz w:val="20"/>
                <w:lang w:val="en-US" w:eastAsia="zh-CN" w:bidi="ar-SA"/>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补助街镇</w:t>
            </w:r>
          </w:p>
        </w:tc>
        <w:tc>
          <w:tcPr>
            <w:tcW w:w="609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方正仿宋_GBK" w:cs="宋体"/>
                <w:kern w:val="0"/>
                <w:sz w:val="20"/>
                <w:lang w:val="en-US" w:eastAsia="zh-CN" w:bidi="ar-SA"/>
              </w:rPr>
            </w:pPr>
            <w:r>
              <w:rPr>
                <w:rFonts w:hint="eastAsia" w:ascii="宋体" w:hAnsi="宋体" w:cs="宋体"/>
                <w:kern w:val="0"/>
                <w:sz w:val="20"/>
              </w:rPr>
              <w:t>　</w:t>
            </w:r>
          </w:p>
        </w:tc>
      </w:tr>
      <w:tr>
        <w:tblPrEx>
          <w:tblCellMar>
            <w:top w:w="0" w:type="dxa"/>
            <w:left w:w="108" w:type="dxa"/>
            <w:bottom w:w="0" w:type="dxa"/>
            <w:right w:w="108" w:type="dxa"/>
          </w:tblCellMar>
        </w:tblPrEx>
        <w:trPr>
          <w:trHeight w:val="1109"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color w:val="000000"/>
                <w:sz w:val="20"/>
                <w:szCs w:val="20"/>
              </w:rPr>
              <w:t>道有61处房屋（大多系八九十年代修建）及64个活动用板房。在租33出房屋经常出现漏水、水管破裂、电表损坏、卷帘门损坏的情况。房屋评估相关费用。缴纳单位房屋出租相关税金。</w:t>
            </w:r>
          </w:p>
        </w:tc>
      </w:tr>
      <w:tr>
        <w:tblPrEx>
          <w:tblCellMar>
            <w:top w:w="0" w:type="dxa"/>
            <w:left w:w="108" w:type="dxa"/>
            <w:bottom w:w="0" w:type="dxa"/>
            <w:right w:w="108" w:type="dxa"/>
          </w:tblCellMar>
        </w:tblPrEx>
        <w:trPr>
          <w:trHeight w:val="1005"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color w:val="000000"/>
                <w:sz w:val="20"/>
                <w:szCs w:val="20"/>
              </w:rPr>
              <w:t>沙国资发〔2020〕102号；沙国资发〔2022〕104号；《税法》</w:t>
            </w:r>
          </w:p>
        </w:tc>
      </w:tr>
      <w:tr>
        <w:tblPrEx>
          <w:tblCellMar>
            <w:top w:w="0" w:type="dxa"/>
            <w:left w:w="108" w:type="dxa"/>
            <w:bottom w:w="0" w:type="dxa"/>
            <w:right w:w="108" w:type="dxa"/>
          </w:tblCellMar>
        </w:tblPrEx>
        <w:trPr>
          <w:trHeight w:val="1080"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color w:val="000000"/>
                <w:sz w:val="20"/>
                <w:szCs w:val="20"/>
              </w:rPr>
              <w:t>街道有61处房屋（大多系八九十年代修建）及64个活动用板房。房屋经常出现漏水、水管破裂、电表损坏、卷帘门损坏的情况。及时维修保证房屋正常使用。缴纳房屋出租税金。通过保障固定资产房屋及设施设备完整性，实现楼宇出租，达成招商引资。企业3家以上。</w:t>
            </w:r>
          </w:p>
        </w:tc>
      </w:tr>
      <w:tr>
        <w:tblPrEx>
          <w:tblCellMar>
            <w:top w:w="0" w:type="dxa"/>
            <w:left w:w="108" w:type="dxa"/>
            <w:bottom w:w="0" w:type="dxa"/>
            <w:right w:w="108" w:type="dxa"/>
          </w:tblCellMar>
        </w:tblPrEx>
        <w:trPr>
          <w:trHeight w:val="540"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2757" w:type="dxa"/>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指标</w:t>
            </w:r>
          </w:p>
        </w:tc>
        <w:tc>
          <w:tcPr>
            <w:tcW w:w="1134"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指标权重</w:t>
            </w:r>
          </w:p>
        </w:tc>
        <w:tc>
          <w:tcPr>
            <w:tcW w:w="1149"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计量单位</w:t>
            </w:r>
          </w:p>
        </w:tc>
        <w:tc>
          <w:tcPr>
            <w:tcW w:w="13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指标性质</w:t>
            </w:r>
          </w:p>
        </w:tc>
        <w:tc>
          <w:tcPr>
            <w:tcW w:w="6481"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指标值</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房屋修缮数量</w:t>
            </w:r>
          </w:p>
        </w:tc>
        <w:tc>
          <w:tcPr>
            <w:tcW w:w="1134"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30</w:t>
            </w:r>
          </w:p>
        </w:tc>
        <w:tc>
          <w:tcPr>
            <w:tcW w:w="1149"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处</w:t>
            </w:r>
          </w:p>
        </w:tc>
        <w:tc>
          <w:tcPr>
            <w:tcW w:w="1300" w:type="dxa"/>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125</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租户满意率</w:t>
            </w:r>
          </w:p>
        </w:tc>
        <w:tc>
          <w:tcPr>
            <w:tcW w:w="1134"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10</w:t>
            </w:r>
          </w:p>
        </w:tc>
        <w:tc>
          <w:tcPr>
            <w:tcW w:w="1149"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1300" w:type="dxa"/>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80</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税金及时缴纳率</w:t>
            </w:r>
          </w:p>
        </w:tc>
        <w:tc>
          <w:tcPr>
            <w:tcW w:w="1134"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30</w:t>
            </w:r>
          </w:p>
        </w:tc>
        <w:tc>
          <w:tcPr>
            <w:tcW w:w="1149"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1300" w:type="dxa"/>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100</w:t>
            </w:r>
          </w:p>
        </w:tc>
      </w:tr>
      <w:tr>
        <w:tblPrEx>
          <w:tblCellMar>
            <w:top w:w="0" w:type="dxa"/>
            <w:left w:w="108" w:type="dxa"/>
            <w:bottom w:w="0" w:type="dxa"/>
            <w:right w:w="108" w:type="dxa"/>
          </w:tblCellMar>
        </w:tblPrEx>
        <w:trPr>
          <w:trHeight w:val="495"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符合法律法规</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20</w:t>
            </w:r>
          </w:p>
        </w:tc>
        <w:tc>
          <w:tcPr>
            <w:tcW w:w="1149" w:type="dxa"/>
            <w:gridSpan w:val="2"/>
            <w:tcBorders>
              <w:top w:val="single" w:color="auto" w:sz="4" w:space="0"/>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p>
        </w:tc>
        <w:tc>
          <w:tcPr>
            <w:tcW w:w="1300" w:type="dxa"/>
            <w:tcBorders>
              <w:top w:val="single" w:color="auto" w:sz="4" w:space="0"/>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定性</w:t>
            </w:r>
          </w:p>
        </w:tc>
        <w:tc>
          <w:tcPr>
            <w:tcW w:w="6481" w:type="dxa"/>
            <w:gridSpan w:val="2"/>
            <w:tcBorders>
              <w:top w:val="single" w:color="auto" w:sz="4" w:space="0"/>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p>
        </w:tc>
      </w:tr>
      <w:tr>
        <w:tblPrEx>
          <w:tblCellMar>
            <w:top w:w="0" w:type="dxa"/>
            <w:left w:w="108" w:type="dxa"/>
            <w:bottom w:w="0" w:type="dxa"/>
            <w:right w:w="108" w:type="dxa"/>
          </w:tblCellMar>
        </w:tblPrEx>
        <w:trPr>
          <w:trHeight w:val="735" w:hRule="atLeast"/>
        </w:trPr>
        <w:tc>
          <w:tcPr>
            <w:tcW w:w="15041" w:type="dxa"/>
            <w:gridSpan w:val="9"/>
            <w:tcBorders>
              <w:top w:val="nil"/>
              <w:left w:val="nil"/>
              <w:bottom w:val="nil"/>
              <w:right w:val="nil"/>
            </w:tcBorders>
            <w:shd w:val="clear" w:color="auto" w:fill="auto"/>
            <w:noWrap w:val="0"/>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CellMar>
            <w:top w:w="0" w:type="dxa"/>
            <w:left w:w="108" w:type="dxa"/>
            <w:bottom w:w="0" w:type="dxa"/>
            <w:right w:w="108" w:type="dxa"/>
          </w:tblCellMar>
        </w:tblPrEx>
        <w:trPr>
          <w:trHeight w:val="555" w:hRule="atLeast"/>
        </w:trPr>
        <w:tc>
          <w:tcPr>
            <w:tcW w:w="5340" w:type="dxa"/>
            <w:gridSpan w:val="3"/>
            <w:tcBorders>
              <w:top w:val="nil"/>
              <w:left w:val="nil"/>
              <w:bottom w:val="nil"/>
              <w:right w:val="nil"/>
            </w:tcBorders>
            <w:shd w:val="clear" w:color="auto" w:fill="auto"/>
            <w:noWrap w:val="0"/>
            <w:vAlign w:val="center"/>
          </w:tcPr>
          <w:p>
            <w:pPr>
              <w:widowControl/>
              <w:jc w:val="center"/>
              <w:rPr>
                <w:rFonts w:hint="eastAsia" w:ascii="宋体" w:hAnsi="宋体" w:eastAsia="方正仿宋_GBK" w:cs="宋体"/>
                <w:b/>
                <w:bCs/>
                <w:kern w:val="0"/>
                <w:sz w:val="36"/>
                <w:szCs w:val="36"/>
                <w:lang w:val="en-US" w:eastAsia="zh-CN"/>
              </w:rPr>
            </w:pPr>
            <w:r>
              <w:rPr>
                <w:rFonts w:hint="eastAsia" w:ascii="宋体" w:hAnsi="宋体" w:cs="宋体"/>
                <w:kern w:val="0"/>
                <w:sz w:val="20"/>
              </w:rPr>
              <w:t>编制单位：</w:t>
            </w:r>
            <w:r>
              <w:rPr>
                <w:rFonts w:hint="eastAsia" w:ascii="宋体" w:hAnsi="宋体" w:cs="宋体"/>
                <w:kern w:val="0"/>
                <w:sz w:val="20"/>
                <w:lang w:eastAsia="zh-CN"/>
              </w:rPr>
              <w:t>重庆市沙坪坝区人民政府土湾街道办事处</w:t>
            </w:r>
          </w:p>
        </w:tc>
        <w:tc>
          <w:tcPr>
            <w:tcW w:w="960"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1686" w:type="dxa"/>
            <w:gridSpan w:val="2"/>
            <w:tcBorders>
              <w:top w:val="nil"/>
              <w:left w:val="nil"/>
              <w:bottom w:val="nil"/>
              <w:right w:val="nil"/>
            </w:tcBorders>
            <w:shd w:val="clear" w:color="auto" w:fill="auto"/>
            <w:noWrap w:val="0"/>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shd w:val="clear" w:color="auto" w:fill="auto"/>
            <w:noWrap w:val="0"/>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CellMar>
            <w:top w:w="0" w:type="dxa"/>
            <w:left w:w="108" w:type="dxa"/>
            <w:bottom w:w="0" w:type="dxa"/>
            <w:right w:w="108" w:type="dxa"/>
          </w:tblCellMar>
        </w:tblPrEx>
        <w:trPr>
          <w:trHeight w:val="555" w:hRule="atLeast"/>
        </w:trPr>
        <w:tc>
          <w:tcPr>
            <w:tcW w:w="22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　一般性项目（设备采购类）</w:t>
            </w:r>
          </w:p>
        </w:tc>
        <w:tc>
          <w:tcPr>
            <w:tcW w:w="168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业务主管部门</w:t>
            </w:r>
          </w:p>
        </w:tc>
        <w:tc>
          <w:tcPr>
            <w:tcW w:w="6095"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eastAsia="方正仿宋_GBK" w:cs="宋体"/>
                <w:kern w:val="0"/>
                <w:sz w:val="20"/>
                <w:lang w:val="en-US" w:eastAsia="zh-CN" w:bidi="ar-SA"/>
              </w:rPr>
            </w:pPr>
            <w:r>
              <w:rPr>
                <w:rFonts w:hint="eastAsia" w:ascii="宋体" w:hAnsi="宋体" w:cs="宋体"/>
                <w:kern w:val="0"/>
                <w:sz w:val="20"/>
              </w:rPr>
              <w:t>　重庆市沙坪坝区人民政府土湾街道办事处</w:t>
            </w:r>
          </w:p>
        </w:tc>
      </w:tr>
      <w:tr>
        <w:tblPrEx>
          <w:tblCellMar>
            <w:top w:w="0" w:type="dxa"/>
            <w:left w:w="108" w:type="dxa"/>
            <w:bottom w:w="0" w:type="dxa"/>
            <w:right w:w="108" w:type="dxa"/>
          </w:tblCellMar>
        </w:tblPrEx>
        <w:trPr>
          <w:trHeight w:val="555"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2024年预算</w:t>
            </w:r>
          </w:p>
        </w:tc>
        <w:tc>
          <w:tcPr>
            <w:tcW w:w="5040" w:type="dxa"/>
            <w:gridSpan w:val="5"/>
            <w:vMerge w:val="restart"/>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lang w:val="en-US" w:eastAsia="zh-CN"/>
              </w:rPr>
              <w:t>2</w:t>
            </w:r>
            <w:r>
              <w:rPr>
                <w:rFonts w:hint="eastAsia" w:ascii="宋体" w:hAnsi="宋体" w:cs="宋体"/>
                <w:kern w:val="0"/>
                <w:sz w:val="20"/>
              </w:rPr>
              <w:t xml:space="preserve"> </w:t>
            </w:r>
          </w:p>
          <w:p>
            <w:pPr>
              <w:widowControl/>
              <w:jc w:val="center"/>
              <w:rPr>
                <w:rFonts w:ascii="宋体" w:hAnsi="宋体" w:cs="宋体"/>
                <w:kern w:val="0"/>
                <w:sz w:val="20"/>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区级支出</w:t>
            </w:r>
          </w:p>
        </w:tc>
        <w:tc>
          <w:tcPr>
            <w:tcW w:w="6095"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方正仿宋_GBK" w:cs="宋体"/>
                <w:kern w:val="0"/>
                <w:sz w:val="20"/>
                <w:lang w:val="en-US" w:eastAsia="zh-CN" w:bidi="ar-SA"/>
              </w:rPr>
            </w:pPr>
            <w:r>
              <w:rPr>
                <w:rFonts w:hint="eastAsia" w:ascii="宋体" w:hAnsi="宋体" w:cs="宋体"/>
                <w:kern w:val="0"/>
                <w:sz w:val="20"/>
                <w:lang w:val="en-US" w:eastAsia="zh-CN"/>
              </w:rPr>
              <w:t>2</w:t>
            </w:r>
          </w:p>
        </w:tc>
      </w:tr>
      <w:tr>
        <w:tblPrEx>
          <w:tblCellMar>
            <w:top w:w="0" w:type="dxa"/>
            <w:left w:w="108" w:type="dxa"/>
            <w:bottom w:w="0" w:type="dxa"/>
            <w:right w:w="108" w:type="dxa"/>
          </w:tblCellMar>
        </w:tblPrEx>
        <w:trPr>
          <w:trHeight w:val="55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5040" w:type="dxa"/>
            <w:gridSpan w:val="5"/>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ascii="宋体" w:hAnsi="宋体" w:eastAsia="方正仿宋_GBK" w:cs="宋体"/>
                <w:kern w:val="0"/>
                <w:sz w:val="20"/>
                <w:lang w:val="en-US" w:eastAsia="zh-CN" w:bidi="ar-SA"/>
              </w:rPr>
            </w:pPr>
          </w:p>
        </w:tc>
        <w:tc>
          <w:tcPr>
            <w:tcW w:w="1686"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方正仿宋_GBK" w:cs="宋体"/>
                <w:kern w:val="0"/>
                <w:sz w:val="20"/>
                <w:lang w:val="en-US" w:eastAsia="zh-CN" w:bidi="ar-SA"/>
              </w:rPr>
            </w:pPr>
            <w:r>
              <w:rPr>
                <w:rFonts w:hint="eastAsia" w:ascii="宋体" w:hAnsi="宋体" w:cs="宋体"/>
                <w:kern w:val="0"/>
                <w:sz w:val="20"/>
              </w:rPr>
              <w:t>补助街镇</w:t>
            </w:r>
          </w:p>
        </w:tc>
        <w:tc>
          <w:tcPr>
            <w:tcW w:w="609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方正仿宋_GBK" w:cs="宋体"/>
                <w:kern w:val="0"/>
                <w:sz w:val="20"/>
                <w:lang w:val="en-US" w:eastAsia="zh-CN" w:bidi="ar-SA"/>
              </w:rPr>
            </w:pPr>
            <w:r>
              <w:rPr>
                <w:rFonts w:hint="eastAsia" w:ascii="宋体" w:hAnsi="宋体" w:cs="宋体"/>
                <w:kern w:val="0"/>
                <w:sz w:val="20"/>
              </w:rPr>
              <w:t>　</w:t>
            </w:r>
          </w:p>
        </w:tc>
      </w:tr>
      <w:tr>
        <w:tblPrEx>
          <w:tblCellMar>
            <w:top w:w="0" w:type="dxa"/>
            <w:left w:w="108" w:type="dxa"/>
            <w:bottom w:w="0" w:type="dxa"/>
            <w:right w:w="108" w:type="dxa"/>
          </w:tblCellMar>
        </w:tblPrEx>
        <w:trPr>
          <w:trHeight w:val="1109"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采购4台电脑</w:t>
            </w:r>
          </w:p>
        </w:tc>
      </w:tr>
      <w:tr>
        <w:tblPrEx>
          <w:tblCellMar>
            <w:top w:w="0" w:type="dxa"/>
            <w:left w:w="108" w:type="dxa"/>
            <w:bottom w:w="0" w:type="dxa"/>
            <w:right w:w="108" w:type="dxa"/>
          </w:tblCellMar>
        </w:tblPrEx>
        <w:trPr>
          <w:trHeight w:val="1005"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《重庆市沙坪坝区财政局关于2024年沙坪坝区预算编制政策及口径说明的通知》（沙财政发[2023]145 号）渝财资产【2020 】19号</w:t>
            </w:r>
          </w:p>
        </w:tc>
      </w:tr>
      <w:tr>
        <w:tblPrEx>
          <w:tblCellMar>
            <w:top w:w="0" w:type="dxa"/>
            <w:left w:w="108" w:type="dxa"/>
            <w:bottom w:w="0" w:type="dxa"/>
            <w:right w:w="108" w:type="dxa"/>
          </w:tblCellMar>
        </w:tblPrEx>
        <w:trPr>
          <w:trHeight w:val="1080"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8"/>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保证机关正常运转</w:t>
            </w:r>
          </w:p>
        </w:tc>
      </w:tr>
      <w:tr>
        <w:tblPrEx>
          <w:tblCellMar>
            <w:top w:w="0" w:type="dxa"/>
            <w:left w:w="108" w:type="dxa"/>
            <w:bottom w:w="0" w:type="dxa"/>
            <w:right w:w="108" w:type="dxa"/>
          </w:tblCellMar>
        </w:tblPrEx>
        <w:trPr>
          <w:trHeight w:val="540" w:hRule="atLeast"/>
        </w:trPr>
        <w:tc>
          <w:tcPr>
            <w:tcW w:w="2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2757" w:type="dxa"/>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指标</w:t>
            </w:r>
          </w:p>
        </w:tc>
        <w:tc>
          <w:tcPr>
            <w:tcW w:w="1134"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指标权重</w:t>
            </w:r>
          </w:p>
        </w:tc>
        <w:tc>
          <w:tcPr>
            <w:tcW w:w="1149"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计量单位</w:t>
            </w:r>
          </w:p>
        </w:tc>
        <w:tc>
          <w:tcPr>
            <w:tcW w:w="13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指标性质</w:t>
            </w:r>
          </w:p>
        </w:tc>
        <w:tc>
          <w:tcPr>
            <w:tcW w:w="6481"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kern w:val="0"/>
                <w:sz w:val="20"/>
                <w:szCs w:val="20"/>
              </w:rPr>
              <w:t>指标值</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满意率</w:t>
            </w:r>
          </w:p>
        </w:tc>
        <w:tc>
          <w:tcPr>
            <w:tcW w:w="1134"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10</w:t>
            </w:r>
          </w:p>
        </w:tc>
        <w:tc>
          <w:tcPr>
            <w:tcW w:w="1149"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1300" w:type="dxa"/>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85</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计算器采购成本</w:t>
            </w:r>
          </w:p>
        </w:tc>
        <w:tc>
          <w:tcPr>
            <w:tcW w:w="1134"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30</w:t>
            </w:r>
          </w:p>
        </w:tc>
        <w:tc>
          <w:tcPr>
            <w:tcW w:w="1149"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元</w:t>
            </w:r>
          </w:p>
        </w:tc>
        <w:tc>
          <w:tcPr>
            <w:tcW w:w="1300" w:type="dxa"/>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5000</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 w:val="20"/>
              </w:rPr>
            </w:pPr>
            <w:bookmarkStart w:id="0" w:name="_GoBack" w:colFirst="2" w:colLast="5"/>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使用年限</w:t>
            </w:r>
          </w:p>
        </w:tc>
        <w:tc>
          <w:tcPr>
            <w:tcW w:w="1134"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20</w:t>
            </w:r>
          </w:p>
        </w:tc>
        <w:tc>
          <w:tcPr>
            <w:tcW w:w="1149"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年</w:t>
            </w:r>
          </w:p>
        </w:tc>
        <w:tc>
          <w:tcPr>
            <w:tcW w:w="1300" w:type="dxa"/>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6481" w:type="dxa"/>
            <w:gridSpan w:val="2"/>
            <w:tcBorders>
              <w:top w:val="nil"/>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5</w:t>
            </w:r>
          </w:p>
        </w:tc>
      </w:tr>
      <w:bookmarkEnd w:id="0"/>
      <w:tr>
        <w:tblPrEx>
          <w:tblCellMar>
            <w:top w:w="0" w:type="dxa"/>
            <w:left w:w="108" w:type="dxa"/>
            <w:bottom w:w="0" w:type="dxa"/>
            <w:right w:w="108" w:type="dxa"/>
          </w:tblCellMar>
        </w:tblPrEx>
        <w:trPr>
          <w:trHeight w:val="495" w:hRule="atLeast"/>
        </w:trPr>
        <w:tc>
          <w:tcPr>
            <w:tcW w:w="222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2757" w:type="dxa"/>
            <w:tcBorders>
              <w:top w:val="single" w:color="auto" w:sz="4" w:space="0"/>
              <w:left w:val="nil"/>
              <w:bottom w:val="single" w:color="auto" w:sz="4" w:space="0"/>
              <w:right w:val="single" w:color="000000" w:sz="4" w:space="0"/>
            </w:tcBorders>
            <w:shd w:val="clear" w:color="auto" w:fill="auto"/>
            <w:noWrap w:val="0"/>
            <w:vAlign w:val="top"/>
          </w:tcPr>
          <w:p>
            <w:pPr>
              <w:spacing w:beforeLines="0" w:afterLines="0"/>
              <w:jc w:val="left"/>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采购数量</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30</w:t>
            </w:r>
          </w:p>
        </w:tc>
        <w:tc>
          <w:tcPr>
            <w:tcW w:w="1149" w:type="dxa"/>
            <w:gridSpan w:val="2"/>
            <w:tcBorders>
              <w:top w:val="single" w:color="auto" w:sz="4" w:space="0"/>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个</w:t>
            </w:r>
          </w:p>
        </w:tc>
        <w:tc>
          <w:tcPr>
            <w:tcW w:w="1300" w:type="dxa"/>
            <w:tcBorders>
              <w:top w:val="single" w:color="auto" w:sz="4" w:space="0"/>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w:t>
            </w:r>
          </w:p>
        </w:tc>
        <w:tc>
          <w:tcPr>
            <w:tcW w:w="6481" w:type="dxa"/>
            <w:gridSpan w:val="2"/>
            <w:tcBorders>
              <w:top w:val="single" w:color="auto" w:sz="4" w:space="0"/>
              <w:left w:val="nil"/>
              <w:bottom w:val="single" w:color="auto" w:sz="4" w:space="0"/>
              <w:right w:val="single" w:color="auto" w:sz="4" w:space="0"/>
            </w:tcBorders>
            <w:shd w:val="clear" w:color="auto" w:fill="auto"/>
            <w:noWrap w:val="0"/>
            <w:vAlign w:val="top"/>
          </w:tcPr>
          <w:p>
            <w:pPr>
              <w:spacing w:beforeLines="0" w:afterLines="0"/>
              <w:jc w:val="center"/>
              <w:rPr>
                <w:rFonts w:hint="eastAsia" w:ascii="方正仿宋_GBK" w:hAnsi="方正仿宋_GBK" w:eastAsia="方正仿宋_GBK" w:cs="方正仿宋_GBK"/>
                <w:color w:val="000000"/>
                <w:kern w:val="2"/>
                <w:sz w:val="20"/>
                <w:szCs w:val="20"/>
                <w:lang w:val="en-US" w:eastAsia="zh-CN" w:bidi="ar-SA"/>
              </w:rPr>
            </w:pPr>
            <w:r>
              <w:rPr>
                <w:rFonts w:hint="eastAsia" w:ascii="方正仿宋_GBK" w:hAnsi="方正仿宋_GBK" w:eastAsia="方正仿宋_GBK" w:cs="方正仿宋_GBK"/>
                <w:color w:val="000000"/>
                <w:sz w:val="20"/>
                <w:szCs w:val="20"/>
              </w:rPr>
              <w:t>1</w:t>
            </w:r>
          </w:p>
        </w:tc>
      </w:tr>
    </w:tbl>
    <w:p/>
    <w:sectPr>
      <w:pgSz w:w="16838" w:h="11906" w:orient="landscape"/>
      <w:pgMar w:top="1077" w:right="907" w:bottom="1106" w:left="93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8210DD5"/>
    <w:rsid w:val="40D16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2023-12-26T06:15:50Z</dcterms:created>
  <dc:creator>Administrator</dc:creator>
  <cp:lastModifiedBy>Administrator</cp:lastModifiedBy>
  <dcterms:modified xsi:type="dcterms:W3CDTF">2023-12-26T06:26:45Z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DFFF14026DB7478EB874B09E7CFDA96D</vt:lpwstr>
  </property>
</Properties>
</file>