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重庆市沙坪坝区人民政府石井坡街道办事处</w:t>
      </w:r>
    </w:p>
    <w:p>
      <w:pPr>
        <w:bidi w:val="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2019年度部门决算情况说明</w:t>
      </w:r>
    </w:p>
    <w:p>
      <w:pPr>
        <w:bidi w:val="0"/>
        <w:jc w:val="center"/>
        <w:rPr>
          <w:rFonts w:hint="eastAsia" w:ascii="方正小标宋_GBK" w:hAnsi="方正小标宋_GBK" w:eastAsia="方正小标宋_GBK" w:cs="方正小标宋_GBK"/>
          <w:b/>
          <w:bCs/>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一、部门基本情况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宋体"/>
          <w:sz w:val="32"/>
          <w:szCs w:val="30"/>
          <w:lang w:val="en-US" w:eastAsia="zh-CN" w:bidi="ar-SA"/>
        </w:rPr>
      </w:pPr>
      <w:r>
        <w:rPr>
          <w:rStyle w:val="13"/>
          <w:rFonts w:hint="eastAsia" w:ascii="方正楷体_GBK" w:hAnsi="方正楷体_GBK" w:eastAsia="方正楷体_GBK" w:cs="方正楷体_GBK"/>
          <w:sz w:val="32"/>
          <w:szCs w:val="32"/>
          <w:lang w:eastAsia="zh-CN"/>
        </w:rPr>
        <w:t>（一）</w:t>
      </w:r>
      <w:r>
        <w:rPr>
          <w:rStyle w:val="13"/>
          <w:rFonts w:hint="eastAsia" w:ascii="方正楷体_GBK" w:hAnsi="方正楷体_GBK" w:eastAsia="方正楷体_GBK" w:cs="方正楷体_GBK"/>
          <w:sz w:val="32"/>
          <w:szCs w:val="32"/>
        </w:rPr>
        <w:t>职能职责。</w:t>
      </w:r>
      <w:r>
        <w:rPr>
          <w:rFonts w:hint="eastAsia" w:ascii="Times New Roman" w:hAnsi="Times New Roman" w:eastAsia="方正仿宋_GBK" w:cs="宋体"/>
          <w:sz w:val="32"/>
          <w:szCs w:val="30"/>
          <w:lang w:val="en-US" w:eastAsia="zh-CN" w:bidi="ar-SA"/>
        </w:rPr>
        <w:t>重庆市沙坪坝区人民政府石井坡街道办事处为重庆市沙坪坝区人民政府派出机关,职能职责有：1.执行法律、法规、规章和上级人民政府的决定。2.负责综合协调、武装、法制等职责，以及承办人大方面的具体工作。3.负责纪检、组织、宣传、统战、群团等党的建设职责。4.负责经济发展规划、经济社会统计、扶贫开发等职责。5.负责民政、教育、卫生、计生、物业管理、老龄、文化、体育、社会救助、残疾人事业、劳动就业、社会保障、退役军人服务等职责。6.负责信访、社会治安综合治理、防范和处理邪教等职责。7.负责规划、建设、市政公用、市容环卫、环境保护等职责。8.负责财政收支、预决算、财政资金监督检查、绩效评价等职责。9.负责安全生产综合监管、应急管理等职责。10.依法接受委托或授权承担农林水利、规划建设、环境保护、卫生计生、文化旅游、民政管理等方面行政执法的具体工作。11.承办区政府交办的其它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Times New Roman" w:hAnsi="Times New Roman" w:eastAsia="方正仿宋_GBK" w:cs="宋体"/>
          <w:sz w:val="32"/>
          <w:szCs w:val="30"/>
          <w:lang w:val="en-US" w:eastAsia="zh-CN" w:bidi="ar-SA"/>
        </w:rPr>
      </w:pPr>
      <w:r>
        <w:rPr>
          <w:rStyle w:val="7"/>
          <w:rFonts w:hint="eastAsia" w:ascii="方正楷体_GBK" w:hAnsi="方正楷体_GBK" w:eastAsia="方正楷体_GBK" w:cs="方正楷体_GBK"/>
          <w:b w:val="0"/>
          <w:bCs w:val="0"/>
          <w:sz w:val="32"/>
          <w:szCs w:val="30"/>
        </w:rPr>
        <w:t>（二）机构设置。</w:t>
      </w:r>
      <w:r>
        <w:rPr>
          <w:rFonts w:hint="eastAsia" w:ascii="Times New Roman" w:hAnsi="Times New Roman" w:eastAsia="方正仿宋_GBK" w:cs="宋体"/>
          <w:sz w:val="32"/>
          <w:szCs w:val="30"/>
          <w:lang w:val="en-US" w:eastAsia="zh-CN" w:bidi="ar-SA"/>
        </w:rPr>
        <w:t>党工委、办事处统一设置党政内设机构9个。党政办公室（挂人大办公室牌子）、党建工作办公室、经济发展办公室（挂统计办公室牌子）、民政和社区事务办公室（挂卫生健康办公室、物业管理办公室牌子）、平安建设办公室、规划建设管理环保办公室、财政办公室、应急管理办公室、综合行政执法办公室。党工委、办事处统一设置正科级、公益一类、全额拨款、全民所有制事业单位5个。重庆市沙坪坝区石井坡街道社区事务服务中心、重庆市沙坪坝区石井坡街道社区文化服务中心、重庆市沙坪坝区石井坡街道劳动就业和社会保障服务所、重庆市沙坪坝区石井坡街道退役军人服务站、重庆市沙坪坝区石井坡街道综合行政执法大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color w:val="auto"/>
          <w:sz w:val="32"/>
          <w:szCs w:val="30"/>
        </w:rPr>
      </w:pPr>
      <w:r>
        <w:rPr>
          <w:rStyle w:val="7"/>
          <w:rFonts w:hint="eastAsia" w:ascii="方正楷体_GBK" w:hAnsi="方正楷体_GBK" w:eastAsia="方正楷体_GBK" w:cs="方正楷体_GBK"/>
          <w:b w:val="0"/>
          <w:bCs w:val="0"/>
          <w:color w:val="auto"/>
          <w:sz w:val="32"/>
          <w:szCs w:val="30"/>
        </w:rPr>
        <w:t>（三）单位构成。</w:t>
      </w:r>
      <w:r>
        <w:rPr>
          <w:rFonts w:ascii="Times New Roman" w:hAnsi="Times New Roman" w:eastAsia="方正仿宋_GBK"/>
          <w:color w:val="auto"/>
          <w:sz w:val="32"/>
          <w:szCs w:val="30"/>
        </w:rPr>
        <w:t>从预算单位构成看，纳入本部门2019年度决算编制的二级预算单位主要包括</w:t>
      </w:r>
      <w:r>
        <w:rPr>
          <w:rFonts w:hint="eastAsia" w:ascii="Times New Roman" w:hAnsi="Times New Roman" w:eastAsia="方正仿宋_GBK"/>
          <w:color w:val="auto"/>
          <w:sz w:val="32"/>
          <w:szCs w:val="30"/>
        </w:rPr>
        <w:t>重庆市沙坪坝区石井坡街道社区事务服务中心、重庆市沙坪坝区石井坡街道社区文化服务中心、重庆市沙坪坝区石井坡街道劳动就业和社会保障服务所、重庆市沙坪坝区石井坡街道退役军人服务站、重庆市沙坪坝区石井坡街道综合行政执法大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color w:val="FF0000"/>
          <w:sz w:val="32"/>
          <w:szCs w:val="30"/>
        </w:rPr>
      </w:pPr>
      <w:r>
        <w:rPr>
          <w:rStyle w:val="7"/>
          <w:rFonts w:hint="eastAsia" w:ascii="方正楷体_GBK" w:hAnsi="方正楷体_GBK" w:eastAsia="方正楷体_GBK" w:cs="方正楷体_GBK"/>
          <w:b w:val="0"/>
          <w:bCs w:val="0"/>
          <w:sz w:val="32"/>
          <w:szCs w:val="30"/>
        </w:rPr>
        <w:t>（四）机构改革情况。</w:t>
      </w:r>
      <w:r>
        <w:rPr>
          <w:rFonts w:ascii="Times New Roman" w:hAnsi="Times New Roman" w:eastAsia="方正仿宋_GBK"/>
          <w:sz w:val="32"/>
          <w:szCs w:val="30"/>
        </w:rPr>
        <w:t>本部门涉及本次党和国家机构改革，对此专门说明如下：一是机构改革情况。</w:t>
      </w:r>
      <w:r>
        <w:rPr>
          <w:rFonts w:hint="eastAsia" w:ascii="Times New Roman" w:hAnsi="Times New Roman" w:eastAsia="方正仿宋_GBK"/>
          <w:sz w:val="32"/>
          <w:szCs w:val="30"/>
        </w:rPr>
        <w:t>按照《重庆市沙坪坝区进一步优化完善镇机构设置的实施方案》（</w:t>
      </w:r>
      <w:r>
        <w:rPr>
          <w:rFonts w:ascii="Times New Roman" w:hAnsi="Times New Roman" w:eastAsia="方正仿宋_GBK"/>
          <w:sz w:val="32"/>
          <w:szCs w:val="30"/>
        </w:rPr>
        <w:t>沙委办发〔2019〕</w:t>
      </w:r>
      <w:r>
        <w:rPr>
          <w:rFonts w:hint="eastAsia" w:ascii="Times New Roman" w:hAnsi="Times New Roman" w:eastAsia="方正仿宋_GBK"/>
          <w:sz w:val="32"/>
          <w:szCs w:val="30"/>
        </w:rPr>
        <w:t>31</w:t>
      </w:r>
      <w:r>
        <w:rPr>
          <w:rFonts w:ascii="Times New Roman" w:hAnsi="Times New Roman" w:eastAsia="方正仿宋_GBK"/>
          <w:sz w:val="32"/>
          <w:szCs w:val="30"/>
        </w:rPr>
        <w:t>号</w:t>
      </w:r>
      <w:r>
        <w:rPr>
          <w:rFonts w:hint="eastAsia" w:ascii="Times New Roman" w:hAnsi="Times New Roman" w:eastAsia="方正仿宋_GBK"/>
          <w:sz w:val="32"/>
          <w:szCs w:val="30"/>
        </w:rPr>
        <w:t>）精神，经</w:t>
      </w:r>
      <w:r>
        <w:rPr>
          <w:rFonts w:ascii="Times New Roman" w:hAnsi="Times New Roman" w:eastAsia="方正仿宋_GBK"/>
          <w:sz w:val="32"/>
          <w:szCs w:val="30"/>
        </w:rPr>
        <w:t>2019年第</w:t>
      </w:r>
      <w:r>
        <w:rPr>
          <w:rFonts w:hint="eastAsia" w:ascii="Times New Roman" w:hAnsi="Times New Roman" w:eastAsia="方正仿宋_GBK"/>
          <w:sz w:val="32"/>
          <w:szCs w:val="30"/>
        </w:rPr>
        <w:t>3</w:t>
      </w:r>
      <w:r>
        <w:rPr>
          <w:rFonts w:ascii="Times New Roman" w:hAnsi="Times New Roman" w:eastAsia="方正仿宋_GBK"/>
          <w:sz w:val="32"/>
          <w:szCs w:val="30"/>
        </w:rPr>
        <w:t>次区委编委会</w:t>
      </w:r>
      <w:r>
        <w:rPr>
          <w:rFonts w:hint="eastAsia" w:ascii="Times New Roman" w:hAnsi="Times New Roman" w:eastAsia="方正仿宋_GBK"/>
          <w:sz w:val="32"/>
          <w:szCs w:val="30"/>
        </w:rPr>
        <w:t>研究，石井坡街道内设科室由6个内设为9个，事业单位由3个设置为5个</w:t>
      </w:r>
      <w:r>
        <w:rPr>
          <w:rFonts w:ascii="Times New Roman" w:hAnsi="Times New Roman" w:eastAsia="方正仿宋_GBK"/>
          <w:sz w:val="32"/>
          <w:szCs w:val="30"/>
        </w:rPr>
        <w:t>。二是财政财务调整情况。</w:t>
      </w:r>
      <w:r>
        <w:rPr>
          <w:rFonts w:hint="eastAsia" w:ascii="Times New Roman" w:hAnsi="Times New Roman" w:eastAsia="方正仿宋_GBK"/>
          <w:sz w:val="32"/>
          <w:szCs w:val="30"/>
        </w:rPr>
        <w:t>机构改革取消重庆市沙坪坝区石井坡街道财政所，内设财政办公室。主要负责财政收支、预决算、总会计、财政资金监督检查、绩效评价等职责。</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Style w:val="7"/>
          <w:rFonts w:hint="eastAsia" w:ascii="方正黑体_GBK" w:hAnsi="方正黑体_GBK" w:eastAsia="方正黑体_GBK" w:cs="方正黑体_GBK"/>
          <w:b w:val="0"/>
          <w:bCs w:val="0"/>
          <w:sz w:val="32"/>
          <w:szCs w:val="30"/>
        </w:rPr>
      </w:pPr>
      <w:r>
        <w:rPr>
          <w:rStyle w:val="7"/>
          <w:rFonts w:hint="eastAsia" w:ascii="方正黑体_GBK" w:hAnsi="方正黑体_GBK" w:eastAsia="方正黑体_GBK" w:cs="方正黑体_GBK"/>
          <w:b w:val="0"/>
          <w:bCs w:val="0"/>
          <w:sz w:val="32"/>
          <w:szCs w:val="30"/>
          <w:lang w:eastAsia="zh-CN"/>
        </w:rPr>
        <w:t>二、</w:t>
      </w:r>
      <w:r>
        <w:rPr>
          <w:rStyle w:val="7"/>
          <w:rFonts w:hint="eastAsia" w:ascii="方正黑体_GBK" w:hAnsi="方正黑体_GBK" w:eastAsia="方正黑体_GBK" w:cs="方正黑体_GBK"/>
          <w:b w:val="0"/>
          <w:bCs w:val="0"/>
          <w:sz w:val="32"/>
          <w:szCs w:val="30"/>
        </w:rPr>
        <w:t>部门决算情况说明</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Style w:val="7"/>
          <w:rFonts w:hint="default" w:ascii="Times New Roman" w:hAnsi="Times New Roman" w:eastAsia="方正仿宋_GBK" w:cs="Times New Roman"/>
          <w:b w:val="0"/>
          <w:bCs w:val="0"/>
          <w:sz w:val="32"/>
          <w:szCs w:val="30"/>
        </w:rPr>
        <w:t>1.</w:t>
      </w:r>
      <w:r>
        <w:rPr>
          <w:rStyle w:val="7"/>
          <w:rFonts w:hint="eastAsia" w:ascii="方正仿宋_GBK" w:hAnsi="方正仿宋_GBK" w:eastAsia="方正仿宋_GBK" w:cs="方正仿宋_GBK"/>
          <w:b w:val="0"/>
          <w:bCs w:val="0"/>
          <w:sz w:val="32"/>
          <w:szCs w:val="30"/>
        </w:rPr>
        <w:t>总体情况。</w:t>
      </w:r>
      <w:r>
        <w:rPr>
          <w:rFonts w:ascii="Times New Roman" w:hAnsi="Times New Roman" w:eastAsia="方正仿宋_GBK"/>
          <w:sz w:val="32"/>
          <w:szCs w:val="30"/>
        </w:rPr>
        <w:t>2019年度收入总计4,128.92万元，支出总计4,128.92万元。收支较上年决算数增加1,215.13万元、增长41.70%，主要原因是</w:t>
      </w:r>
      <w:r>
        <w:rPr>
          <w:rFonts w:hint="eastAsia" w:ascii="Times New Roman" w:hAnsi="Times New Roman" w:eastAsia="方正仿宋_GBK"/>
          <w:sz w:val="32"/>
          <w:szCs w:val="30"/>
        </w:rPr>
        <w:t>追加区级服务群众专项、党群服务中心建设、平安建设、特钢厂退管人员非统筹专项、协管员工资、优抚支出、退役安置支出、老旧居住建筑消防设施改造等。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color w:val="FF0000"/>
          <w:sz w:val="32"/>
          <w:szCs w:val="30"/>
          <w:shd w:val="clear" w:color="auto" w:fill="FFFF00"/>
        </w:rPr>
      </w:pPr>
      <w:r>
        <w:rPr>
          <w:rStyle w:val="7"/>
          <w:rFonts w:ascii="Times New Roman" w:hAnsi="Times New Roman" w:eastAsia="方正仿宋_GBK"/>
          <w:b w:val="0"/>
          <w:bCs w:val="0"/>
          <w:sz w:val="32"/>
          <w:szCs w:val="30"/>
        </w:rPr>
        <w:t>2.收入情况</w:t>
      </w:r>
      <w:r>
        <w:rPr>
          <w:rStyle w:val="7"/>
          <w:rFonts w:ascii="Times New Roman" w:hAnsi="Times New Roman" w:eastAsia="方正仿宋_GBK"/>
          <w:sz w:val="32"/>
          <w:szCs w:val="30"/>
        </w:rPr>
        <w:t>。</w:t>
      </w:r>
      <w:r>
        <w:rPr>
          <w:rFonts w:ascii="Times New Roman" w:hAnsi="Times New Roman" w:eastAsia="方正仿宋_GBK"/>
          <w:sz w:val="32"/>
          <w:szCs w:val="30"/>
        </w:rPr>
        <w:t>2019年度收入合计4,128.92万元，较上年决算数增加1,215.13万元，增长41.70%，主要原因是</w:t>
      </w:r>
      <w:r>
        <w:rPr>
          <w:rFonts w:hint="eastAsia" w:ascii="Times New Roman" w:hAnsi="Times New Roman" w:eastAsia="方正仿宋_GBK"/>
          <w:sz w:val="32"/>
          <w:szCs w:val="30"/>
        </w:rPr>
        <w:t>追加区级服务群众专项、党群服务中心建设、平安建设、特钢厂退管人员非统筹专项、协管员工资、优抚支出、退役安置支出、老旧居住建筑消防设施改造等。</w:t>
      </w:r>
      <w:r>
        <w:rPr>
          <w:rFonts w:ascii="Times New Roman" w:hAnsi="Times New Roman" w:eastAsia="方正仿宋_GBK"/>
          <w:sz w:val="32"/>
          <w:szCs w:val="30"/>
        </w:rPr>
        <w:t>其中：财政拨款收入4,128.92万元，占100.00%。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color w:val="FF0000"/>
          <w:sz w:val="32"/>
          <w:szCs w:val="30"/>
          <w:shd w:val="clear" w:color="auto" w:fill="FFFF00"/>
        </w:rPr>
      </w:pPr>
      <w:r>
        <w:rPr>
          <w:rStyle w:val="7"/>
          <w:rFonts w:ascii="Times New Roman" w:hAnsi="Times New Roman" w:eastAsia="方正仿宋_GBK"/>
          <w:b w:val="0"/>
          <w:bCs w:val="0"/>
          <w:sz w:val="32"/>
          <w:szCs w:val="30"/>
        </w:rPr>
        <w:t>3.支出情况</w:t>
      </w:r>
      <w:r>
        <w:rPr>
          <w:rStyle w:val="7"/>
          <w:rFonts w:ascii="Times New Roman" w:hAnsi="Times New Roman" w:eastAsia="方正仿宋_GBK"/>
          <w:sz w:val="32"/>
          <w:szCs w:val="30"/>
        </w:rPr>
        <w:t>。</w:t>
      </w:r>
      <w:r>
        <w:rPr>
          <w:rFonts w:ascii="Times New Roman" w:hAnsi="Times New Roman" w:eastAsia="方正仿宋_GBK"/>
          <w:sz w:val="32"/>
          <w:szCs w:val="30"/>
        </w:rPr>
        <w:t>2019年度支出合计4,128.92万元，较上年决算数增加1,215.13万元，增长41.70%，主要原因是</w:t>
      </w:r>
      <w:r>
        <w:rPr>
          <w:rFonts w:hint="eastAsia" w:ascii="Times New Roman" w:hAnsi="Times New Roman" w:eastAsia="方正仿宋_GBK"/>
          <w:sz w:val="32"/>
          <w:szCs w:val="30"/>
        </w:rPr>
        <w:t>追加区级服务群众专项、党群服务中心建设、平安建设、特钢厂退管人员非统筹专项、协管员工资、优抚支出、退役安置支出、老旧居住建筑消防设施改造等。</w:t>
      </w:r>
      <w:r>
        <w:rPr>
          <w:rFonts w:ascii="Times New Roman" w:hAnsi="Times New Roman" w:eastAsia="方正仿宋_GBK"/>
          <w:sz w:val="32"/>
          <w:szCs w:val="30"/>
        </w:rPr>
        <w:t>其中：基本支出1,235.10万元，占29.91%；项目支出2,893.81万元，占70.09%。</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ascii="Times New Roman" w:hAnsi="Times New Roman" w:eastAsia="方正仿宋_GBK"/>
          <w:b w:val="0"/>
          <w:bCs w:val="0"/>
          <w:sz w:val="32"/>
          <w:szCs w:val="30"/>
        </w:rPr>
        <w:t>4.结转结余情况</w:t>
      </w:r>
      <w:r>
        <w:rPr>
          <w:rStyle w:val="7"/>
          <w:rFonts w:ascii="Times New Roman" w:hAnsi="Times New Roman" w:eastAsia="方正仿宋_GBK"/>
          <w:sz w:val="32"/>
          <w:szCs w:val="30"/>
        </w:rPr>
        <w:t>。</w:t>
      </w:r>
      <w:r>
        <w:rPr>
          <w:rFonts w:ascii="Times New Roman" w:hAnsi="Times New Roman" w:eastAsia="方正仿宋_GBK"/>
          <w:sz w:val="32"/>
          <w:szCs w:val="30"/>
        </w:rPr>
        <w:t>2019年度年末结转和结余0.00万元，较上年决算数增加0.00万元，增长0.00%。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color w:val="FF0000"/>
          <w:sz w:val="32"/>
          <w:szCs w:val="30"/>
        </w:rPr>
      </w:pPr>
      <w:r>
        <w:rPr>
          <w:rFonts w:ascii="Times New Roman" w:hAnsi="Times New Roman" w:eastAsia="方正仿宋_GBK"/>
          <w:sz w:val="32"/>
          <w:szCs w:val="30"/>
        </w:rPr>
        <w:t>2019年度财政拨款收、支总计4,128.92万元。与2018年相比，财政拨款收、支总计各增加1,215.13万元，增长41.70%。主要原因是</w:t>
      </w:r>
      <w:r>
        <w:rPr>
          <w:rFonts w:hint="eastAsia" w:ascii="Times New Roman" w:hAnsi="Times New Roman" w:eastAsia="方正仿宋_GBK"/>
          <w:sz w:val="32"/>
          <w:szCs w:val="30"/>
        </w:rPr>
        <w:t>追加区级服务群众专项、党群服务中心建设、平安建设、特钢厂退管人员非统筹专项、协管员工资、优抚支出、退役安置支出、老旧居住建筑消防设施改造等。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（三）一般公共预算财政拨款支出决算情况说明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Style w:val="7"/>
          <w:rFonts w:ascii="Times New Roman" w:hAnsi="Times New Roman" w:eastAsia="方正仿宋_GBK"/>
          <w:b w:val="0"/>
          <w:bCs w:val="0"/>
          <w:sz w:val="32"/>
          <w:szCs w:val="30"/>
        </w:rPr>
        <w:t>1.收入情况。</w:t>
      </w:r>
      <w:r>
        <w:rPr>
          <w:rFonts w:ascii="Times New Roman" w:hAnsi="Times New Roman" w:eastAsia="方正仿宋_GBK"/>
          <w:sz w:val="32"/>
          <w:szCs w:val="30"/>
        </w:rPr>
        <w:t>2019年度一般公共预算财政拨款收入4,068.40万元，较上年决算数增加1,154.61万元，增长39.63%。主要原因是</w:t>
      </w:r>
      <w:r>
        <w:rPr>
          <w:rFonts w:hint="eastAsia" w:ascii="Times New Roman" w:hAnsi="Times New Roman" w:eastAsia="方正仿宋_GBK"/>
          <w:sz w:val="32"/>
          <w:szCs w:val="30"/>
        </w:rPr>
        <w:t>追加区级服务群众专项、党群服务中心建设、平安建设、特钢厂退管人员非统筹专项、协管员工资、优抚支出、退役安置支出、老旧居住建筑消防设施改造等。</w:t>
      </w:r>
      <w:r>
        <w:rPr>
          <w:rFonts w:ascii="Times New Roman" w:hAnsi="Times New Roman" w:eastAsia="方正仿宋_GBK"/>
          <w:sz w:val="32"/>
          <w:szCs w:val="30"/>
        </w:rPr>
        <w:t>较年初预算数增加1,983.02万元，增长95.09%。主要原因是</w:t>
      </w:r>
      <w:r>
        <w:rPr>
          <w:rFonts w:hint="eastAsia" w:ascii="Times New Roman" w:hAnsi="Times New Roman" w:eastAsia="方正仿宋_GBK"/>
          <w:sz w:val="32"/>
          <w:szCs w:val="30"/>
        </w:rPr>
        <w:t>年中追加区级服务群众专项、党群服务中心建设、平安建设等专项469万元，追加特钢厂退管人员非统筹专项、社区工作人员工资及运行经费、优抚残疾补助等专项1152万元，追加城市管理及地灾防治等专项276万元，追加文化站、法律站建设运行经费及道路建设等专项86万元。</w:t>
      </w:r>
      <w:r>
        <w:rPr>
          <w:rFonts w:ascii="Times New Roman" w:hAnsi="Times New Roman" w:eastAsia="方正仿宋_GBK"/>
          <w:sz w:val="32"/>
          <w:szCs w:val="30"/>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Style w:val="7"/>
          <w:rFonts w:ascii="Times New Roman" w:hAnsi="Times New Roman" w:eastAsia="方正仿宋_GBK"/>
          <w:b w:val="0"/>
          <w:bCs w:val="0"/>
          <w:sz w:val="32"/>
          <w:szCs w:val="30"/>
        </w:rPr>
        <w:t>2.支出情况。</w:t>
      </w:r>
      <w:r>
        <w:rPr>
          <w:rFonts w:ascii="Times New Roman" w:hAnsi="Times New Roman" w:eastAsia="方正仿宋_GBK"/>
          <w:sz w:val="32"/>
          <w:szCs w:val="30"/>
        </w:rPr>
        <w:t>2019年度一般公共预算财政拨款支出4,068.40万元，较上年决算数增加1,154.61万元，增长39.63%。主要原因是</w:t>
      </w:r>
      <w:r>
        <w:rPr>
          <w:rFonts w:hint="eastAsia" w:ascii="Times New Roman" w:hAnsi="Times New Roman" w:eastAsia="方正仿宋_GBK"/>
          <w:sz w:val="32"/>
          <w:szCs w:val="30"/>
        </w:rPr>
        <w:t>追加区级服务群众专项、党群服务中心建设、平安建设、特钢厂退管人员非统筹专项、协管员工资、优抚支出、退役安置支出、老旧居住建筑消防设施改造等。</w:t>
      </w:r>
      <w:r>
        <w:rPr>
          <w:rFonts w:ascii="Times New Roman" w:hAnsi="Times New Roman" w:eastAsia="方正仿宋_GBK"/>
          <w:sz w:val="32"/>
          <w:szCs w:val="30"/>
        </w:rPr>
        <w:t>较年初预算数增加1,983.02万元，增长95.09%。主要原因是</w:t>
      </w:r>
      <w:r>
        <w:rPr>
          <w:rFonts w:hint="eastAsia" w:ascii="Times New Roman" w:hAnsi="Times New Roman" w:eastAsia="方正仿宋_GBK"/>
          <w:sz w:val="32"/>
          <w:szCs w:val="30"/>
        </w:rPr>
        <w:t>年中追加区级服务群众专项、党群服务中心建设、平安建设等专项469万元，追加特钢厂退管人员非统筹专项、社区工作人员工资及运行经费、优抚残疾补助等专项1152万元，追加城市管理及地灾防治等专项276万元，追加文化站、法律站建设运行经费及道路建设等专项86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ascii="Times New Roman" w:hAnsi="Times New Roman" w:eastAsia="方正仿宋_GBK"/>
          <w:b w:val="0"/>
          <w:bCs w:val="0"/>
          <w:sz w:val="32"/>
          <w:szCs w:val="30"/>
        </w:rPr>
        <w:t>3.结转结余情况。</w:t>
      </w:r>
      <w:r>
        <w:rPr>
          <w:rFonts w:ascii="Times New Roman" w:hAnsi="Times New Roman" w:eastAsia="方正仿宋_GBK"/>
          <w:sz w:val="32"/>
          <w:szCs w:val="30"/>
        </w:rPr>
        <w:t>2019年度年末一般公共预算财政拨款结转和结余0.00万元，较上年决算数增加0.00万元。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color w:val="FF0000"/>
          <w:sz w:val="32"/>
          <w:szCs w:val="30"/>
          <w:shd w:val="clear" w:color="auto" w:fill="FFFF00"/>
        </w:rPr>
      </w:pPr>
      <w:r>
        <w:rPr>
          <w:rStyle w:val="7"/>
          <w:rFonts w:ascii="Times New Roman" w:hAnsi="Times New Roman" w:eastAsia="方正仿宋_GBK"/>
          <w:b w:val="0"/>
          <w:bCs w:val="0"/>
          <w:sz w:val="32"/>
          <w:szCs w:val="30"/>
        </w:rPr>
        <w:t>4.比较情况。</w:t>
      </w:r>
      <w:r>
        <w:rPr>
          <w:rFonts w:ascii="Times New Roman" w:hAnsi="Times New Roman" w:eastAsia="方正仿宋_GBK"/>
          <w:sz w:val="32"/>
          <w:szCs w:val="30"/>
        </w:rPr>
        <w:t>本部门2019年度一般公共预算财政拨款支出主要用于以下几个方面：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Fonts w:ascii="Times New Roman" w:hAnsi="Times New Roman" w:eastAsia="方正仿宋_GBK"/>
          <w:sz w:val="32"/>
          <w:szCs w:val="30"/>
        </w:rPr>
        <w:t>（1）一般公共服务支出995.94万元，占24.48%，较年初预算数增加469.38万元，增长89.14%，主要原因是</w:t>
      </w:r>
      <w:r>
        <w:rPr>
          <w:rFonts w:hint="eastAsia" w:ascii="Times New Roman" w:hAnsi="Times New Roman" w:eastAsia="方正仿宋_GBK"/>
          <w:sz w:val="32"/>
          <w:szCs w:val="30"/>
        </w:rPr>
        <w:t>增加区级服务群众专项、党群服务中心建设、治安防控体系建设、夜巡流管队员工资、重精以奖代补等。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2</w:t>
      </w:r>
      <w:r>
        <w:rPr>
          <w:rFonts w:ascii="Times New Roman" w:hAnsi="Times New Roman" w:eastAsia="方正仿宋_GBK"/>
          <w:sz w:val="32"/>
          <w:szCs w:val="30"/>
        </w:rPr>
        <w:t>）公共安全支出9.05万元，占0.22%，较年初预算数增加9.05万元，增长0.00%，主要原因是</w:t>
      </w:r>
      <w:r>
        <w:rPr>
          <w:rFonts w:hint="eastAsia" w:ascii="Times New Roman" w:hAnsi="Times New Roman" w:eastAsia="方正仿宋_GBK"/>
          <w:sz w:val="32"/>
          <w:szCs w:val="30"/>
        </w:rPr>
        <w:t>增加公共法律服务站建设、社区矫正及法律援助经费。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3）</w:t>
      </w:r>
      <w:r>
        <w:rPr>
          <w:rFonts w:ascii="Times New Roman" w:hAnsi="Times New Roman" w:eastAsia="方正仿宋_GBK"/>
          <w:sz w:val="32"/>
          <w:szCs w:val="30"/>
        </w:rPr>
        <w:t>科学技术支出1.10万元，占0.03%，较年初预算数增加1.10万元，增长0.00%，主要原因是</w:t>
      </w:r>
      <w:r>
        <w:rPr>
          <w:rFonts w:hint="eastAsia" w:ascii="Times New Roman" w:hAnsi="Times New Roman" w:eastAsia="方正仿宋_GBK"/>
          <w:sz w:val="32"/>
          <w:szCs w:val="30"/>
        </w:rPr>
        <w:t>增加科技型企业培育经费和社区科普大学奖补费</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4</w:t>
      </w:r>
      <w:r>
        <w:rPr>
          <w:rFonts w:ascii="Times New Roman" w:hAnsi="Times New Roman" w:eastAsia="方正仿宋_GBK"/>
          <w:sz w:val="32"/>
          <w:szCs w:val="30"/>
        </w:rPr>
        <w:t>）文化旅游体育与传媒支出244.85万元，占6.02%，较年初预算数增加43.04万元，增长21.33%，主要原因是</w:t>
      </w:r>
      <w:r>
        <w:rPr>
          <w:rFonts w:hint="eastAsia" w:ascii="Times New Roman" w:hAnsi="Times New Roman" w:eastAsia="方正仿宋_GBK"/>
          <w:sz w:val="32"/>
          <w:szCs w:val="30"/>
        </w:rPr>
        <w:t>增加基层文化中心运营费等</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5</w:t>
      </w:r>
      <w:r>
        <w:rPr>
          <w:rFonts w:ascii="Times New Roman" w:hAnsi="Times New Roman" w:eastAsia="方正仿宋_GBK"/>
          <w:sz w:val="32"/>
          <w:szCs w:val="30"/>
        </w:rPr>
        <w:t>）社会保障与就业支出1,496.50万元，占36.78%，较年初预算数增加1,151.48万元，增长333.74%，主要原因是</w:t>
      </w:r>
      <w:r>
        <w:rPr>
          <w:rFonts w:hint="eastAsia" w:ascii="Times New Roman" w:hAnsi="Times New Roman" w:eastAsia="方正仿宋_GBK"/>
          <w:sz w:val="32"/>
          <w:szCs w:val="30"/>
        </w:rPr>
        <w:t>增加特钢厂退管人员非统筹专项、社区干部工资、社区办公经费、社区低保员工资、优抚对象优抚补助、无军籍职工工资及工作经费、残疾人补助、特困人员补助、退役军人服务站建设及双拥建设经费等</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6</w:t>
      </w:r>
      <w:r>
        <w:rPr>
          <w:rFonts w:ascii="Times New Roman" w:hAnsi="Times New Roman" w:eastAsia="方正仿宋_GBK"/>
          <w:sz w:val="32"/>
          <w:szCs w:val="30"/>
        </w:rPr>
        <w:t>）卫生健康支出57.48万元，占1.41%，较年初预算数增加10.24万元，增长21.68%，主要原因是</w:t>
      </w:r>
      <w:r>
        <w:rPr>
          <w:rFonts w:hint="eastAsia" w:ascii="Times New Roman" w:hAnsi="Times New Roman" w:eastAsia="方正仿宋_GBK"/>
          <w:sz w:val="32"/>
          <w:szCs w:val="30"/>
        </w:rPr>
        <w:t>增加街镇公共环境除四害经费、村居委会居民参保工作经费及优抚对象医疗补助等</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7</w:t>
      </w:r>
      <w:r>
        <w:rPr>
          <w:rFonts w:ascii="Times New Roman" w:hAnsi="Times New Roman" w:eastAsia="方正仿宋_GBK"/>
          <w:sz w:val="32"/>
          <w:szCs w:val="30"/>
        </w:rPr>
        <w:t>）城乡社区支出1,100.15万元，占27.04%，较年初预算数增加175.86万元，增长19.03%，主要原因是</w:t>
      </w:r>
      <w:r>
        <w:rPr>
          <w:rFonts w:hint="eastAsia" w:ascii="Times New Roman" w:hAnsi="Times New Roman" w:eastAsia="方正仿宋_GBK"/>
          <w:sz w:val="32"/>
          <w:szCs w:val="30"/>
        </w:rPr>
        <w:t>增加城管执法队员工资、井双片区中小学建设社会安全稳定维护工作经费及垃圾分类经费等</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8</w:t>
      </w:r>
      <w:r>
        <w:rPr>
          <w:rFonts w:ascii="Times New Roman" w:hAnsi="Times New Roman" w:eastAsia="方正仿宋_GBK"/>
          <w:sz w:val="32"/>
          <w:szCs w:val="30"/>
        </w:rPr>
        <w:t>）交通运输支出20.00万元，占0.49%，较年初预算数增加20.00万元，增长0.00%，主要原因是</w:t>
      </w:r>
      <w:r>
        <w:rPr>
          <w:rFonts w:hint="eastAsia" w:ascii="Times New Roman" w:hAnsi="Times New Roman" w:eastAsia="方正仿宋_GBK"/>
          <w:sz w:val="32"/>
          <w:szCs w:val="30"/>
        </w:rPr>
        <w:t>增加车辆购置税弥补地方道路建设专项</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Fonts w:ascii="Times New Roman" w:hAnsi="Times New Roman" w:eastAsia="方正仿宋_GBK"/>
          <w:sz w:val="32"/>
          <w:szCs w:val="30"/>
        </w:rPr>
        <w:t>（9）住房保障支出40.45万元，占0.99%，较年初预算数增加0.00万元，增长0.00%。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10</w:t>
      </w:r>
      <w:r>
        <w:rPr>
          <w:rFonts w:ascii="Times New Roman" w:hAnsi="Times New Roman" w:eastAsia="方正仿宋_GBK"/>
          <w:sz w:val="32"/>
          <w:szCs w:val="30"/>
        </w:rPr>
        <w:t>）粮油物资储备支出1.41万元，占0.03%，较年初预算数增加1.41万元，增长0.00%，主要原因是</w:t>
      </w:r>
      <w:r>
        <w:rPr>
          <w:rFonts w:hint="eastAsia" w:ascii="Times New Roman" w:hAnsi="Times New Roman" w:eastAsia="方正仿宋_GBK"/>
          <w:sz w:val="32"/>
          <w:szCs w:val="30"/>
        </w:rPr>
        <w:t>增加散居孤儿生活补助费用</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w:t>
      </w:r>
      <w:r>
        <w:rPr>
          <w:rFonts w:hint="eastAsia" w:ascii="Times New Roman" w:hAnsi="Times New Roman" w:eastAsia="方正仿宋_GBK"/>
          <w:sz w:val="32"/>
          <w:szCs w:val="30"/>
        </w:rPr>
        <w:t>1</w:t>
      </w:r>
      <w:r>
        <w:rPr>
          <w:rFonts w:ascii="Times New Roman" w:hAnsi="Times New Roman" w:eastAsia="方正仿宋_GBK"/>
          <w:sz w:val="32"/>
          <w:szCs w:val="30"/>
        </w:rPr>
        <w:t>1）灾害防治及应急管理支出101.49万元，占2.49%，较年初预算数增加101.49万元，增长0.00%，主要原因是</w:t>
      </w:r>
      <w:r>
        <w:rPr>
          <w:rFonts w:hint="eastAsia" w:ascii="Times New Roman" w:hAnsi="Times New Roman" w:eastAsia="方正仿宋_GBK"/>
          <w:sz w:val="32"/>
          <w:szCs w:val="30"/>
        </w:rPr>
        <w:t>增加地质灾害防治专项、老旧居住建筑消防设施改造和维护基金、安全生产隐患整治经费</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Style w:val="7"/>
          <w:rFonts w:hint="eastAsia" w:ascii="方正楷体_GBK" w:hAnsi="方正楷体_GBK" w:eastAsia="方正楷体_GBK" w:cs="方正楷体_GBK"/>
          <w:b w:val="0"/>
          <w:bCs w:val="0"/>
          <w:sz w:val="32"/>
          <w:szCs w:val="30"/>
        </w:rPr>
      </w:pPr>
      <w:r>
        <w:rPr>
          <w:rStyle w:val="7"/>
          <w:rFonts w:hint="eastAsia" w:ascii="方正楷体_GBK" w:hAnsi="方正楷体_GBK" w:eastAsia="方正楷体_GBK" w:cs="方正楷体_GBK"/>
          <w:b w:val="0"/>
          <w:bCs w:val="0"/>
          <w:sz w:val="32"/>
          <w:szCs w:val="30"/>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Fonts w:ascii="Times New Roman" w:hAnsi="Times New Roman" w:eastAsia="方正仿宋_GBK"/>
          <w:sz w:val="32"/>
          <w:szCs w:val="30"/>
        </w:rPr>
        <w:t>2019年度一般公共财政拨款基本支出1,235.10万元。其中：人员经费957.71万元，较上年决算数增加129.61万元，增长15.65%，主要原因是</w:t>
      </w:r>
      <w:r>
        <w:rPr>
          <w:rFonts w:hint="eastAsia" w:ascii="Times New Roman" w:hAnsi="Times New Roman" w:eastAsia="方正仿宋_GBK"/>
          <w:sz w:val="32"/>
          <w:szCs w:val="30"/>
        </w:rPr>
        <w:t>增人增资、城管执法队员工资2018年决算体现在项目支出中而2019年体现在基本支出人员经费中</w:t>
      </w:r>
      <w:r>
        <w:rPr>
          <w:rFonts w:ascii="Times New Roman" w:hAnsi="Times New Roman" w:eastAsia="方正仿宋_GBK"/>
          <w:sz w:val="32"/>
          <w:szCs w:val="30"/>
        </w:rPr>
        <w:t>。人员经费用途主要包括</w:t>
      </w:r>
      <w:r>
        <w:rPr>
          <w:rFonts w:hint="eastAsia" w:ascii="Times New Roman" w:hAnsi="Times New Roman" w:eastAsia="方正仿宋_GBK"/>
          <w:sz w:val="32"/>
          <w:szCs w:val="30"/>
        </w:rPr>
        <w:t>基本工资、津贴补贴、绩效、奖金、其他工资福利支出、社会保障缴费、医疗费、住房公积金、其他对个人和家庭的补助</w:t>
      </w:r>
      <w:r>
        <w:rPr>
          <w:rFonts w:ascii="Times New Roman" w:hAnsi="Times New Roman" w:eastAsia="方正仿宋_GBK"/>
          <w:sz w:val="32"/>
          <w:szCs w:val="30"/>
        </w:rPr>
        <w:t>。公用经费277.39万元，较上年决算数增加60.16万元，增长27.69%，主要原因是</w:t>
      </w:r>
      <w:r>
        <w:rPr>
          <w:rFonts w:hint="eastAsia" w:ascii="Times New Roman" w:hAnsi="Times New Roman" w:eastAsia="方正仿宋_GBK"/>
          <w:sz w:val="32"/>
          <w:szCs w:val="30"/>
        </w:rPr>
        <w:t>增加公共法律服务站建设经费和井双片区中小学建设社会安全稳定维护工作经费等</w:t>
      </w:r>
      <w:r>
        <w:rPr>
          <w:rFonts w:ascii="Times New Roman" w:hAnsi="Times New Roman" w:eastAsia="方正仿宋_GBK"/>
          <w:sz w:val="32"/>
          <w:szCs w:val="30"/>
        </w:rPr>
        <w:t>。公用经费用途主要包括办公费、</w:t>
      </w:r>
      <w:r>
        <w:rPr>
          <w:rFonts w:hint="eastAsia" w:ascii="Times New Roman" w:hAnsi="Times New Roman" w:eastAsia="方正仿宋_GBK"/>
          <w:sz w:val="32"/>
          <w:szCs w:val="30"/>
        </w:rPr>
        <w:t>印刷费、咨询费、水费、电费、邮电费、差旅费、因公出国（境）费用、维修费、租赁费、培训费、</w:t>
      </w:r>
      <w:r>
        <w:rPr>
          <w:rFonts w:ascii="Times New Roman" w:hAnsi="Times New Roman" w:eastAsia="方正仿宋_GBK"/>
          <w:sz w:val="32"/>
          <w:szCs w:val="30"/>
        </w:rPr>
        <w:t>公务车运行维护费、</w:t>
      </w:r>
      <w:r>
        <w:rPr>
          <w:rFonts w:hint="eastAsia" w:ascii="Times New Roman" w:hAnsi="Times New Roman" w:eastAsia="方正仿宋_GBK"/>
          <w:sz w:val="32"/>
          <w:szCs w:val="30"/>
        </w:rPr>
        <w:t>其他交通费、其他商品和服务支出</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2019年度政府性基金预算财政拨款年初结转结余0.00万元，年末结转结余0.00万元。本年收入60.51万元，较上年决算数增加60.51万元，增长0.00%，主要原因是</w:t>
      </w:r>
      <w:r>
        <w:rPr>
          <w:rFonts w:hint="eastAsia" w:ascii="Times New Roman" w:hAnsi="Times New Roman" w:eastAsia="方正仿宋_GBK"/>
          <w:sz w:val="32"/>
          <w:szCs w:val="30"/>
        </w:rPr>
        <w:t>彩票公益基金用于80-99岁老年人营养补贴、社区建设及优抚对象医疗补助等</w:t>
      </w:r>
      <w:r>
        <w:rPr>
          <w:rFonts w:ascii="Times New Roman" w:hAnsi="Times New Roman" w:eastAsia="方正仿宋_GBK"/>
          <w:sz w:val="32"/>
          <w:szCs w:val="30"/>
        </w:rPr>
        <w:t>。本年支出60.51万元，较上年决算数增加60.51万元，增长0.00%，主要原因是</w:t>
      </w:r>
      <w:r>
        <w:rPr>
          <w:rFonts w:hint="eastAsia" w:ascii="Times New Roman" w:hAnsi="Times New Roman" w:eastAsia="方正仿宋_GBK"/>
          <w:sz w:val="32"/>
          <w:szCs w:val="30"/>
        </w:rPr>
        <w:t>彩票公益基金用于80-99岁老年人营养补贴、社区建设及优抚对象医疗补助等</w:t>
      </w:r>
      <w:r>
        <w:rPr>
          <w:rFonts w:ascii="Times New Roman" w:hAnsi="Times New Roman" w:eastAsia="方正仿宋_GBK"/>
          <w:sz w:val="32"/>
          <w:szCs w:val="30"/>
        </w:rPr>
        <w:t>。</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94" w:lineRule="exact"/>
        <w:ind w:left="0" w:leftChars="0" w:firstLine="640" w:firstLineChars="200"/>
        <w:jc w:val="both"/>
        <w:textAlignment w:val="auto"/>
        <w:rPr>
          <w:rStyle w:val="7"/>
          <w:rFonts w:hint="eastAsia" w:ascii="方正黑体_GBK" w:hAnsi="方正黑体_GBK" w:eastAsia="方正黑体_GBK" w:cs="方正黑体_GBK"/>
          <w:b w:val="0"/>
          <w:bCs w:val="0"/>
          <w:sz w:val="32"/>
          <w:szCs w:val="30"/>
        </w:rPr>
      </w:pPr>
      <w:r>
        <w:rPr>
          <w:rStyle w:val="7"/>
          <w:rFonts w:hint="eastAsia" w:ascii="方正黑体_GBK" w:hAnsi="方正黑体_GBK" w:eastAsia="方正黑体_GBK" w:cs="方正黑体_GBK"/>
          <w:b w:val="0"/>
          <w:bCs w:val="0"/>
          <w:sz w:val="32"/>
          <w:szCs w:val="30"/>
        </w:rPr>
        <w:t>“三公”经费情况说明</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2019年度“三公”经费支出共计16.59万元，较年初预算数减少20.91万元，下降55.76%，主要原因是</w:t>
      </w:r>
      <w:r>
        <w:rPr>
          <w:rFonts w:hint="eastAsia" w:ascii="Times New Roman" w:hAnsi="Times New Roman" w:eastAsia="方正仿宋_GBK"/>
          <w:sz w:val="32"/>
          <w:szCs w:val="30"/>
        </w:rPr>
        <w:t>2019年预计采购一辆公车但未进行采购。</w:t>
      </w:r>
      <w:r>
        <w:rPr>
          <w:rFonts w:ascii="Times New Roman" w:hAnsi="Times New Roman" w:eastAsia="方正仿宋_GBK"/>
          <w:sz w:val="32"/>
          <w:szCs w:val="30"/>
        </w:rPr>
        <w:t>较上年支出数增加0.52万元，增长3.24%，主要原因是</w:t>
      </w:r>
      <w:r>
        <w:rPr>
          <w:rFonts w:hint="eastAsia" w:ascii="Times New Roman" w:hAnsi="Times New Roman" w:eastAsia="方正仿宋_GBK"/>
          <w:sz w:val="32"/>
          <w:szCs w:val="30"/>
        </w:rPr>
        <w:t>因公出国（境）较上年增加一人次。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2019年度本部门因公出国（境）费用6.17万元，主要是用于</w:t>
      </w:r>
      <w:r>
        <w:rPr>
          <w:rFonts w:hint="eastAsia" w:ascii="Times New Roman" w:hAnsi="Times New Roman" w:eastAsia="方正仿宋_GBK"/>
          <w:sz w:val="32"/>
          <w:szCs w:val="30"/>
        </w:rPr>
        <w:t>海峡两岸交流促进会费用和出国考察费用</w:t>
      </w:r>
      <w:r>
        <w:rPr>
          <w:rFonts w:ascii="Times New Roman" w:hAnsi="Times New Roman" w:eastAsia="方正仿宋_GBK"/>
          <w:sz w:val="32"/>
          <w:szCs w:val="30"/>
        </w:rPr>
        <w:t>。费用支出较年初预算数增加6.17万元，增长0.00%，主要原因是</w:t>
      </w:r>
      <w:r>
        <w:rPr>
          <w:rFonts w:hint="eastAsia" w:ascii="Times New Roman" w:hAnsi="Times New Roman" w:eastAsia="方正仿宋_GBK"/>
          <w:sz w:val="32"/>
          <w:szCs w:val="30"/>
        </w:rPr>
        <w:t>2019年预算编制时未预计到本年会发生因公出国（境）费用</w:t>
      </w:r>
      <w:r>
        <w:rPr>
          <w:rFonts w:ascii="Times New Roman" w:hAnsi="Times New Roman" w:eastAsia="方正仿宋_GBK"/>
          <w:sz w:val="32"/>
          <w:szCs w:val="30"/>
        </w:rPr>
        <w:t>。较上年支出数增加1.89万元，增长44.16%，主要原因是</w:t>
      </w:r>
      <w:r>
        <w:rPr>
          <w:rFonts w:hint="eastAsia" w:ascii="Times New Roman" w:hAnsi="Times New Roman" w:eastAsia="方正仿宋_GBK"/>
          <w:sz w:val="32"/>
          <w:szCs w:val="30"/>
        </w:rPr>
        <w:t>因公出国（境）较上年多一人次</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公务车购置费0.00万元。费用支出较年初预算数减少20.00万元，下降100.00%，主要原因是</w:t>
      </w:r>
      <w:r>
        <w:rPr>
          <w:rFonts w:hint="eastAsia" w:ascii="Times New Roman" w:hAnsi="Times New Roman" w:eastAsia="方正仿宋_GBK"/>
          <w:sz w:val="32"/>
          <w:szCs w:val="30"/>
        </w:rPr>
        <w:t>本单位2019年未进行公车购置</w:t>
      </w:r>
      <w:r>
        <w:rPr>
          <w:rFonts w:ascii="Times New Roman" w:hAnsi="Times New Roman" w:eastAsia="方正仿宋_GBK"/>
          <w:sz w:val="32"/>
          <w:szCs w:val="30"/>
        </w:rPr>
        <w:t>。较上年支出数增加0.00万元，增长0.00%。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公务车运行维护费10.43万元，主要用于</w:t>
      </w:r>
      <w:r>
        <w:rPr>
          <w:rFonts w:hint="eastAsia" w:ascii="Times New Roman" w:hAnsi="Times New Roman" w:eastAsia="方正仿宋_GBK"/>
          <w:sz w:val="32"/>
          <w:szCs w:val="30"/>
        </w:rPr>
        <w:t>车辆</w:t>
      </w:r>
      <w:r>
        <w:rPr>
          <w:rFonts w:ascii="Times New Roman" w:hAnsi="Times New Roman" w:eastAsia="方正仿宋_GBK"/>
          <w:sz w:val="32"/>
          <w:szCs w:val="30"/>
        </w:rPr>
        <w:t>燃料费</w:t>
      </w:r>
      <w:r>
        <w:rPr>
          <w:rFonts w:hint="eastAsia" w:ascii="Times New Roman" w:hAnsi="Times New Roman" w:eastAsia="方正仿宋_GBK"/>
          <w:sz w:val="32"/>
          <w:szCs w:val="30"/>
        </w:rPr>
        <w:t>、维修费、保险费、过桥过路费、洗车费等</w:t>
      </w:r>
      <w:r>
        <w:rPr>
          <w:rFonts w:ascii="Times New Roman" w:hAnsi="Times New Roman" w:eastAsia="方正仿宋_GBK"/>
          <w:sz w:val="32"/>
          <w:szCs w:val="30"/>
        </w:rPr>
        <w:t>。费用支出较年初预算数减少5.57万元，下降34.81%。较上年支出数减少1.16万元，下降10.01%，主要原因是</w:t>
      </w:r>
      <w:r>
        <w:rPr>
          <w:rFonts w:hint="eastAsia" w:ascii="Times New Roman" w:hAnsi="Times New Roman" w:eastAsia="方正仿宋_GBK"/>
          <w:sz w:val="32"/>
          <w:szCs w:val="30"/>
        </w:rPr>
        <w:t>厉行节约和外出接刑满释放人员次数较上年有所减少</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Fonts w:ascii="Times New Roman" w:hAnsi="Times New Roman" w:eastAsia="方正仿宋_GBK"/>
          <w:sz w:val="32"/>
          <w:szCs w:val="30"/>
        </w:rPr>
        <w:t>公务接待费0.00万元。费用支出较年初预算数减少1.50万元，下降100.00%。较上年支出数减少0.20万元，下降100.00%，主要原因是</w:t>
      </w:r>
      <w:r>
        <w:rPr>
          <w:rFonts w:hint="eastAsia" w:ascii="Times New Roman" w:hAnsi="Times New Roman" w:eastAsia="方正仿宋_GBK"/>
          <w:sz w:val="32"/>
          <w:szCs w:val="30"/>
        </w:rPr>
        <w:t>2019年街道未发生公务接待费用</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Fonts w:ascii="Times New Roman" w:hAnsi="Times New Roman" w:eastAsia="方正仿宋_GBK"/>
          <w:sz w:val="32"/>
          <w:szCs w:val="30"/>
        </w:rPr>
        <w:t>2019年度本部门因公出国（境）共计0个团组，2人；公务用车购置0辆，公务车保有量为4辆；国内公务接待0批次0人，其中：国内外事接待0批次，0人；国（境）外公务接待0批次，0人。2019年本部门人均接待费0.00元，车均购置费0.00万元，车均维护费2.61万元。</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94" w:lineRule="exact"/>
        <w:ind w:left="0" w:leftChars="0" w:firstLine="640" w:firstLineChars="200"/>
        <w:jc w:val="both"/>
        <w:textAlignment w:val="auto"/>
        <w:rPr>
          <w:rFonts w:hint="eastAsia" w:ascii="方正黑体_GBK" w:hAnsi="方正黑体_GBK" w:eastAsia="方正黑体_GBK" w:cs="方正黑体_GBK"/>
          <w:b w:val="0"/>
          <w:bCs w:val="0"/>
          <w:sz w:val="32"/>
        </w:rPr>
      </w:pPr>
      <w:r>
        <w:rPr>
          <w:rStyle w:val="7"/>
          <w:rFonts w:hint="eastAsia" w:ascii="方正黑体_GBK" w:hAnsi="方正黑体_GBK" w:eastAsia="方正黑体_GBK" w:cs="方正黑体_GBK"/>
          <w:b w:val="0"/>
          <w:bCs w:val="0"/>
          <w:sz w:val="32"/>
          <w:szCs w:val="30"/>
        </w:rPr>
        <w:t>其他需要说明的事项</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lang w:eastAsia="zh-CN"/>
        </w:rPr>
        <w:t>（一）</w:t>
      </w:r>
      <w:r>
        <w:rPr>
          <w:rStyle w:val="7"/>
          <w:rFonts w:hint="eastAsia" w:ascii="方正楷体_GBK" w:hAnsi="方正楷体_GBK" w:eastAsia="方正楷体_GBK" w:cs="方正楷体_GBK"/>
          <w:b w:val="0"/>
          <w:bCs w:val="0"/>
          <w:sz w:val="32"/>
          <w:szCs w:val="30"/>
        </w:rPr>
        <w:t>机关运行经费情况说明。</w:t>
      </w:r>
      <w:r>
        <w:rPr>
          <w:rFonts w:ascii="Times New Roman" w:hAnsi="Times New Roman" w:eastAsia="方正仿宋_GBK"/>
          <w:sz w:val="32"/>
          <w:szCs w:val="30"/>
        </w:rPr>
        <w:t>2019年度本部门机关运行经费支出113.84万元，机关运行经费主要用于开支办公费、</w:t>
      </w:r>
      <w:r>
        <w:rPr>
          <w:rFonts w:hint="eastAsia" w:ascii="Times New Roman" w:hAnsi="Times New Roman" w:eastAsia="方正仿宋_GBK"/>
          <w:sz w:val="32"/>
          <w:szCs w:val="30"/>
        </w:rPr>
        <w:t>印刷费、咨询费、水费、电费、邮电费、差旅费、因公出国（境）费用、维修费、租赁费、培训费、</w:t>
      </w:r>
      <w:r>
        <w:rPr>
          <w:rFonts w:ascii="Times New Roman" w:hAnsi="Times New Roman" w:eastAsia="方正仿宋_GBK"/>
          <w:sz w:val="32"/>
          <w:szCs w:val="30"/>
        </w:rPr>
        <w:t>公务车运行维护费、</w:t>
      </w:r>
      <w:r>
        <w:rPr>
          <w:rFonts w:hint="eastAsia" w:ascii="Times New Roman" w:hAnsi="Times New Roman" w:eastAsia="方正仿宋_GBK"/>
          <w:sz w:val="32"/>
          <w:szCs w:val="30"/>
        </w:rPr>
        <w:t>其他交通费、其他商品和服务支出</w:t>
      </w:r>
      <w:r>
        <w:rPr>
          <w:rFonts w:ascii="Times New Roman" w:hAnsi="Times New Roman" w:eastAsia="方正仿宋_GBK"/>
          <w:sz w:val="32"/>
          <w:szCs w:val="30"/>
        </w:rPr>
        <w:t>。机关运行经费较上年决算数减少5.04万元，下降4.24%，主要原因是</w:t>
      </w:r>
      <w:r>
        <w:rPr>
          <w:rFonts w:hint="eastAsia" w:ascii="Times New Roman" w:hAnsi="Times New Roman" w:eastAsia="方正仿宋_GBK"/>
          <w:sz w:val="32"/>
          <w:szCs w:val="30"/>
        </w:rPr>
        <w:t>厉行节约。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Fonts w:ascii="Times New Roman" w:hAnsi="Times New Roman" w:eastAsia="方正仿宋_GBK"/>
          <w:sz w:val="32"/>
          <w:szCs w:val="30"/>
        </w:rPr>
        <w:t>此外，本年度一般公共预算财政拨款会议费支出0.00万元，较上年决算数减少2.44万元，下降100.00%，主要原因是</w:t>
      </w:r>
      <w:r>
        <w:rPr>
          <w:rFonts w:hint="eastAsia" w:ascii="Times New Roman" w:hAnsi="Times New Roman" w:eastAsia="方正仿宋_GBK"/>
          <w:sz w:val="32"/>
          <w:szCs w:val="30"/>
        </w:rPr>
        <w:t>2019年度未发生会议费</w:t>
      </w:r>
      <w:r>
        <w:rPr>
          <w:rFonts w:ascii="Times New Roman" w:hAnsi="Times New Roman" w:eastAsia="方正仿宋_GBK"/>
          <w:sz w:val="32"/>
          <w:szCs w:val="30"/>
        </w:rPr>
        <w:t>。本年度一般公共预算财政拨款培训费支出7.26万元，较上年决算数减少0.33万元，下降4.35%，主要原因是</w:t>
      </w:r>
      <w:r>
        <w:rPr>
          <w:rFonts w:hint="eastAsia" w:ascii="Times New Roman" w:hAnsi="Times New Roman" w:eastAsia="方正仿宋_GBK"/>
          <w:sz w:val="32"/>
          <w:szCs w:val="30"/>
        </w:rPr>
        <w:t>厉行节约</w:t>
      </w:r>
      <w:r>
        <w:rPr>
          <w:rFonts w:ascii="Times New Roman" w:hAnsi="Times New Roman" w:eastAsia="方正仿宋_GBK"/>
          <w:sz w:val="32"/>
          <w:szCs w:val="30"/>
        </w:rPr>
        <w:t>。 </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Style w:val="7"/>
          <w:rFonts w:hint="eastAsia" w:ascii="方正楷体_GBK" w:hAnsi="方正楷体_GBK" w:eastAsia="方正楷体_GBK" w:cs="方正楷体_GBK"/>
          <w:b w:val="0"/>
          <w:bCs w:val="0"/>
          <w:sz w:val="32"/>
          <w:szCs w:val="30"/>
        </w:rPr>
        <w:t>国有资产占用情况说明。</w:t>
      </w:r>
      <w:r>
        <w:rPr>
          <w:rFonts w:ascii="Times New Roman" w:hAnsi="Times New Roman" w:eastAsia="方正仿宋_GBK"/>
          <w:sz w:val="32"/>
          <w:szCs w:val="30"/>
        </w:rPr>
        <w:t>截至2019年12月31日，本部门共有车辆4辆，其中，副部（省）级及以上领导用车0辆、主要领导干部用车0辆、机要通信用车2辆、应急保障用车2辆、执法执勤用车0辆，特种专业技术用车0辆，离退休干部用车0辆，其他用车0辆。单价50万元（含）以上通用设备0台（套），单价100万元（含）以上专用设备0台（套）。</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w:t>
      </w:r>
      <w:r>
        <w:rPr>
          <w:rStyle w:val="7"/>
          <w:rFonts w:hint="eastAsia" w:ascii="方正楷体_GBK" w:hAnsi="方正楷体_GBK" w:eastAsia="方正楷体_GBK" w:cs="方正楷体_GBK"/>
          <w:b w:val="0"/>
          <w:bCs w:val="0"/>
          <w:sz w:val="32"/>
          <w:szCs w:val="30"/>
          <w:lang w:eastAsia="zh-CN"/>
        </w:rPr>
        <w:t>三</w:t>
      </w:r>
      <w:r>
        <w:rPr>
          <w:rStyle w:val="7"/>
          <w:rFonts w:hint="eastAsia" w:ascii="方正楷体_GBK" w:hAnsi="方正楷体_GBK" w:eastAsia="方正楷体_GBK" w:cs="方正楷体_GBK"/>
          <w:b w:val="0"/>
          <w:bCs w:val="0"/>
          <w:sz w:val="32"/>
          <w:szCs w:val="30"/>
        </w:rPr>
        <w:t>）政府采购支出情况说明。</w:t>
      </w:r>
      <w:r>
        <w:rPr>
          <w:rFonts w:ascii="Times New Roman" w:hAnsi="Times New Roman" w:eastAsia="方正仿宋_GBK"/>
          <w:sz w:val="32"/>
          <w:szCs w:val="30"/>
        </w:rPr>
        <w:t>2019年度本部门政府采购支出总额286.71万元，其中：政府采购货物支出101.38万元、政府采购工程支出0.00万元、政府采购服务支出185.34万元。授予中小企业合同金额233.61万元，占政府采购支出总额的81.48%，其中：授予小微企业合同金额72.85万元，占政府采购支出总额的25.41%。主要用于采购</w:t>
      </w:r>
      <w:r>
        <w:rPr>
          <w:rFonts w:hint="eastAsia" w:ascii="Times New Roman" w:hAnsi="Times New Roman" w:eastAsia="方正仿宋_GBK"/>
          <w:sz w:val="32"/>
          <w:szCs w:val="30"/>
        </w:rPr>
        <w:t>办公家具、办公设备</w:t>
      </w:r>
      <w:r>
        <w:rPr>
          <w:rFonts w:hint="eastAsia" w:ascii="Times New Roman" w:hAnsi="Times New Roman" w:eastAsia="方正仿宋_GBK"/>
          <w:sz w:val="32"/>
          <w:szCs w:val="30"/>
          <w:lang w:val="en-US" w:eastAsia="zh-CN"/>
        </w:rPr>
        <w:t>、地灾勘测设计服务费、党群服务中心云平台运行系统</w:t>
      </w:r>
      <w:r>
        <w:rPr>
          <w:rFonts w:hint="eastAsia" w:ascii="Times New Roman" w:hAnsi="Times New Roman" w:eastAsia="方正仿宋_GBK"/>
          <w:sz w:val="32"/>
          <w:szCs w:val="30"/>
        </w:rPr>
        <w:t>等</w:t>
      </w:r>
      <w:r>
        <w:rPr>
          <w:rFonts w:ascii="Times New Roman" w:hAnsi="Times New Roman" w:eastAsia="方正仿宋_GBK"/>
          <w:sz w:val="32"/>
          <w:szCs w:val="30"/>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黑体_GBK" w:hAnsi="方正黑体_GBK" w:eastAsia="方正黑体_GBK" w:cs="方正黑体_GBK"/>
          <w:b w:val="0"/>
          <w:bCs w:val="0"/>
          <w:sz w:val="32"/>
        </w:rPr>
      </w:pPr>
      <w:r>
        <w:rPr>
          <w:rStyle w:val="7"/>
          <w:rFonts w:hint="eastAsia" w:ascii="方正黑体_GBK" w:hAnsi="方正黑体_GBK" w:eastAsia="方正黑体_GBK" w:cs="方正黑体_GBK"/>
          <w:b w:val="0"/>
          <w:bCs w:val="0"/>
          <w:sz w:val="32"/>
          <w:szCs w:val="30"/>
        </w:rPr>
        <w:t xml:space="preserve"> 五、预算绩效管理情况说明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楷体_GBK" w:hAnsi="方正楷体_GBK" w:eastAsia="方正楷体_GBK" w:cs="方正楷体_GBK"/>
          <w:b w:val="0"/>
          <w:bCs w:val="0"/>
          <w:sz w:val="32"/>
        </w:rPr>
      </w:pPr>
      <w:r>
        <w:rPr>
          <w:rStyle w:val="7"/>
          <w:rFonts w:hint="eastAsia" w:ascii="方正楷体_GBK" w:hAnsi="方正楷体_GBK" w:eastAsia="方正楷体_GBK" w:cs="方正楷体_GBK"/>
          <w:b w:val="0"/>
          <w:bCs w:val="0"/>
          <w:sz w:val="32"/>
          <w:szCs w:val="30"/>
        </w:rPr>
        <w:t>（一）预算绩效管理工作开展情况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594" w:lineRule="exact"/>
        <w:ind w:left="0" w:firstLine="640" w:firstLineChars="200"/>
        <w:jc w:val="both"/>
        <w:textAlignment w:val="auto"/>
        <w:rPr>
          <w:rFonts w:hint="eastAsia" w:ascii="Times New Roman" w:hAnsi="Times New Roman" w:eastAsia="方正仿宋_GBK"/>
          <w:sz w:val="32"/>
          <w:szCs w:val="30"/>
        </w:rPr>
      </w:pPr>
      <w:r>
        <w:rPr>
          <w:rFonts w:ascii="Times New Roman" w:hAnsi="Times New Roman" w:eastAsia="方正仿宋_GBK"/>
          <w:sz w:val="32"/>
          <w:szCs w:val="30"/>
        </w:rPr>
        <w:t>根据预算绩效管理要求，本部门对</w:t>
      </w:r>
      <w:r>
        <w:rPr>
          <w:rFonts w:hint="eastAsia" w:ascii="Times New Roman" w:hAnsi="Times New Roman" w:eastAsia="方正仿宋_GBK"/>
          <w:sz w:val="32"/>
          <w:szCs w:val="30"/>
        </w:rPr>
        <w:t>24</w:t>
      </w:r>
      <w:r>
        <w:rPr>
          <w:rFonts w:ascii="Times New Roman" w:hAnsi="Times New Roman" w:eastAsia="方正仿宋_GBK"/>
          <w:sz w:val="32"/>
          <w:szCs w:val="30"/>
        </w:rPr>
        <w:t>个项目开展了绩效自评，其中，以填报目标自评表形式开展自评</w:t>
      </w:r>
      <w:r>
        <w:rPr>
          <w:rFonts w:hint="eastAsia" w:ascii="Times New Roman" w:hAnsi="Times New Roman" w:eastAsia="方正仿宋_GBK"/>
          <w:sz w:val="32"/>
          <w:szCs w:val="30"/>
        </w:rPr>
        <w:t>24</w:t>
      </w:r>
      <w:r>
        <w:rPr>
          <w:rFonts w:ascii="Times New Roman" w:hAnsi="Times New Roman" w:eastAsia="方正仿宋_GBK"/>
          <w:sz w:val="32"/>
          <w:szCs w:val="30"/>
        </w:rPr>
        <w:t>项，涉及资金</w:t>
      </w:r>
      <w:r>
        <w:rPr>
          <w:rFonts w:hint="eastAsia" w:ascii="Times New Roman" w:hAnsi="Times New Roman" w:eastAsia="方正仿宋_GBK"/>
          <w:sz w:val="32"/>
          <w:szCs w:val="30"/>
        </w:rPr>
        <w:t>1173.63</w:t>
      </w:r>
      <w:r>
        <w:rPr>
          <w:rFonts w:ascii="Times New Roman" w:hAnsi="Times New Roman" w:eastAsia="方正仿宋_GBK"/>
          <w:sz w:val="32"/>
          <w:szCs w:val="30"/>
        </w:rPr>
        <w:t>万元；以委托第三方形式开展绩效自评</w:t>
      </w:r>
      <w:r>
        <w:rPr>
          <w:rFonts w:hint="eastAsia" w:ascii="Times New Roman" w:hAnsi="Times New Roman" w:eastAsia="方正仿宋_GBK"/>
          <w:sz w:val="32"/>
          <w:szCs w:val="30"/>
        </w:rPr>
        <w:t>0</w:t>
      </w:r>
      <w:r>
        <w:rPr>
          <w:rFonts w:ascii="Times New Roman" w:hAnsi="Times New Roman" w:eastAsia="方正仿宋_GBK"/>
          <w:sz w:val="32"/>
          <w:szCs w:val="30"/>
        </w:rPr>
        <w:t>项，涉及资金</w:t>
      </w:r>
      <w:r>
        <w:rPr>
          <w:rFonts w:hint="eastAsia" w:ascii="Times New Roman" w:hAnsi="Times New Roman" w:eastAsia="方正仿宋_GBK"/>
          <w:sz w:val="32"/>
          <w:szCs w:val="30"/>
        </w:rPr>
        <w:t>0</w:t>
      </w:r>
      <w:r>
        <w:rPr>
          <w:rFonts w:ascii="Times New Roman" w:hAnsi="Times New Roman" w:eastAsia="方正仿宋_GBK"/>
          <w:sz w:val="32"/>
          <w:szCs w:val="30"/>
        </w:rPr>
        <w:t>万元，从评价情况来看，</w:t>
      </w:r>
      <w:r>
        <w:rPr>
          <w:rFonts w:hint="eastAsia" w:ascii="Times New Roman" w:hAnsi="Times New Roman" w:eastAsia="方正仿宋_GBK"/>
          <w:sz w:val="32"/>
          <w:szCs w:val="30"/>
        </w:rPr>
        <w:t>通过预算绩效管理，党建、纪检、武装、统计、宣传工作全部完成，城乡社区管护能力显著提升，扎实推进辖区治安维稳、基层政权建设、公共安全监管等工作。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Style w:val="7"/>
          <w:rFonts w:hint="eastAsia" w:ascii="方正楷体_GBK" w:hAnsi="方正楷体_GBK" w:eastAsia="方正楷体_GBK" w:cs="方正楷体_GBK"/>
          <w:b w:val="0"/>
          <w:bCs w:val="0"/>
          <w:sz w:val="32"/>
          <w:szCs w:val="30"/>
        </w:rPr>
      </w:pPr>
      <w:r>
        <w:rPr>
          <w:rStyle w:val="7"/>
          <w:rFonts w:hint="eastAsia" w:ascii="方正楷体_GBK" w:hAnsi="方正楷体_GBK" w:eastAsia="方正楷体_GBK" w:cs="方正楷体_GBK"/>
          <w:b w:val="0"/>
          <w:bCs w:val="0"/>
          <w:sz w:val="32"/>
          <w:szCs w:val="30"/>
        </w:rPr>
        <w:t>（</w:t>
      </w:r>
      <w:r>
        <w:rPr>
          <w:rStyle w:val="7"/>
          <w:rFonts w:hint="eastAsia" w:ascii="方正楷体_GBK" w:hAnsi="方正楷体_GBK" w:eastAsia="方正楷体_GBK" w:cs="方正楷体_GBK"/>
          <w:b w:val="0"/>
          <w:bCs w:val="0"/>
          <w:sz w:val="32"/>
          <w:szCs w:val="30"/>
          <w:lang w:eastAsia="zh-CN"/>
        </w:rPr>
        <w:t>二</w:t>
      </w:r>
      <w:r>
        <w:rPr>
          <w:rStyle w:val="7"/>
          <w:rFonts w:hint="eastAsia" w:ascii="方正楷体_GBK" w:hAnsi="方正楷体_GBK" w:eastAsia="方正楷体_GBK" w:cs="方正楷体_GBK"/>
          <w:b w:val="0"/>
          <w:bCs w:val="0"/>
          <w:sz w:val="32"/>
          <w:szCs w:val="30"/>
        </w:rPr>
        <w:t>）绩效自评结果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Style w:val="7"/>
          <w:rFonts w:ascii="Times New Roman" w:hAnsi="Times New Roman" w:eastAsia="方正仿宋_GBK"/>
          <w:b w:val="0"/>
          <w:bCs w:val="0"/>
          <w:sz w:val="32"/>
          <w:szCs w:val="30"/>
        </w:rPr>
      </w:pPr>
      <w:r>
        <w:rPr>
          <w:rStyle w:val="7"/>
          <w:rFonts w:ascii="Times New Roman" w:hAnsi="Times New Roman" w:eastAsia="方正仿宋_GBK"/>
          <w:b w:val="0"/>
          <w:bCs w:val="0"/>
          <w:sz w:val="32"/>
          <w:szCs w:val="30"/>
        </w:rPr>
        <w:t xml:space="preserve"> 1.绩效目标自评表</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Style w:val="7"/>
          <w:rFonts w:ascii="Times New Roman" w:hAnsi="Times New Roman" w:eastAsia="方正仿宋_GBK"/>
          <w:b w:val="0"/>
          <w:bCs w:val="0"/>
          <w:sz w:val="32"/>
          <w:szCs w:val="30"/>
        </w:rPr>
      </w:pPr>
    </w:p>
    <w:tbl>
      <w:tblPr>
        <w:tblStyle w:val="5"/>
        <w:tblW w:w="9000" w:type="dxa"/>
        <w:tblInd w:w="0" w:type="dxa"/>
        <w:shd w:val="clear" w:color="auto" w:fill="auto"/>
        <w:tblLayout w:type="autofit"/>
        <w:tblCellMar>
          <w:top w:w="0" w:type="dxa"/>
          <w:left w:w="0" w:type="dxa"/>
          <w:bottom w:w="0" w:type="dxa"/>
          <w:right w:w="0" w:type="dxa"/>
        </w:tblCellMar>
      </w:tblPr>
      <w:tblGrid>
        <w:gridCol w:w="1159"/>
        <w:gridCol w:w="1421"/>
        <w:gridCol w:w="1021"/>
        <w:gridCol w:w="828"/>
        <w:gridCol w:w="815"/>
        <w:gridCol w:w="897"/>
        <w:gridCol w:w="994"/>
        <w:gridCol w:w="924"/>
        <w:gridCol w:w="941"/>
      </w:tblGrid>
      <w:tr>
        <w:tblPrEx>
          <w:shd w:val="clear" w:color="auto" w:fill="auto"/>
          <w:tblCellMar>
            <w:top w:w="0" w:type="dxa"/>
            <w:left w:w="0" w:type="dxa"/>
            <w:bottom w:w="0" w:type="dxa"/>
            <w:right w:w="0" w:type="dxa"/>
          </w:tblCellMar>
        </w:tblPrEx>
        <w:trPr>
          <w:trHeight w:val="618" w:hRule="atLeast"/>
        </w:trPr>
        <w:tc>
          <w:tcPr>
            <w:tcW w:w="90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2019年度项目资金绩效自评表 </w:t>
            </w:r>
          </w:p>
        </w:tc>
      </w:tr>
      <w:tr>
        <w:tblPrEx>
          <w:tblCellMar>
            <w:top w:w="0" w:type="dxa"/>
            <w:left w:w="0" w:type="dxa"/>
            <w:bottom w:w="0" w:type="dxa"/>
            <w:right w:w="0" w:type="dxa"/>
          </w:tblCellMar>
        </w:tblPrEx>
        <w:trPr>
          <w:trHeight w:val="482" w:hRule="atLeast"/>
        </w:trPr>
        <w:tc>
          <w:tcPr>
            <w:tcW w:w="9000" w:type="dxa"/>
            <w:gridSpan w:val="9"/>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填报单位（盖章）：石井坡街道</w:t>
            </w:r>
          </w:p>
        </w:tc>
      </w:tr>
      <w:tr>
        <w:tblPrEx>
          <w:tblCellMar>
            <w:top w:w="0" w:type="dxa"/>
            <w:left w:w="0" w:type="dxa"/>
            <w:bottom w:w="0" w:type="dxa"/>
            <w:right w:w="0" w:type="dxa"/>
          </w:tblCellMar>
        </w:tblPrEx>
        <w:trPr>
          <w:trHeight w:val="628"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专项（项目）名称</w:t>
            </w:r>
          </w:p>
        </w:tc>
        <w:tc>
          <w:tcPr>
            <w:tcW w:w="40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特钢老旧房屋公共设施管护</w:t>
            </w: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自评总分（分)</w:t>
            </w:r>
          </w:p>
        </w:tc>
        <w:tc>
          <w:tcPr>
            <w:tcW w:w="0" w:type="auto"/>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CellMar>
            <w:top w:w="0" w:type="dxa"/>
            <w:left w:w="0" w:type="dxa"/>
            <w:bottom w:w="0" w:type="dxa"/>
            <w:right w:w="0" w:type="dxa"/>
          </w:tblCellMar>
        </w:tblPrEx>
        <w:trPr>
          <w:trHeight w:val="491"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40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石井坡街道</w:t>
            </w: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联系人及电话</w:t>
            </w:r>
          </w:p>
        </w:tc>
        <w:tc>
          <w:tcPr>
            <w:tcW w:w="0" w:type="auto"/>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陈艳 65137275</w:t>
            </w:r>
          </w:p>
        </w:tc>
      </w:tr>
      <w:tr>
        <w:tblPrEx>
          <w:tblCellMar>
            <w:top w:w="0" w:type="dxa"/>
            <w:left w:w="0" w:type="dxa"/>
            <w:bottom w:w="0" w:type="dxa"/>
            <w:right w:w="0" w:type="dxa"/>
          </w:tblCellMar>
        </w:tblPrEx>
        <w:trPr>
          <w:trHeight w:val="856" w:hRule="atLeast"/>
        </w:trPr>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年初预算数</w:t>
            </w:r>
          </w:p>
        </w:tc>
        <w:tc>
          <w:tcPr>
            <w:tcW w:w="16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全年预算数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（调整备案后预算数）</w:t>
            </w: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全年执行数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执行率得分（分)</w:t>
            </w:r>
          </w:p>
        </w:tc>
      </w:tr>
      <w:tr>
        <w:tblPrEx>
          <w:tblCellMar>
            <w:top w:w="0" w:type="dxa"/>
            <w:left w:w="0" w:type="dxa"/>
            <w:bottom w:w="0" w:type="dxa"/>
            <w:right w:w="0" w:type="dxa"/>
          </w:tblCellMar>
        </w:tblPrEx>
        <w:trPr>
          <w:trHeight w:val="491"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年度总金额</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CellMar>
            <w:top w:w="0" w:type="dxa"/>
            <w:left w:w="0" w:type="dxa"/>
            <w:bottom w:w="0" w:type="dxa"/>
            <w:right w:w="0" w:type="dxa"/>
          </w:tblCellMar>
        </w:tblPrEx>
        <w:trPr>
          <w:trHeight w:val="647"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其中：上级资金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491"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本级资金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491"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705" w:hRule="atLeast"/>
        </w:trPr>
        <w:tc>
          <w:tcPr>
            <w:tcW w:w="1159"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40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年初设定目标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（如作出调整且备案，填写调整后的目标）</w:t>
            </w:r>
          </w:p>
        </w:tc>
        <w:tc>
          <w:tcPr>
            <w:tcW w:w="375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全年目标实际完成情况</w:t>
            </w:r>
          </w:p>
        </w:tc>
      </w:tr>
      <w:tr>
        <w:tblPrEx>
          <w:tblCellMar>
            <w:top w:w="0" w:type="dxa"/>
            <w:left w:w="0" w:type="dxa"/>
            <w:bottom w:w="0" w:type="dxa"/>
            <w:right w:w="0" w:type="dxa"/>
          </w:tblCellMar>
        </w:tblPrEx>
        <w:trPr>
          <w:trHeight w:val="983" w:hRule="atLeast"/>
        </w:trPr>
        <w:tc>
          <w:tcPr>
            <w:tcW w:w="115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对辖区442栋老旧房屋公共部位、排污管网进行日常管护，消除安全隐患；对98座化粪池进行日常管护，清掏</w:t>
            </w:r>
          </w:p>
        </w:tc>
        <w:tc>
          <w:tcPr>
            <w:tcW w:w="375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全部完成</w:t>
            </w:r>
          </w:p>
        </w:tc>
      </w:tr>
      <w:tr>
        <w:tblPrEx>
          <w:tblCellMar>
            <w:top w:w="0" w:type="dxa"/>
            <w:left w:w="0" w:type="dxa"/>
            <w:bottom w:w="0" w:type="dxa"/>
            <w:right w:w="0" w:type="dxa"/>
          </w:tblCellMar>
        </w:tblPrEx>
        <w:trPr>
          <w:trHeight w:val="647" w:hRule="atLeast"/>
        </w:trPr>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绩效指标</w:t>
            </w:r>
          </w:p>
        </w:tc>
        <w:tc>
          <w:tcPr>
            <w:tcW w:w="14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指标名称</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8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年度指标值</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调整后指标值</w:t>
            </w:r>
          </w:p>
        </w:tc>
        <w:tc>
          <w:tcPr>
            <w:tcW w:w="89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全年完成值</w:t>
            </w:r>
          </w:p>
        </w:tc>
        <w:tc>
          <w:tcPr>
            <w:tcW w:w="9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得分系数（%）</w:t>
            </w:r>
          </w:p>
        </w:tc>
        <w:tc>
          <w:tcPr>
            <w:tcW w:w="9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权重（分）</w:t>
            </w:r>
          </w:p>
        </w:tc>
        <w:tc>
          <w:tcPr>
            <w:tcW w:w="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指标得分（分）</w:t>
            </w:r>
          </w:p>
        </w:tc>
      </w:tr>
      <w:tr>
        <w:tblPrEx>
          <w:tblCellMar>
            <w:top w:w="0" w:type="dxa"/>
            <w:left w:w="0" w:type="dxa"/>
            <w:bottom w:w="0" w:type="dxa"/>
            <w:right w:w="0" w:type="dxa"/>
          </w:tblCellMar>
        </w:tblPrEx>
        <w:trPr>
          <w:trHeight w:val="523"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效益（社会满意度）</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百分比</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0" w:type="dxa"/>
            <w:bottom w:w="0" w:type="dxa"/>
            <w:right w:w="0" w:type="dxa"/>
          </w:tblCellMar>
        </w:tblPrEx>
        <w:trPr>
          <w:trHeight w:val="725"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效益（管护房屋覆盖人群）</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666"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效益（及时处置率）</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百分比</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0" w:type="dxa"/>
            <w:bottom w:w="0" w:type="dxa"/>
            <w:right w:w="0" w:type="dxa"/>
          </w:tblCellMar>
        </w:tblPrEx>
        <w:trPr>
          <w:trHeight w:val="666"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产出（管护房屋栋数）</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栋</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0" w:type="dxa"/>
            <w:bottom w:w="0" w:type="dxa"/>
            <w:right w:w="0" w:type="dxa"/>
          </w:tblCellMar>
        </w:tblPrEx>
        <w:trPr>
          <w:trHeight w:val="725" w:hRule="atLeast"/>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产出（清掏化粪池次数）</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0" w:type="dxa"/>
            <w:bottom w:w="0" w:type="dxa"/>
            <w:right w:w="0" w:type="dxa"/>
          </w:tblCellMar>
        </w:tblPrEx>
        <w:trPr>
          <w:trHeight w:val="1726"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未完成绩效目标或偏离较多的原因、改进措施及其他说明</w:t>
            </w:r>
          </w:p>
        </w:tc>
        <w:tc>
          <w:tcPr>
            <w:tcW w:w="784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Times New Roman" w:hAnsi="Times New Roman" w:eastAsia="方正仿宋_GBK"/>
          <w:sz w:val="32"/>
          <w:szCs w:val="30"/>
        </w:rPr>
      </w:pPr>
      <w:r>
        <w:rPr>
          <w:rFonts w:hint="eastAsia" w:ascii="Times New Roman" w:hAnsi="Times New Roman" w:eastAsia="方正仿宋_GBK"/>
          <w:sz w:val="32"/>
          <w:szCs w:val="30"/>
        </w:rPr>
        <w:t>特钢老旧房屋公共设施管护</w:t>
      </w:r>
      <w:r>
        <w:rPr>
          <w:rFonts w:ascii="Times New Roman" w:hAnsi="Times New Roman" w:eastAsia="方正仿宋_GBK"/>
          <w:sz w:val="32"/>
          <w:szCs w:val="30"/>
        </w:rPr>
        <w:t>项目绩效目标自评综述：根据年初设定的绩效目标，项目总体完成情况</w:t>
      </w:r>
      <w:r>
        <w:rPr>
          <w:rFonts w:hint="eastAsia" w:ascii="Times New Roman" w:hAnsi="Times New Roman" w:eastAsia="方正仿宋_GBK"/>
          <w:sz w:val="32"/>
          <w:szCs w:val="30"/>
        </w:rPr>
        <w:t>：对辖区</w:t>
      </w:r>
      <w:r>
        <w:rPr>
          <w:rFonts w:ascii="Times New Roman" w:hAnsi="Times New Roman" w:eastAsia="方正仿宋_GBK"/>
          <w:sz w:val="32"/>
          <w:szCs w:val="30"/>
        </w:rPr>
        <w:t>442栋老旧房屋公共部位、排污管</w:t>
      </w:r>
      <w:bookmarkStart w:id="0" w:name="_GoBack"/>
      <w:bookmarkEnd w:id="0"/>
      <w:r>
        <w:rPr>
          <w:rFonts w:ascii="Times New Roman" w:hAnsi="Times New Roman" w:eastAsia="方正仿宋_GBK"/>
          <w:sz w:val="32"/>
          <w:szCs w:val="30"/>
        </w:rPr>
        <w:t>网进行日常管护，消除安全隐患；对98座化粪池进行日常管护，清掏。项目全年预算数为</w:t>
      </w:r>
      <w:r>
        <w:rPr>
          <w:rFonts w:hint="eastAsia" w:ascii="Times New Roman" w:hAnsi="Times New Roman" w:eastAsia="方正仿宋_GBK"/>
          <w:sz w:val="32"/>
          <w:szCs w:val="30"/>
        </w:rPr>
        <w:t>100</w:t>
      </w:r>
      <w:r>
        <w:rPr>
          <w:rFonts w:ascii="Times New Roman" w:hAnsi="Times New Roman" w:eastAsia="方正仿宋_GBK"/>
          <w:sz w:val="32"/>
          <w:szCs w:val="30"/>
        </w:rPr>
        <w:t>万元，执行数为</w:t>
      </w:r>
      <w:r>
        <w:rPr>
          <w:rFonts w:hint="eastAsia" w:ascii="Times New Roman" w:hAnsi="Times New Roman" w:eastAsia="方正仿宋_GBK"/>
          <w:sz w:val="32"/>
          <w:szCs w:val="30"/>
        </w:rPr>
        <w:t>100</w:t>
      </w:r>
      <w:r>
        <w:rPr>
          <w:rFonts w:ascii="Times New Roman" w:hAnsi="Times New Roman" w:eastAsia="方正仿宋_GBK"/>
          <w:sz w:val="32"/>
          <w:szCs w:val="30"/>
        </w:rPr>
        <w:t>万元，完成预算的</w:t>
      </w:r>
      <w:r>
        <w:rPr>
          <w:rFonts w:hint="eastAsia" w:ascii="Times New Roman" w:hAnsi="Times New Roman" w:eastAsia="方正仿宋_GBK"/>
          <w:sz w:val="32"/>
          <w:szCs w:val="30"/>
        </w:rPr>
        <w:t>100</w:t>
      </w:r>
      <w:r>
        <w:rPr>
          <w:rFonts w:ascii="Times New Roman" w:hAnsi="Times New Roman" w:eastAsia="方正仿宋_GBK"/>
          <w:sz w:val="32"/>
          <w:szCs w:val="30"/>
        </w:rPr>
        <w:t>%。主要产出和效果：一是</w:t>
      </w:r>
      <w:r>
        <w:rPr>
          <w:rFonts w:hint="eastAsia" w:ascii="Times New Roman" w:hAnsi="Times New Roman" w:eastAsia="方正仿宋_GBK"/>
          <w:sz w:val="32"/>
          <w:szCs w:val="30"/>
        </w:rPr>
        <w:t>管护房屋覆盖人群20000人；</w:t>
      </w:r>
      <w:r>
        <w:rPr>
          <w:rFonts w:ascii="Times New Roman" w:hAnsi="Times New Roman" w:eastAsia="方正仿宋_GBK"/>
          <w:sz w:val="32"/>
          <w:szCs w:val="30"/>
        </w:rPr>
        <w:t>二是</w:t>
      </w:r>
      <w:r>
        <w:rPr>
          <w:rFonts w:hint="eastAsia" w:ascii="Times New Roman" w:hAnsi="Times New Roman" w:eastAsia="方正仿宋_GBK"/>
          <w:sz w:val="32"/>
          <w:szCs w:val="30"/>
        </w:rPr>
        <w:t>社会满意度100%</w:t>
      </w:r>
      <w:r>
        <w:rPr>
          <w:rFonts w:ascii="Times New Roman" w:hAnsi="Times New Roman" w:eastAsia="方正仿宋_GBK"/>
          <w:sz w:val="32"/>
          <w:szCs w:val="30"/>
        </w:rPr>
        <w:t>。发现的问题及原因，一是</w:t>
      </w:r>
      <w:r>
        <w:rPr>
          <w:rFonts w:hint="eastAsia" w:ascii="Times New Roman" w:hAnsi="Times New Roman" w:eastAsia="方正仿宋_GBK"/>
          <w:sz w:val="32"/>
          <w:szCs w:val="30"/>
        </w:rPr>
        <w:t>维修费用高，原因是房屋过于老旧，维修难度大；</w:t>
      </w:r>
      <w:r>
        <w:rPr>
          <w:rFonts w:ascii="Times New Roman" w:hAnsi="Times New Roman" w:eastAsia="方正仿宋_GBK"/>
          <w:sz w:val="32"/>
          <w:szCs w:val="30"/>
        </w:rPr>
        <w:t>二是</w:t>
      </w:r>
      <w:r>
        <w:rPr>
          <w:rFonts w:hint="eastAsia" w:ascii="Times New Roman" w:hAnsi="Times New Roman" w:eastAsia="方正仿宋_GBK"/>
          <w:sz w:val="32"/>
          <w:szCs w:val="30"/>
        </w:rPr>
        <w:t>管护难度大，主要原因是老旧房屋数量多，共442栋</w:t>
      </w:r>
      <w:r>
        <w:rPr>
          <w:rFonts w:ascii="Times New Roman" w:hAnsi="Times New Roman" w:eastAsia="方正仿宋_GBK"/>
          <w:sz w:val="32"/>
          <w:szCs w:val="30"/>
        </w:rPr>
        <w:t>。下一步改进措施，一是</w:t>
      </w:r>
      <w:r>
        <w:rPr>
          <w:rFonts w:hint="eastAsia" w:ascii="Times New Roman" w:hAnsi="Times New Roman" w:eastAsia="方正仿宋_GBK"/>
          <w:sz w:val="32"/>
          <w:szCs w:val="30"/>
        </w:rPr>
        <w:t>多方比价，在有限的财力范围内做更多的事；</w:t>
      </w:r>
      <w:r>
        <w:rPr>
          <w:rFonts w:ascii="Times New Roman" w:hAnsi="Times New Roman" w:eastAsia="方正仿宋_GBK"/>
          <w:sz w:val="32"/>
          <w:szCs w:val="30"/>
        </w:rPr>
        <w:t>二是</w:t>
      </w:r>
      <w:r>
        <w:rPr>
          <w:rFonts w:hint="eastAsia" w:ascii="Times New Roman" w:hAnsi="Times New Roman" w:eastAsia="方正仿宋_GBK"/>
          <w:sz w:val="32"/>
          <w:szCs w:val="30"/>
        </w:rPr>
        <w:t>调动网格长，及时发现安全隐患</w:t>
      </w:r>
      <w:r>
        <w:rPr>
          <w:rFonts w:ascii="Times New Roman" w:hAnsi="Times New Roman" w:eastAsia="方正仿宋_GBK"/>
          <w:sz w:val="32"/>
          <w:szCs w:val="30"/>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eastAsia" w:ascii="方正黑体_GBK" w:hAnsi="方正黑体_GBK" w:eastAsia="方正黑体_GBK" w:cs="方正黑体_GBK"/>
          <w:b w:val="0"/>
          <w:bCs w:val="0"/>
          <w:sz w:val="32"/>
          <w:szCs w:val="30"/>
        </w:rPr>
      </w:pPr>
      <w:r>
        <w:rPr>
          <w:rStyle w:val="7"/>
          <w:rFonts w:hint="eastAsia" w:ascii="方正黑体_GBK" w:hAnsi="方正黑体_GBK" w:eastAsia="方正黑体_GBK" w:cs="方正黑体_GBK"/>
          <w:b w:val="0"/>
          <w:bCs w:val="0"/>
          <w:sz w:val="32"/>
          <w:szCs w:val="30"/>
          <w:lang w:eastAsia="zh-CN"/>
        </w:rPr>
        <w:t>六、</w:t>
      </w:r>
      <w:r>
        <w:rPr>
          <w:rStyle w:val="7"/>
          <w:rFonts w:hint="eastAsia" w:ascii="方正黑体_GBK" w:hAnsi="方正黑体_GBK" w:eastAsia="方正黑体_GBK" w:cs="方正黑体_GBK"/>
          <w:b w:val="0"/>
          <w:bCs w:val="0"/>
          <w:sz w:val="32"/>
          <w:szCs w:val="30"/>
        </w:rPr>
        <w:t>专业名词解释</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（一）财政拨款收入</w:t>
      </w:r>
      <w:r>
        <w:rPr>
          <w:rFonts w:hint="eastAsia" w:ascii="方正楷体_GBK" w:hAnsi="方正楷体_GBK" w:eastAsia="方正楷体_GBK" w:cs="方正楷体_GBK"/>
          <w:b w:val="0"/>
          <w:bCs w:val="0"/>
          <w:sz w:val="32"/>
          <w:szCs w:val="30"/>
        </w:rPr>
        <w:t>：</w:t>
      </w:r>
      <w:r>
        <w:rPr>
          <w:rFonts w:ascii="Times New Roman" w:hAnsi="Times New Roman" w:eastAsia="方正仿宋_GBK"/>
          <w:sz w:val="32"/>
          <w:szCs w:val="30"/>
        </w:rPr>
        <w:t>指本年度从本级财政部门取得的财政拨款，包括一般公共预算财政拨款和政府性基金预算财政拨款。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（二）事业收入：</w:t>
      </w:r>
      <w:r>
        <w:rPr>
          <w:rFonts w:ascii="Times New Roman" w:hAnsi="Times New Roman" w:eastAsia="方正仿宋_GBK"/>
          <w:sz w:val="32"/>
          <w:szCs w:val="30"/>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（三）经营收入：</w:t>
      </w:r>
      <w:r>
        <w:rPr>
          <w:rFonts w:ascii="Times New Roman" w:hAnsi="Times New Roman" w:eastAsia="方正仿宋_GBK"/>
          <w:sz w:val="32"/>
          <w:szCs w:val="30"/>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（四）其他收入：</w:t>
      </w:r>
      <w:r>
        <w:rPr>
          <w:rFonts w:ascii="Times New Roman" w:hAnsi="Times New Roman" w:eastAsia="方正仿宋_GBK"/>
          <w:sz w:val="32"/>
          <w:szCs w:val="30"/>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（五）用事业基金弥补收支差额：</w:t>
      </w:r>
      <w:r>
        <w:rPr>
          <w:rFonts w:ascii="Times New Roman" w:hAnsi="Times New Roman" w:eastAsia="方正仿宋_GBK"/>
          <w:sz w:val="32"/>
          <w:szCs w:val="30"/>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（六）年初结转和结余：</w:t>
      </w:r>
      <w:r>
        <w:rPr>
          <w:rFonts w:ascii="Times New Roman" w:hAnsi="Times New Roman" w:eastAsia="方正仿宋_GBK"/>
          <w:sz w:val="32"/>
          <w:szCs w:val="30"/>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（七）结余分配：</w:t>
      </w:r>
      <w:r>
        <w:rPr>
          <w:rFonts w:ascii="Times New Roman" w:hAnsi="Times New Roman" w:eastAsia="方正仿宋_GBK"/>
          <w:sz w:val="32"/>
          <w:szCs w:val="30"/>
        </w:rPr>
        <w:t>指单位按照国家有关规定，缴纳所得税、提取专用基金、转入事业基金等当年结余的分配情况。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（八）年末结转和结余：</w:t>
      </w:r>
      <w:r>
        <w:rPr>
          <w:rFonts w:ascii="Times New Roman" w:hAnsi="Times New Roman" w:eastAsia="方正仿宋_GBK"/>
          <w:sz w:val="32"/>
          <w:szCs w:val="30"/>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（九）基本支出：</w:t>
      </w:r>
      <w:r>
        <w:rPr>
          <w:rFonts w:ascii="Times New Roman" w:hAnsi="Times New Roman" w:eastAsia="方正仿宋_GBK"/>
          <w:sz w:val="32"/>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（十）项目支出：</w:t>
      </w:r>
      <w:r>
        <w:rPr>
          <w:rFonts w:ascii="Times New Roman" w:hAnsi="Times New Roman" w:eastAsia="方正仿宋_GBK"/>
          <w:sz w:val="32"/>
          <w:szCs w:val="30"/>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Style w:val="7"/>
          <w:rFonts w:hint="eastAsia" w:ascii="方正楷体_GBK" w:hAnsi="方正楷体_GBK" w:eastAsia="方正楷体_GBK" w:cs="方正楷体_GBK"/>
          <w:b w:val="0"/>
          <w:bCs w:val="0"/>
          <w:sz w:val="32"/>
          <w:szCs w:val="30"/>
        </w:rPr>
        <w:t>（十一）经营支出：</w:t>
      </w:r>
      <w:r>
        <w:rPr>
          <w:rFonts w:ascii="Times New Roman" w:hAnsi="Times New Roman" w:eastAsia="方正仿宋_GBK"/>
          <w:sz w:val="32"/>
          <w:szCs w:val="30"/>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（十二）“三公”经费：</w:t>
      </w:r>
      <w:r>
        <w:rPr>
          <w:rFonts w:ascii="Times New Roman" w:hAnsi="Times New Roman" w:eastAsia="方正仿宋_GBK"/>
          <w:sz w:val="32"/>
          <w:szCs w:val="30"/>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（十三）机关运行经费：</w:t>
      </w:r>
      <w:r>
        <w:rPr>
          <w:rFonts w:ascii="Times New Roman" w:hAnsi="Times New Roman" w:eastAsia="方正仿宋_GBK"/>
          <w:sz w:val="32"/>
          <w:szCs w:val="30"/>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（十四）工资福利支出（支出经济分类科目类级）：</w:t>
      </w:r>
      <w:r>
        <w:rPr>
          <w:rFonts w:ascii="Times New Roman" w:hAnsi="Times New Roman" w:eastAsia="方正仿宋_GBK"/>
          <w:sz w:val="32"/>
          <w:szCs w:val="30"/>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（十五）商品和服务支出（支出经济分类科目类级）：</w:t>
      </w:r>
      <w:r>
        <w:rPr>
          <w:rFonts w:ascii="Times New Roman" w:hAnsi="Times New Roman" w:eastAsia="方正仿宋_GBK"/>
          <w:sz w:val="32"/>
          <w:szCs w:val="30"/>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szCs w:val="30"/>
        </w:rPr>
      </w:pPr>
      <w:r>
        <w:rPr>
          <w:rStyle w:val="7"/>
          <w:rFonts w:hint="eastAsia" w:ascii="方正楷体_GBK" w:hAnsi="方正楷体_GBK" w:eastAsia="方正楷体_GBK" w:cs="方正楷体_GBK"/>
          <w:b w:val="0"/>
          <w:bCs w:val="0"/>
          <w:sz w:val="32"/>
          <w:szCs w:val="30"/>
        </w:rPr>
        <w:t>（十六）对个人和家庭的补助（支出经济分类科目类级）：</w:t>
      </w:r>
      <w:r>
        <w:rPr>
          <w:rFonts w:ascii="Times New Roman" w:hAnsi="Times New Roman" w:eastAsia="方正仿宋_GBK"/>
          <w:sz w:val="32"/>
          <w:szCs w:val="30"/>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Style w:val="7"/>
          <w:rFonts w:hint="eastAsia" w:ascii="方正楷体_GBK" w:hAnsi="方正楷体_GBK" w:eastAsia="方正楷体_GBK" w:cs="方正楷体_GBK"/>
          <w:b w:val="0"/>
          <w:bCs w:val="0"/>
          <w:sz w:val="32"/>
          <w:szCs w:val="30"/>
        </w:rPr>
        <w:t>（十七）其他资本性支出（支出经济分类科目类级）：</w:t>
      </w:r>
      <w:r>
        <w:rPr>
          <w:rFonts w:ascii="Times New Roman" w:hAnsi="Times New Roman" w:eastAsia="方正仿宋_GBK"/>
          <w:sz w:val="32"/>
          <w:szCs w:val="30"/>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hint="eastAsia" w:ascii="方正黑体_GBK" w:hAnsi="方正黑体_GBK" w:eastAsia="方正黑体_GBK" w:cs="方正黑体_GBK"/>
          <w:b w:val="0"/>
          <w:bCs w:val="0"/>
          <w:sz w:val="32"/>
        </w:rPr>
      </w:pPr>
      <w:r>
        <w:rPr>
          <w:rStyle w:val="7"/>
          <w:rFonts w:hint="eastAsia" w:ascii="方正黑体_GBK" w:hAnsi="方正黑体_GBK" w:eastAsia="方正黑体_GBK" w:cs="方正黑体_GBK"/>
          <w:b w:val="0"/>
          <w:bCs w:val="0"/>
          <w:sz w:val="32"/>
          <w:szCs w:val="30"/>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r>
        <w:rPr>
          <w:rFonts w:ascii="Times New Roman" w:hAnsi="Times New Roman" w:eastAsia="方正仿宋_GBK"/>
          <w:sz w:val="32"/>
          <w:szCs w:val="30"/>
        </w:rPr>
        <w:t>本单位决算公开信息反馈和联系方式：</w:t>
      </w:r>
      <w:r>
        <w:rPr>
          <w:rFonts w:hint="eastAsia" w:ascii="Times New Roman" w:hAnsi="Times New Roman" w:eastAsia="方正仿宋_GBK"/>
          <w:sz w:val="32"/>
          <w:szCs w:val="30"/>
        </w:rPr>
        <w:t>联系人：陈艳 联系电话：023-65137275或15320307890。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left="0" w:firstLine="640" w:firstLineChars="200"/>
        <w:jc w:val="both"/>
        <w:textAlignment w:val="auto"/>
        <w:rPr>
          <w:rFonts w:ascii="Times New Roman" w:hAnsi="Times New Roman" w:eastAsia="方正仿宋_GBK"/>
          <w:sz w:val="32"/>
        </w:rPr>
      </w:pPr>
    </w:p>
    <w:sectPr>
      <w:pgSz w:w="11907" w:h="16840"/>
      <w:pgMar w:top="1984" w:right="1446" w:bottom="1644" w:left="1446" w:header="851" w:footer="992" w:gutter="0"/>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C39005"/>
    <w:multiLevelType w:val="singleLevel"/>
    <w:tmpl w:val="BEC39005"/>
    <w:lvl w:ilvl="0" w:tentative="0">
      <w:start w:val="3"/>
      <w:numFmt w:val="chineseCounting"/>
      <w:suff w:val="nothing"/>
      <w:lvlText w:val="%1、"/>
      <w:lvlJc w:val="left"/>
      <w:pPr>
        <w:ind w:left="150" w:leftChars="0" w:firstLine="0" w:firstLineChars="0"/>
      </w:pPr>
      <w:rPr>
        <w:rFonts w:hint="eastAsia"/>
      </w:rPr>
    </w:lvl>
  </w:abstractNum>
  <w:abstractNum w:abstractNumId="1">
    <w:nsid w:val="EFEF3A8E"/>
    <w:multiLevelType w:val="singleLevel"/>
    <w:tmpl w:val="EFEF3A8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58"/>
    <w:rsid w:val="0002424D"/>
    <w:rsid w:val="001016F7"/>
    <w:rsid w:val="00140579"/>
    <w:rsid w:val="00145BEF"/>
    <w:rsid w:val="00151758"/>
    <w:rsid w:val="0015262D"/>
    <w:rsid w:val="001D2CE0"/>
    <w:rsid w:val="00225442"/>
    <w:rsid w:val="00256710"/>
    <w:rsid w:val="002723D1"/>
    <w:rsid w:val="002777B7"/>
    <w:rsid w:val="00284741"/>
    <w:rsid w:val="003124FB"/>
    <w:rsid w:val="003157E4"/>
    <w:rsid w:val="00341250"/>
    <w:rsid w:val="003938C6"/>
    <w:rsid w:val="00432BD4"/>
    <w:rsid w:val="00436218"/>
    <w:rsid w:val="004A7AF5"/>
    <w:rsid w:val="00640222"/>
    <w:rsid w:val="00675F20"/>
    <w:rsid w:val="00703AC9"/>
    <w:rsid w:val="007371DB"/>
    <w:rsid w:val="00762259"/>
    <w:rsid w:val="007A2AA7"/>
    <w:rsid w:val="007A70EA"/>
    <w:rsid w:val="007B05C7"/>
    <w:rsid w:val="008114A8"/>
    <w:rsid w:val="00811994"/>
    <w:rsid w:val="00864104"/>
    <w:rsid w:val="009202F3"/>
    <w:rsid w:val="00965CDE"/>
    <w:rsid w:val="0098498B"/>
    <w:rsid w:val="009B0A11"/>
    <w:rsid w:val="009D1524"/>
    <w:rsid w:val="009E7404"/>
    <w:rsid w:val="00A14443"/>
    <w:rsid w:val="00AA6BB1"/>
    <w:rsid w:val="00AC3F78"/>
    <w:rsid w:val="00AC4B5A"/>
    <w:rsid w:val="00AD6760"/>
    <w:rsid w:val="00AF19EE"/>
    <w:rsid w:val="00B12712"/>
    <w:rsid w:val="00B91DD1"/>
    <w:rsid w:val="00BD0AEB"/>
    <w:rsid w:val="00BE6BF9"/>
    <w:rsid w:val="00C6070A"/>
    <w:rsid w:val="00CD2BE4"/>
    <w:rsid w:val="00CE3AEC"/>
    <w:rsid w:val="00D737EE"/>
    <w:rsid w:val="00DD3E6B"/>
    <w:rsid w:val="00E52F58"/>
    <w:rsid w:val="00E6696A"/>
    <w:rsid w:val="00E97E59"/>
    <w:rsid w:val="00EB1898"/>
    <w:rsid w:val="00EC1C7E"/>
    <w:rsid w:val="00F04CB3"/>
    <w:rsid w:val="00F82329"/>
    <w:rsid w:val="00FC6431"/>
    <w:rsid w:val="00FF36CF"/>
    <w:rsid w:val="00FF3F26"/>
    <w:rsid w:val="022B0DBE"/>
    <w:rsid w:val="02802AD8"/>
    <w:rsid w:val="02D67343"/>
    <w:rsid w:val="02E75850"/>
    <w:rsid w:val="03C6070C"/>
    <w:rsid w:val="05A43B70"/>
    <w:rsid w:val="07707378"/>
    <w:rsid w:val="08995AED"/>
    <w:rsid w:val="0BD7397F"/>
    <w:rsid w:val="0F265780"/>
    <w:rsid w:val="13E449DF"/>
    <w:rsid w:val="18DD2AE6"/>
    <w:rsid w:val="19884DD6"/>
    <w:rsid w:val="1B0D63F1"/>
    <w:rsid w:val="1F8C309E"/>
    <w:rsid w:val="20D6375F"/>
    <w:rsid w:val="26D43CDC"/>
    <w:rsid w:val="28341C32"/>
    <w:rsid w:val="2AFD0432"/>
    <w:rsid w:val="2AFE4E08"/>
    <w:rsid w:val="2F7B378D"/>
    <w:rsid w:val="3D7A4D28"/>
    <w:rsid w:val="42EB7570"/>
    <w:rsid w:val="44421B6B"/>
    <w:rsid w:val="452F2C12"/>
    <w:rsid w:val="45AD21DB"/>
    <w:rsid w:val="487F5FFF"/>
    <w:rsid w:val="48B2780B"/>
    <w:rsid w:val="493754A8"/>
    <w:rsid w:val="498D791B"/>
    <w:rsid w:val="4A8627A4"/>
    <w:rsid w:val="4B1D4DDE"/>
    <w:rsid w:val="4C300A16"/>
    <w:rsid w:val="4D18655F"/>
    <w:rsid w:val="4D595771"/>
    <w:rsid w:val="4DB50157"/>
    <w:rsid w:val="4DE82700"/>
    <w:rsid w:val="4DF05480"/>
    <w:rsid w:val="525C76FD"/>
    <w:rsid w:val="53A268DC"/>
    <w:rsid w:val="53FB6588"/>
    <w:rsid w:val="54AB5D5D"/>
    <w:rsid w:val="54D95396"/>
    <w:rsid w:val="55A22F9A"/>
    <w:rsid w:val="571C2D7E"/>
    <w:rsid w:val="575D0A7C"/>
    <w:rsid w:val="579039F8"/>
    <w:rsid w:val="579110B5"/>
    <w:rsid w:val="57F4356E"/>
    <w:rsid w:val="580D1B79"/>
    <w:rsid w:val="5C713AAB"/>
    <w:rsid w:val="5EC76DF0"/>
    <w:rsid w:val="60452EA3"/>
    <w:rsid w:val="609B549C"/>
    <w:rsid w:val="61871DA9"/>
    <w:rsid w:val="62445B20"/>
    <w:rsid w:val="65701FA4"/>
    <w:rsid w:val="66E825BB"/>
    <w:rsid w:val="6BAC1461"/>
    <w:rsid w:val="6F826C3D"/>
    <w:rsid w:val="70440573"/>
    <w:rsid w:val="729B3A66"/>
    <w:rsid w:val="793971C1"/>
    <w:rsid w:val="7EFB2F03"/>
    <w:rsid w:val="7F685103"/>
    <w:rsid w:val="7FC0340B"/>
    <w:rsid w:val="7FF10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styleId="8">
    <w:name w:val="page number"/>
    <w:basedOn w:val="6"/>
    <w:qFormat/>
    <w:uiPriority w:val="0"/>
  </w:style>
  <w:style w:type="character" w:customStyle="1" w:styleId="9">
    <w:name w:val="页眉 Char"/>
    <w:basedOn w:val="6"/>
    <w:link w:val="3"/>
    <w:semiHidden/>
    <w:qFormat/>
    <w:uiPriority w:val="99"/>
    <w:rPr>
      <w:rFonts w:ascii="宋体" w:hAnsi="宋体" w:eastAsia="宋体" w:cs="宋体"/>
      <w:sz w:val="18"/>
      <w:szCs w:val="18"/>
    </w:rPr>
  </w:style>
  <w:style w:type="character" w:customStyle="1" w:styleId="10">
    <w:name w:val="页脚 Char"/>
    <w:basedOn w:val="6"/>
    <w:link w:val="2"/>
    <w:semiHidden/>
    <w:qFormat/>
    <w:uiPriority w:val="99"/>
    <w:rPr>
      <w:rFonts w:ascii="宋体" w:hAnsi="宋体" w:eastAsia="宋体" w:cs="宋体"/>
      <w:sz w:val="18"/>
      <w:szCs w:val="18"/>
    </w:rPr>
  </w:style>
  <w:style w:type="paragraph" w:customStyle="1" w:styleId="11">
    <w:name w:val="普通(网站) Char"/>
    <w:basedOn w:val="1"/>
    <w:link w:val="13"/>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5"/>
    <w:basedOn w:val="6"/>
    <w:qFormat/>
    <w:uiPriority w:val="0"/>
    <w:rPr>
      <w:rFonts w:hint="default" w:ascii="Calibri" w:hAnsi="Calibri" w:cs="Calibri"/>
      <w:b/>
    </w:rPr>
  </w:style>
  <w:style w:type="character" w:customStyle="1" w:styleId="13">
    <w:name w:val="普通(网站) Char Char"/>
    <w:link w:val="11"/>
    <w:qFormat/>
    <w:uiPriority w:val="0"/>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1136</Words>
  <Characters>6476</Characters>
  <Lines>53</Lines>
  <Paragraphs>15</Paragraphs>
  <TotalTime>263</TotalTime>
  <ScaleCrop>false</ScaleCrop>
  <LinksUpToDate>false</LinksUpToDate>
  <CharactersWithSpaces>7597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2020-08-06T08:04:00Z</dcterms:created>
  <dc:creator>Administrator</dc:creator>
  <cp:lastModifiedBy>陈燕</cp:lastModifiedBy>
  <cp:lastPrinted>2020-08-12T08:01:00Z</cp:lastPrinted>
  <dcterms:modified xsi:type="dcterms:W3CDTF">2020-08-13T03:55:22Z</dcterms:modified>
  <dc:title>公开报告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