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宋体"/>
          <w:b/>
          <w:sz w:val="36"/>
          <w:szCs w:val="36"/>
        </w:rPr>
      </w:pPr>
      <w:r>
        <w:rPr>
          <w:rFonts w:hint="eastAsia" w:ascii="黑体" w:hAnsi="宋体" w:eastAsia="黑体" w:cs="宋体"/>
          <w:b/>
          <w:sz w:val="36"/>
          <w:szCs w:val="36"/>
        </w:rPr>
        <w:t>沙坪坝区园林绿化养护作业考核办法</w:t>
      </w:r>
    </w:p>
    <w:p>
      <w:pPr>
        <w:rPr>
          <w:rFonts w:hint="eastAsia" w:ascii="黑体" w:hAnsi="宋体" w:eastAsia="黑体" w:cs="宋体"/>
          <w:b/>
          <w:sz w:val="36"/>
          <w:szCs w:val="36"/>
        </w:rPr>
      </w:pPr>
    </w:p>
    <w:p>
      <w:pPr>
        <w:ind w:firstLine="182"/>
        <w:jc w:val="center"/>
        <w:rPr>
          <w:rFonts w:hint="eastAsia" w:ascii="仿宋" w:hAnsi="仿宋" w:eastAsia="仿宋" w:cs="仿宋"/>
          <w:b/>
          <w:sz w:val="28"/>
          <w:szCs w:val="28"/>
        </w:rPr>
      </w:pPr>
      <w:r>
        <w:rPr>
          <w:rFonts w:hint="eastAsia" w:ascii="仿宋" w:hAnsi="仿宋" w:eastAsia="仿宋" w:cs="仿宋"/>
          <w:b/>
          <w:sz w:val="28"/>
          <w:szCs w:val="28"/>
        </w:rPr>
        <w:t>第一章  总则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第一条  为规范沙坪坝区园林绿化养护工作，正确评价养护作业单位工作质量，推进园林绿化养护作业市场化，实施精细化长效管护。根据《重庆市园林绿化养护质量标准》，结合我区制定的《沙坪坝区市街绿化养护作业手册》以及沙坪坝区园林绿化的实际情况，制定本办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第二条  重庆市沙坪坝区市政园林管理局是本办法实施的监督、检查、考核的主管部门。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第三条  重庆市沙坪坝区绿化工程处（以下简称绿化处）是主次干道一级、二级养护绿化管理、考核的组织实施部门。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第四条  本办法适用于在沙坪坝区范围内，投标进行园林绿化养护作业的园林绿化单位。</w:t>
      </w:r>
    </w:p>
    <w:p>
      <w:pPr>
        <w:ind w:firstLine="157" w:firstLineChars="56"/>
        <w:jc w:val="center"/>
        <w:rPr>
          <w:rFonts w:hint="eastAsia" w:ascii="仿宋" w:hAnsi="仿宋" w:eastAsia="仿宋" w:cs="仿宋"/>
          <w:b/>
          <w:sz w:val="28"/>
          <w:szCs w:val="28"/>
        </w:rPr>
      </w:pPr>
      <w:r>
        <w:rPr>
          <w:rFonts w:hint="eastAsia" w:ascii="仿宋" w:hAnsi="仿宋" w:eastAsia="仿宋" w:cs="仿宋"/>
          <w:b/>
          <w:sz w:val="28"/>
          <w:szCs w:val="28"/>
        </w:rPr>
        <w:t>第二章  考核范围及内容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第五条  考核范围：沙区范围内的主、次干道沿线绿化分隔带、绿带、花台、转盘及立交桥绿地、游园、护坡绿化、立体绿化、行道树的管护质量。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第六条  考核内容（详见沙坪坝区园林绿化养</w:t>
      </w:r>
      <w:bookmarkStart w:id="0" w:name="_GoBack"/>
      <w:bookmarkEnd w:id="0"/>
      <w:r>
        <w:rPr>
          <w:rFonts w:hint="eastAsia" w:ascii="仿宋" w:hAnsi="仿宋" w:eastAsia="仿宋" w:cs="仿宋"/>
          <w:sz w:val="28"/>
          <w:szCs w:val="28"/>
        </w:rPr>
        <w:t>护作业考核实施细则）。</w:t>
      </w:r>
    </w:p>
    <w:p>
      <w:pPr>
        <w:ind w:firstLine="560" w:firstLineChars="200"/>
        <w:rPr>
          <w:rFonts w:hint="eastAsia" w:ascii="仿宋" w:hAnsi="仿宋" w:eastAsia="仿宋" w:cs="仿宋"/>
          <w:sz w:val="28"/>
          <w:szCs w:val="28"/>
        </w:rPr>
      </w:pPr>
    </w:p>
    <w:p>
      <w:pPr>
        <w:rPr>
          <w:rFonts w:hint="eastAsia" w:ascii="仿宋" w:hAnsi="仿宋" w:eastAsia="仿宋" w:cs="仿宋"/>
          <w:sz w:val="28"/>
          <w:szCs w:val="28"/>
        </w:rPr>
      </w:pPr>
    </w:p>
    <w:p>
      <w:pPr>
        <w:ind w:firstLine="472" w:firstLineChars="168"/>
        <w:jc w:val="center"/>
        <w:rPr>
          <w:rFonts w:hint="eastAsia" w:ascii="仿宋" w:hAnsi="仿宋" w:eastAsia="仿宋" w:cs="仿宋"/>
          <w:b/>
          <w:sz w:val="28"/>
          <w:szCs w:val="28"/>
        </w:rPr>
      </w:pPr>
      <w:r>
        <w:rPr>
          <w:rFonts w:hint="eastAsia" w:ascii="仿宋" w:hAnsi="仿宋" w:eastAsia="仿宋" w:cs="仿宋"/>
          <w:b/>
          <w:sz w:val="28"/>
          <w:szCs w:val="28"/>
        </w:rPr>
        <w:t>第三章 考核方式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第七条  沙坪坝区园林绿化养护作业考核以日常考核与月考核相结合，实行百分制。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第八条  日常考核为不定期考核，主次干道由绿化处绿化监管员按照《重庆市园林绿化养护质量标准》、《沙坪坝区园林绿化养护作业考核办法》《沙坪坝区园林绿化养护作业考核实施细则》，结合养护作业单位每月工作计划完成情况，对养护工作质量、安全文明作业、设施巡查和清洁等进行考核。绿化监督员在进行考核时，必须详实记录考核时间、地点和考核情况，同时提取照片资料并以书面形式通知养护作业单位签收确认。</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月考核每月进行一次，主次干道由绿化处组织，绿化处主管领导或分管领导参加考核，存在的问题即为扣分点。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第九条 因管护不到位引发媒体负面报道，市、区通报批评，上级点名批评，经查属实纳入考核结果（简称网络舆情）。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第十条  以沙区市政园林局每周、月发布的《沙区数字城管通报》为依据，将沙区数字化城市管理中心派发案件的处置工作，纳入考核结果（简称数字化案件）。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第十一条  考核得分：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每月考核得分＝日常考核得分（100－扣分）×</w:t>
      </w:r>
      <w:r>
        <w:rPr>
          <w:rFonts w:hint="eastAsia" w:ascii="仿宋" w:hAnsi="仿宋" w:eastAsia="仿宋" w:cs="仿宋"/>
          <w:color w:val="FF0000"/>
          <w:sz w:val="28"/>
          <w:szCs w:val="28"/>
        </w:rPr>
        <w:t>30%</w:t>
      </w:r>
      <w:r>
        <w:rPr>
          <w:rFonts w:hint="eastAsia" w:ascii="仿宋" w:hAnsi="仿宋" w:eastAsia="仿宋" w:cs="仿宋"/>
          <w:color w:val="FF0000"/>
          <w:sz w:val="28"/>
          <w:szCs w:val="28"/>
          <w:lang w:eastAsia="zh-CN"/>
        </w:rPr>
        <w:t>（建议改为</w:t>
      </w:r>
      <w:r>
        <w:rPr>
          <w:rFonts w:hint="eastAsia" w:ascii="仿宋" w:hAnsi="仿宋" w:eastAsia="仿宋" w:cs="仿宋"/>
          <w:color w:val="FF0000"/>
          <w:sz w:val="28"/>
          <w:szCs w:val="28"/>
          <w:lang w:val="en-US" w:eastAsia="zh-CN"/>
        </w:rPr>
        <w:t>70%</w:t>
      </w:r>
      <w:r>
        <w:rPr>
          <w:rFonts w:hint="eastAsia" w:ascii="仿宋" w:hAnsi="仿宋" w:eastAsia="仿宋" w:cs="仿宋"/>
          <w:color w:val="FF0000"/>
          <w:sz w:val="28"/>
          <w:szCs w:val="28"/>
          <w:lang w:eastAsia="zh-CN"/>
        </w:rPr>
        <w:t>）</w:t>
      </w:r>
      <w:r>
        <w:rPr>
          <w:rFonts w:hint="eastAsia" w:ascii="仿宋" w:hAnsi="仿宋" w:eastAsia="仿宋" w:cs="仿宋"/>
          <w:sz w:val="28"/>
          <w:szCs w:val="28"/>
        </w:rPr>
        <w:t>+月度考核得分（100－扣分）×</w:t>
      </w:r>
      <w:r>
        <w:rPr>
          <w:rFonts w:hint="eastAsia" w:ascii="仿宋" w:hAnsi="仿宋" w:eastAsia="仿宋" w:cs="仿宋"/>
          <w:color w:val="FF0000"/>
          <w:sz w:val="28"/>
          <w:szCs w:val="28"/>
        </w:rPr>
        <w:t>70%</w:t>
      </w:r>
      <w:r>
        <w:rPr>
          <w:rFonts w:hint="eastAsia" w:ascii="仿宋" w:hAnsi="仿宋" w:eastAsia="仿宋" w:cs="仿宋"/>
          <w:color w:val="FF0000"/>
          <w:sz w:val="28"/>
          <w:szCs w:val="28"/>
          <w:lang w:eastAsia="zh-CN"/>
        </w:rPr>
        <w:t>（建议改为</w:t>
      </w:r>
      <w:r>
        <w:rPr>
          <w:rFonts w:hint="eastAsia" w:ascii="仿宋" w:hAnsi="仿宋" w:eastAsia="仿宋" w:cs="仿宋"/>
          <w:color w:val="FF0000"/>
          <w:sz w:val="28"/>
          <w:szCs w:val="28"/>
          <w:lang w:val="en-US" w:eastAsia="zh-CN"/>
        </w:rPr>
        <w:t>30%</w:t>
      </w:r>
      <w:r>
        <w:rPr>
          <w:rFonts w:hint="eastAsia" w:ascii="仿宋" w:hAnsi="仿宋" w:eastAsia="仿宋" w:cs="仿宋"/>
          <w:color w:val="FF0000"/>
          <w:sz w:val="28"/>
          <w:szCs w:val="28"/>
          <w:lang w:eastAsia="zh-CN"/>
        </w:rPr>
        <w:t>）</w:t>
      </w:r>
      <w:r>
        <w:rPr>
          <w:rFonts w:hint="eastAsia" w:ascii="仿宋" w:hAnsi="仿宋" w:eastAsia="仿宋" w:cs="仿宋"/>
          <w:sz w:val="28"/>
          <w:szCs w:val="28"/>
        </w:rPr>
        <w:t>－网络舆情扣分－数字化案件处置扣分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第十二条  考核结果的使用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（一）每月考核得分情况与当月管护经费的发放挂钩：</w:t>
      </w:r>
    </w:p>
    <w:p>
      <w:pPr>
        <w:tabs>
          <w:tab w:val="left" w:pos="720"/>
          <w:tab w:val="left" w:pos="900"/>
        </w:tabs>
        <w:ind w:left="420" w:leftChars="200"/>
        <w:rPr>
          <w:rFonts w:hint="eastAsia" w:ascii="仿宋" w:hAnsi="仿宋" w:eastAsia="仿宋" w:cs="仿宋"/>
          <w:sz w:val="28"/>
          <w:szCs w:val="28"/>
        </w:rPr>
      </w:pPr>
      <w:r>
        <w:rPr>
          <w:rFonts w:hint="eastAsia" w:ascii="仿宋" w:hAnsi="仿宋" w:eastAsia="仿宋" w:cs="仿宋"/>
          <w:sz w:val="28"/>
          <w:szCs w:val="28"/>
        </w:rPr>
        <w:t>A、每月考核得分在95分以上（含95分），执行中标单价。</w:t>
      </w:r>
    </w:p>
    <w:p>
      <w:pPr>
        <w:tabs>
          <w:tab w:val="left" w:pos="720"/>
          <w:tab w:val="left" w:pos="900"/>
        </w:tabs>
        <w:ind w:left="420" w:leftChars="200"/>
        <w:rPr>
          <w:rFonts w:hint="eastAsia" w:ascii="仿宋" w:hAnsi="仿宋" w:eastAsia="仿宋" w:cs="仿宋"/>
          <w:sz w:val="28"/>
          <w:szCs w:val="28"/>
        </w:rPr>
      </w:pPr>
      <w:r>
        <w:rPr>
          <w:rFonts w:hint="eastAsia" w:ascii="仿宋" w:hAnsi="仿宋" w:eastAsia="仿宋" w:cs="仿宋"/>
          <w:sz w:val="28"/>
          <w:szCs w:val="28"/>
        </w:rPr>
        <w:t>B、每月考核得分在95分以下，当月管护经费单价下浮。</w:t>
      </w:r>
    </w:p>
    <w:p>
      <w:pPr>
        <w:tabs>
          <w:tab w:val="left" w:pos="720"/>
        </w:tabs>
        <w:ind w:firstLine="560" w:firstLineChars="200"/>
        <w:rPr>
          <w:rFonts w:hint="eastAsia" w:ascii="仿宋" w:hAnsi="仿宋" w:eastAsia="仿宋" w:cs="仿宋"/>
          <w:sz w:val="28"/>
          <w:szCs w:val="28"/>
        </w:rPr>
      </w:pPr>
      <w:r>
        <w:rPr>
          <w:rFonts w:hint="eastAsia" w:ascii="仿宋" w:hAnsi="仿宋" w:eastAsia="仿宋" w:cs="仿宋"/>
          <w:sz w:val="28"/>
          <w:szCs w:val="28"/>
        </w:rPr>
        <w:t>B1、每月考核得分在94分（含94分）至95分，当月管护经费单价下浮1%。</w:t>
      </w:r>
    </w:p>
    <w:p>
      <w:pPr>
        <w:tabs>
          <w:tab w:val="left" w:pos="540"/>
        </w:tabs>
        <w:ind w:firstLine="560" w:firstLineChars="200"/>
        <w:rPr>
          <w:rFonts w:hint="eastAsia" w:ascii="仿宋" w:hAnsi="仿宋" w:eastAsia="仿宋" w:cs="仿宋"/>
          <w:sz w:val="28"/>
          <w:szCs w:val="28"/>
        </w:rPr>
      </w:pPr>
      <w:r>
        <w:rPr>
          <w:rFonts w:hint="eastAsia" w:ascii="仿宋" w:hAnsi="仿宋" w:eastAsia="仿宋" w:cs="仿宋"/>
          <w:sz w:val="28"/>
          <w:szCs w:val="28"/>
        </w:rPr>
        <w:t>B2、每月考核得分在93分（含93分）至94分，当月管护经费单价下浮2%。</w:t>
      </w:r>
    </w:p>
    <w:p>
      <w:pPr>
        <w:tabs>
          <w:tab w:val="left" w:pos="540"/>
        </w:tabs>
        <w:ind w:firstLine="560" w:firstLineChars="200"/>
        <w:rPr>
          <w:rFonts w:hint="eastAsia" w:ascii="仿宋" w:hAnsi="仿宋" w:eastAsia="仿宋" w:cs="仿宋"/>
          <w:sz w:val="28"/>
          <w:szCs w:val="28"/>
        </w:rPr>
      </w:pPr>
      <w:r>
        <w:rPr>
          <w:rFonts w:hint="eastAsia" w:ascii="仿宋" w:hAnsi="仿宋" w:eastAsia="仿宋" w:cs="仿宋"/>
          <w:sz w:val="28"/>
          <w:szCs w:val="28"/>
        </w:rPr>
        <w:t>B3、每月考核得分在92分（含92分）至93分，当月管护经费单价下浮5%。</w:t>
      </w:r>
    </w:p>
    <w:p>
      <w:pPr>
        <w:tabs>
          <w:tab w:val="left" w:pos="540"/>
        </w:tabs>
        <w:ind w:firstLine="560" w:firstLineChars="200"/>
        <w:rPr>
          <w:rFonts w:hint="eastAsia" w:ascii="仿宋" w:hAnsi="仿宋" w:eastAsia="仿宋" w:cs="仿宋"/>
          <w:sz w:val="28"/>
          <w:szCs w:val="28"/>
        </w:rPr>
      </w:pPr>
      <w:r>
        <w:rPr>
          <w:rFonts w:hint="eastAsia" w:ascii="仿宋" w:hAnsi="仿宋" w:eastAsia="仿宋" w:cs="仿宋"/>
          <w:sz w:val="28"/>
          <w:szCs w:val="28"/>
        </w:rPr>
        <w:t>B4、每月考核得分在91分（含91分）至92分，当月管护经费单价下浮8%。</w:t>
      </w:r>
    </w:p>
    <w:p>
      <w:pPr>
        <w:tabs>
          <w:tab w:val="left" w:pos="540"/>
        </w:tabs>
        <w:ind w:firstLine="560" w:firstLineChars="200"/>
        <w:rPr>
          <w:rFonts w:hint="eastAsia" w:ascii="仿宋" w:hAnsi="仿宋" w:eastAsia="仿宋" w:cs="仿宋"/>
          <w:sz w:val="28"/>
          <w:szCs w:val="28"/>
        </w:rPr>
      </w:pPr>
      <w:r>
        <w:rPr>
          <w:rFonts w:hint="eastAsia" w:ascii="仿宋" w:hAnsi="仿宋" w:eastAsia="仿宋" w:cs="仿宋"/>
          <w:sz w:val="28"/>
          <w:szCs w:val="28"/>
        </w:rPr>
        <w:t>B5、每月考核得分在90分（含90分）至91分，当月管护经费单价下浮10%。</w:t>
      </w:r>
    </w:p>
    <w:p>
      <w:pPr>
        <w:tabs>
          <w:tab w:val="left" w:pos="540"/>
        </w:tabs>
        <w:ind w:firstLine="560" w:firstLineChars="200"/>
        <w:rPr>
          <w:rFonts w:hint="eastAsia" w:ascii="仿宋" w:hAnsi="仿宋" w:eastAsia="仿宋" w:cs="仿宋"/>
          <w:sz w:val="28"/>
          <w:szCs w:val="28"/>
        </w:rPr>
      </w:pPr>
      <w:r>
        <w:rPr>
          <w:rFonts w:hint="eastAsia" w:ascii="仿宋" w:hAnsi="仿宋" w:eastAsia="仿宋" w:cs="仿宋"/>
          <w:sz w:val="28"/>
          <w:szCs w:val="28"/>
        </w:rPr>
        <w:t>B6、每月考核得分在89分（含89分）至90分，当月管护经费单价下浮15%。</w:t>
      </w:r>
    </w:p>
    <w:p>
      <w:pPr>
        <w:tabs>
          <w:tab w:val="left" w:pos="540"/>
        </w:tabs>
        <w:ind w:firstLine="560" w:firstLineChars="200"/>
        <w:rPr>
          <w:rFonts w:hint="eastAsia" w:ascii="仿宋" w:hAnsi="仿宋" w:eastAsia="仿宋" w:cs="仿宋"/>
          <w:sz w:val="28"/>
          <w:szCs w:val="28"/>
        </w:rPr>
      </w:pPr>
      <w:r>
        <w:rPr>
          <w:rFonts w:hint="eastAsia" w:ascii="仿宋" w:hAnsi="仿宋" w:eastAsia="仿宋" w:cs="仿宋"/>
          <w:sz w:val="28"/>
          <w:szCs w:val="28"/>
        </w:rPr>
        <w:t>B7、每月考核得分在88分（含88分）至89分，当月管护经费单价下浮20%。</w:t>
      </w:r>
    </w:p>
    <w:p>
      <w:pPr>
        <w:tabs>
          <w:tab w:val="left" w:pos="540"/>
        </w:tabs>
        <w:ind w:firstLine="560" w:firstLineChars="200"/>
        <w:rPr>
          <w:rFonts w:hint="eastAsia" w:ascii="仿宋" w:hAnsi="仿宋" w:eastAsia="仿宋" w:cs="仿宋"/>
          <w:sz w:val="28"/>
          <w:szCs w:val="28"/>
        </w:rPr>
      </w:pPr>
      <w:r>
        <w:rPr>
          <w:rFonts w:hint="eastAsia" w:ascii="仿宋" w:hAnsi="仿宋" w:eastAsia="仿宋" w:cs="仿宋"/>
          <w:sz w:val="28"/>
          <w:szCs w:val="28"/>
        </w:rPr>
        <w:t>B8、每月考核得分在87分（含87分）至88分，当月管护经费单价下浮25%。</w:t>
      </w:r>
    </w:p>
    <w:p>
      <w:pPr>
        <w:tabs>
          <w:tab w:val="left" w:pos="540"/>
        </w:tabs>
        <w:ind w:firstLine="560" w:firstLineChars="200"/>
        <w:rPr>
          <w:rFonts w:hint="eastAsia" w:ascii="仿宋" w:hAnsi="仿宋" w:eastAsia="仿宋" w:cs="仿宋"/>
          <w:sz w:val="28"/>
          <w:szCs w:val="28"/>
        </w:rPr>
      </w:pPr>
      <w:r>
        <w:rPr>
          <w:rFonts w:hint="eastAsia" w:ascii="仿宋" w:hAnsi="仿宋" w:eastAsia="仿宋" w:cs="仿宋"/>
          <w:sz w:val="28"/>
          <w:szCs w:val="28"/>
        </w:rPr>
        <w:t>B9、每月考核得分在86分（含86分）至87分，当月管护经费单价下浮30%。</w:t>
      </w:r>
    </w:p>
    <w:p>
      <w:pPr>
        <w:tabs>
          <w:tab w:val="left" w:pos="540"/>
        </w:tabs>
        <w:ind w:firstLine="560" w:firstLineChars="200"/>
        <w:rPr>
          <w:rFonts w:hint="eastAsia" w:ascii="仿宋" w:hAnsi="仿宋" w:eastAsia="仿宋" w:cs="仿宋"/>
          <w:sz w:val="28"/>
          <w:szCs w:val="28"/>
        </w:rPr>
      </w:pPr>
      <w:r>
        <w:rPr>
          <w:rFonts w:hint="eastAsia" w:ascii="仿宋" w:hAnsi="仿宋" w:eastAsia="仿宋" w:cs="仿宋"/>
          <w:sz w:val="28"/>
          <w:szCs w:val="28"/>
        </w:rPr>
        <w:t>B10、每月考核得分在85分（含85分）至86分，当月管护经费单价下浮40%。</w:t>
      </w:r>
    </w:p>
    <w:p>
      <w:pPr>
        <w:tabs>
          <w:tab w:val="left" w:pos="720"/>
        </w:tabs>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C、每月考核得分在85分以下，当月管护经费单价下浮50%。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中标人若连续两个月考核得分在85分以下，业主单位可以终止管护合同，并由片区内另一中标养护作业单位按照该单位中标价该进行代管，代管时长不得超过60天。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（三）养护作业单位不得以任何理由拒绝检查、考核，并予以签字确认。</w:t>
      </w:r>
    </w:p>
    <w:p>
      <w:pPr>
        <w:ind w:firstLine="472" w:firstLineChars="168"/>
        <w:jc w:val="center"/>
        <w:rPr>
          <w:rFonts w:hint="eastAsia" w:ascii="仿宋" w:hAnsi="仿宋" w:eastAsia="仿宋" w:cs="仿宋"/>
          <w:b/>
          <w:sz w:val="28"/>
          <w:szCs w:val="28"/>
        </w:rPr>
      </w:pPr>
      <w:r>
        <w:rPr>
          <w:rFonts w:hint="eastAsia" w:ascii="仿宋" w:hAnsi="仿宋" w:eastAsia="仿宋" w:cs="仿宋"/>
          <w:b/>
          <w:sz w:val="28"/>
          <w:szCs w:val="28"/>
        </w:rPr>
        <w:t>第四章 申辩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第十三条  养护作业单位认为考核不合理的，应在两个工作日内以书面形式向绿化处提出申辩；绿化处需在三个工作日内以书面形式向申辩单位作出答复。如仍有异议，可向沙区市政园林管理局提出申辩。</w:t>
      </w:r>
    </w:p>
    <w:p>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第五章 其它</w:t>
      </w:r>
    </w:p>
    <w:p>
      <w:pPr>
        <w:ind w:firstLine="560" w:firstLineChars="200"/>
        <w:rPr>
          <w:rFonts w:hint="eastAsia" w:ascii="宋体" w:hAnsi="宋体"/>
          <w:sz w:val="32"/>
        </w:rPr>
      </w:pPr>
      <w:r>
        <w:rPr>
          <w:rFonts w:hint="eastAsia" w:ascii="仿宋" w:hAnsi="仿宋" w:eastAsia="仿宋" w:cs="仿宋"/>
          <w:sz w:val="28"/>
          <w:szCs w:val="28"/>
        </w:rPr>
        <w:t>本办法自二〇一五年一月一日起实施。操作过程中依据实际情况进行的修改招标人以书面形式通知养护作业单位。</w:t>
      </w:r>
    </w:p>
    <w:p>
      <w:pPr>
        <w:ind w:firstLine="179" w:firstLineChars="56"/>
        <w:rPr>
          <w:rFonts w:hint="eastAsia" w:ascii="宋体" w:hAnsi="宋体"/>
          <w:sz w:val="32"/>
        </w:rPr>
      </w:pPr>
    </w:p>
    <w:p>
      <w:pPr>
        <w:ind w:firstLine="537" w:firstLineChars="168"/>
        <w:rPr>
          <w:rFonts w:hint="eastAsia" w:ascii="宋体" w:hAnsi="宋体" w:cs="宋体"/>
          <w:sz w:val="32"/>
          <w:szCs w:val="32"/>
        </w:rPr>
      </w:pPr>
    </w:p>
    <w:p>
      <w:pPr>
        <w:rPr>
          <w:rFonts w:hint="eastAsia" w:ascii="宋体" w:hAnsi="宋体" w:cs="宋体"/>
          <w:sz w:val="32"/>
          <w:szCs w:val="32"/>
        </w:rPr>
      </w:pPr>
    </w:p>
    <w:p>
      <w:pPr>
        <w:jc w:val="left"/>
        <w:rPr>
          <w:rFonts w:hint="eastAsia"/>
          <w:lang w:val="en-US" w:eastAsia="zh-CN"/>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4</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6697"/>
    <w:rsid w:val="00172E23"/>
    <w:rsid w:val="00503419"/>
    <w:rsid w:val="006140CA"/>
    <w:rsid w:val="006C259C"/>
    <w:rsid w:val="00863E90"/>
    <w:rsid w:val="008A116B"/>
    <w:rsid w:val="008B6BA5"/>
    <w:rsid w:val="0095581D"/>
    <w:rsid w:val="00984E97"/>
    <w:rsid w:val="00A67D60"/>
    <w:rsid w:val="00C97F8C"/>
    <w:rsid w:val="00CC6F42"/>
    <w:rsid w:val="00D674C6"/>
    <w:rsid w:val="00DF4D02"/>
    <w:rsid w:val="0E727EE8"/>
    <w:rsid w:val="0F495BD9"/>
    <w:rsid w:val="126167D5"/>
    <w:rsid w:val="317C311E"/>
    <w:rsid w:val="4EAF6FA4"/>
    <w:rsid w:val="6BDAB999"/>
    <w:rsid w:val="72FC4B7E"/>
    <w:rsid w:val="749E388B"/>
    <w:rsid w:val="EFCFC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3"/>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rFonts w:ascii="Calibri" w:hAnsi="Calibri"/>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toc 1"/>
    <w:basedOn w:val="1"/>
    <w:next w:val="1"/>
    <w:qFormat/>
    <w:uiPriority w:val="0"/>
    <w:pPr>
      <w:widowControl/>
      <w:spacing w:after="100" w:line="276" w:lineRule="auto"/>
      <w:jc w:val="left"/>
    </w:pPr>
    <w:rPr>
      <w:rFonts w:ascii="Calibri" w:hAnsi="Calibri"/>
      <w:kern w:val="0"/>
      <w:sz w:val="22"/>
      <w:szCs w:val="22"/>
    </w:rPr>
  </w:style>
  <w:style w:type="paragraph" w:styleId="8">
    <w:name w:val="toc 2"/>
    <w:basedOn w:val="1"/>
    <w:next w:val="1"/>
    <w:qFormat/>
    <w:uiPriority w:val="0"/>
    <w:pPr>
      <w:widowControl/>
      <w:tabs>
        <w:tab w:val="right" w:leader="dot" w:pos="9344"/>
      </w:tabs>
      <w:spacing w:after="100" w:line="410" w:lineRule="exact"/>
      <w:ind w:left="221"/>
      <w:jc w:val="left"/>
    </w:pPr>
    <w:rPr>
      <w:rFonts w:ascii="Calibri" w:hAnsi="Calibri"/>
      <w:kern w:val="0"/>
      <w:sz w:val="22"/>
      <w:szCs w:val="22"/>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标题 2 Char"/>
    <w:basedOn w:val="10"/>
    <w:link w:val="3"/>
    <w:qFormat/>
    <w:uiPriority w:val="0"/>
    <w:rPr>
      <w:rFonts w:ascii="Cambria" w:hAnsi="Cambria" w:eastAsia="宋体"/>
      <w:b/>
      <w:bCs/>
      <w:kern w:val="2"/>
      <w:sz w:val="32"/>
      <w:szCs w:val="32"/>
      <w:lang w:val="en-US" w:eastAsia="zh-CN" w:bidi="ar-SA"/>
    </w:rPr>
  </w:style>
  <w:style w:type="character" w:customStyle="1" w:styleId="14">
    <w:name w:val="页眉 Char"/>
    <w:basedOn w:val="10"/>
    <w:link w:val="6"/>
    <w:qFormat/>
    <w:uiPriority w:val="0"/>
    <w:rPr>
      <w:rFonts w:ascii="Calibri" w:hAnsi="Calibri" w:eastAsia="宋体"/>
      <w:kern w:val="2"/>
      <w:sz w:val="18"/>
      <w:szCs w:val="18"/>
      <w:lang w:val="en-US" w:eastAsia="zh-CN" w:bidi="ar-SA"/>
    </w:rPr>
  </w:style>
  <w:style w:type="character" w:customStyle="1" w:styleId="15">
    <w:name w:val="批注框文本 Char"/>
    <w:basedOn w:val="10"/>
    <w:link w:val="4"/>
    <w:qFormat/>
    <w:uiPriority w:val="0"/>
    <w:rPr>
      <w:rFonts w:ascii="Calibri" w:hAnsi="Calibri" w:eastAsia="宋体"/>
      <w:kern w:val="2"/>
      <w:sz w:val="18"/>
      <w:szCs w:val="18"/>
      <w:lang w:val="en-US" w:eastAsia="zh-CN" w:bidi="ar-SA"/>
    </w:rPr>
  </w:style>
  <w:style w:type="character" w:customStyle="1" w:styleId="16">
    <w:name w:val="标题 1 Char"/>
    <w:basedOn w:val="10"/>
    <w:link w:val="2"/>
    <w:qFormat/>
    <w:uiPriority w:val="0"/>
    <w:rPr>
      <w:rFonts w:ascii="Calibri" w:hAnsi="Calibri" w:eastAsia="宋体"/>
      <w:b/>
      <w:bCs/>
      <w:kern w:val="44"/>
      <w:sz w:val="44"/>
      <w:szCs w:val="44"/>
      <w:lang w:val="en-US" w:eastAsia="zh-CN" w:bidi="ar-SA"/>
    </w:rPr>
  </w:style>
  <w:style w:type="character" w:customStyle="1" w:styleId="17">
    <w:name w:val="页脚 Char"/>
    <w:basedOn w:val="10"/>
    <w:link w:val="5"/>
    <w:qFormat/>
    <w:uiPriority w:val="0"/>
    <w:rPr>
      <w:rFonts w:eastAsia="宋体"/>
      <w:kern w:val="2"/>
      <w:sz w:val="18"/>
      <w:szCs w:val="18"/>
      <w:lang w:val="en-US" w:eastAsia="zh-CN" w:bidi="ar-SA"/>
    </w:rPr>
  </w:style>
  <w:style w:type="paragraph" w:customStyle="1" w:styleId="18">
    <w:name w:val="List Paragraph"/>
    <w:basedOn w:val="1"/>
    <w:qFormat/>
    <w:uiPriority w:val="0"/>
    <w:pPr>
      <w:ind w:firstLine="420" w:firstLineChars="200"/>
    </w:pPr>
    <w:rPr>
      <w:rFonts w:ascii="Calibri" w:hAnsi="Calibri"/>
      <w:szCs w:val="22"/>
    </w:rPr>
  </w:style>
  <w:style w:type="paragraph" w:customStyle="1" w:styleId="19">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250</Words>
  <Characters>1428</Characters>
  <Lines>11</Lines>
  <Paragraphs>3</Paragraphs>
  <TotalTime>0</TotalTime>
  <ScaleCrop>false</ScaleCrop>
  <LinksUpToDate>false</LinksUpToDate>
  <CharactersWithSpaces>1675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2010-06-23T23:18:00Z</dcterms:created>
  <dc:creator>Administrator</dc:creator>
  <cp:lastModifiedBy>guest</cp:lastModifiedBy>
  <cp:lastPrinted>2016-01-07T09:21:00Z</cp:lastPrinted>
  <dcterms:modified xsi:type="dcterms:W3CDTF">2024-02-08T15:58:59Z</dcterms:modified>
  <dc:title>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