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  <w:t>2023年歌乐山街道总河长履职情况</w:t>
      </w:r>
    </w:p>
    <w:p>
      <w:pPr>
        <w:jc w:val="center"/>
        <w:rPr>
          <w:rFonts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，歌乐山街道严格履行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河长制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各项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工作，认真贯彻落实重庆市总河长1、2、3、4、5号令。通过努力，辖区内河道乱占乱建、乱排乱倒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、源头污染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等问题得到有效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遏制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，饮用水水源地安全保障全面落实，切实提高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人民群众的环境满意度，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进一步树牢群众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生态文明理念。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  <w:t>河道基本情况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歌乐山街道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河流体系14条，水库4座。含区级河流3条：清水溪歌乐山段、跳蹬河歌乐山段、清水溪支流歌乐山段；区级水库4座：上天池水库、下天池水库、凌云水库、余家湾水库；街道级河流3条：雷打沟、芭蕉沟歌乐山段、杨家沟歌乐山段；村级河流8条：林园沟、碑口沟、流水岩沟、冷水沟、大干池沟、朱家湾沟、余家湾排洪沟、龙洞口排洪沟。河流总长14.2公里，水库总容量79万立方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  <w:t>工作开展基本情况</w:t>
      </w:r>
    </w:p>
    <w:p>
      <w:pPr>
        <w:numPr>
          <w:ilvl w:val="0"/>
          <w:numId w:val="2"/>
        </w:numPr>
        <w:ind w:leftChars="200"/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提高政治意识，加强组织领导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自“河长制”实施以来，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歌乐山街道高度重视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坚决贯彻中央、市、区河长制各项政策措施，根据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区级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安排部署，成立了河长制工作领导小组和河长制工作办公室，制定了工作方案和实施方案，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建立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起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总河长、街道河长、村河长、巡河员四级管护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网格，按要求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落实各级目标任务责任制，充分发挥人大法律监督和政协民主监督职能，促进河长制全面落实。</w:t>
      </w:r>
    </w:p>
    <w:p>
      <w:pPr>
        <w:numPr>
          <w:ilvl w:val="0"/>
          <w:numId w:val="2"/>
        </w:numPr>
        <w:ind w:leftChars="200"/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深化履职尽责，狠抓问题落实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细化各级“河长”、相关部门工作职责和任务。街道河长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辖区河库管护的直接责任人，对分管的河道管护工作负领导责任；</w:t>
      </w:r>
      <w:r>
        <w:rPr>
          <w:rFonts w:ascii="Times New Roman" w:hAnsi="Times New Roman" w:eastAsia="方正仿宋_GBK"/>
          <w:color w:val="242424"/>
          <w:sz w:val="32"/>
          <w:lang w:val="en-US" w:eastAsia="zh-CN"/>
        </w:rPr>
        <w:t>村（社区）河</w:t>
      </w:r>
      <w:r>
        <w:rPr>
          <w:rFonts w:ascii="Times New Roman" w:hAnsi="Times New Roman" w:eastAsia="方正仿宋_GBK"/>
          <w:color w:val="242424"/>
          <w:sz w:val="32"/>
          <w:u w:val="none"/>
          <w:lang w:val="en-US" w:eastAsia="zh-CN"/>
        </w:rPr>
        <w:t>长负责督</w:t>
      </w:r>
      <w:r>
        <w:rPr>
          <w:rFonts w:ascii="Times New Roman" w:hAnsi="Times New Roman" w:eastAsia="方正仿宋_GBK"/>
          <w:color w:val="242424"/>
          <w:sz w:val="32"/>
          <w:szCs w:val="32"/>
          <w:u w:val="none"/>
          <w:lang w:val="en-US" w:eastAsia="zh-CN"/>
        </w:rPr>
        <w:t>导各自村（社区）履职尽责，</w:t>
      </w:r>
      <w:r>
        <w:rPr>
          <w:rFonts w:ascii="Times New Roman" w:hAnsi="Times New Roman" w:eastAsia="方正仿宋_GBK"/>
          <w:color w:val="242424"/>
          <w:sz w:val="32"/>
          <w:u w:val="none"/>
          <w:lang w:val="en-US" w:eastAsia="zh-CN"/>
        </w:rPr>
        <w:t>协调处理辖区水污染问题，开展水环境应</w:t>
      </w:r>
      <w:r>
        <w:rPr>
          <w:rFonts w:ascii="Times New Roman" w:hAnsi="Times New Roman" w:eastAsia="方正仿宋_GBK"/>
          <w:sz w:val="32"/>
          <w:u w:val="none"/>
          <w:lang w:val="en-US" w:eastAsia="zh-CN"/>
        </w:rPr>
        <w:t>急事件处置；村（社区）保洁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员、巡河员定期开展日常巡查与维护，发现问题及时上报。健全完善部门联席会议、日常巡查、信息共享、工作检查、执法联动、考核问责等工作制度，督促河长办公室成员主动担当作为、认真履职尽责，确保责任落实到人、任务分解到岗。</w:t>
      </w:r>
    </w:p>
    <w:p>
      <w:pPr>
        <w:numPr>
          <w:ilvl w:val="0"/>
          <w:numId w:val="2"/>
        </w:numPr>
        <w:ind w:leftChars="200"/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加强宣传教育，营造良好氛围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及时更新维护河长制信息和河长公示牌，通过宣传栏、宣传册、宣传片等多种形式，宣传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街道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河长制工作开展情况及河流治理情况，调动群众及社会力量爱河、护河的积极性，为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顺利推进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河长制工作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营造了良好的氛围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  <w:t>主要工作成效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ascii="Times New Roman" w:hAnsi="Times New Roman" w:eastAsia="方正楷体_GBK"/>
          <w:b w:val="0"/>
          <w:bCs w:val="0"/>
          <w:sz w:val="32"/>
          <w:szCs w:val="32"/>
          <w:lang w:eastAsia="zh-CN"/>
        </w:rPr>
        <w:t>加强水污染防治。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2023年街道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按照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《重庆市水污染防治工作方案》，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压实街道水污染防治各项工作责任，坚决防止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河道“乱占”、“乱堆”、“乱建”、“乱采”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等现象发生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，持续开展“清河”、“洁水”行动，加大辖区内黑臭水体整治，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实施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河道清漂8.5千米，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清理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垃圾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杂草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3.5吨；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排查入河排洪设施及渗水井、生活垃圾污染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48处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有效防止源头污染，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水环境质量得到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有效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改善。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楷体_GBK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  <w:lang w:eastAsia="zh-CN"/>
        </w:rPr>
        <w:t>（二）加强水环境治理。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加强水污染、垃圾污染治理，以生活污水处理、生活垃圾处理为重点，综合整治辖区环境。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2023年开展治理河道污染点位185处，开展污染源调查18处，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并落实了问题整改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；对污染严重的芭蕉沟、雷打沟进行了河道污染源数据的调查摸底，并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及时上报区级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相关部门。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（三）加强执法监管。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认真贯彻落实河道管理，建立健全部门联动执法机制，严厉打击违法行为，坚决整治非法排污活动。2023年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联合检查6次，发现跨排洪沟建设房屋安全隐患1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处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及时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上报相关部门。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  <w:t>2024年工作计划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继续深入推进河长制工作，认真贯彻落实市、区河长制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各项工作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部署，持续提高辖区水资源环境。</w:t>
      </w:r>
    </w:p>
    <w:p>
      <w:pPr>
        <w:numPr>
          <w:ilvl w:val="0"/>
          <w:numId w:val="0"/>
        </w:numPr>
        <w:ind w:firstLine="642" w:firstLineChars="200"/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一是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把加强辖区河道、水污染源头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防治，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环境卫生、生活污水管理保护作为首要任务，落实区2024年“一河一策”工作目标，结合歌乐山实际，努力改善辖区水资源状况。</w:t>
      </w:r>
    </w:p>
    <w:p>
      <w:pPr>
        <w:numPr>
          <w:ilvl w:val="0"/>
          <w:numId w:val="0"/>
        </w:numPr>
        <w:ind w:firstLine="642" w:firstLineChars="200"/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积极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争取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污水管网建设资金，推进水污染防治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“最后一公里”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建设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针对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芭蕉沟、雷打沟污染较严重的河流，在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已上报的摸底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数据基础上，向上级相关部门积极申报建设资金，争取对两段河流进行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治理。</w:t>
      </w:r>
    </w:p>
    <w:p>
      <w:pPr>
        <w:numPr>
          <w:ilvl w:val="0"/>
          <w:numId w:val="0"/>
        </w:numPr>
        <w:ind w:firstLine="642" w:firstLineChars="200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持续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强化组织领导，完善工作制度，逐级落实河长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制工作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职责，调动社会力量联防联控，构建部门联动、社会参与、齐抓共管的工作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格局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ascii="Times New Roman" w:hAnsi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 xml:space="preserve"> 歌乐山街道河长办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202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4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01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16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79872"/>
    <w:multiLevelType w:val="singleLevel"/>
    <w:tmpl w:val="29779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745CB"/>
    <w:multiLevelType w:val="singleLevel"/>
    <w:tmpl w:val="33B745CB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97AF5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2024-01-16T15:15:41Z</dcterms:created>
  <dc:creator>kylin</dc:creator>
  <cp:lastModifiedBy>kylin</cp:lastModifiedBy>
  <dcterms:modified xsi:type="dcterms:W3CDTF">2024-01-16T15:17:47Z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