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195" w:afterAutospacing="0" w:line="562" w:lineRule="atLeast"/>
        <w:ind w:left="0" w:right="0" w:firstLine="0"/>
        <w:jc w:val="left"/>
        <w:rPr>
          <w:rFonts w:ascii="sans-serif" w:hAnsi="sans-serif" w:eastAsia="sans-serif" w:cs="sans-serif"/>
          <w:i w:val="0"/>
          <w:caps w:val="0"/>
          <w:color w:val="000000"/>
          <w:spacing w:val="0"/>
          <w:sz w:val="19"/>
          <w:szCs w:val="19"/>
        </w:rPr>
      </w:pPr>
    </w:p>
    <w:p>
      <w:pPr>
        <w:pStyle w:val="5"/>
        <w:keepNext w:val="0"/>
        <w:keepLines w:val="0"/>
        <w:widowControl/>
        <w:suppressLineNumbers w:val="0"/>
        <w:spacing w:before="0" w:beforeAutospacing="0" w:after="0" w:afterAutospacing="0" w:line="576" w:lineRule="atLeast"/>
        <w:ind w:left="0" w:right="0" w:firstLine="634"/>
        <w:jc w:val="both"/>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2022</w:t>
      </w:r>
      <w:r>
        <w:rPr>
          <w:rFonts w:ascii="方正仿宋_GBK" w:hAnsi="方正仿宋_GBK" w:eastAsia="方正仿宋_GBK" w:cs="方正仿宋_GBK"/>
          <w:i w:val="0"/>
          <w:caps w:val="0"/>
          <w:color w:val="000000"/>
          <w:spacing w:val="0"/>
          <w:sz w:val="32"/>
          <w:szCs w:val="32"/>
        </w:rPr>
        <w:t>年以来，歌乐山街道在区委、区政府的坚强领导下，坚持以习近平新时代中国特色社会主义思想为指导，认真贯彻落实习近平法治思想，扎实推进《法治政府建设实施纲要（</w:t>
      </w:r>
      <w:r>
        <w:rPr>
          <w:rFonts w:hint="default" w:ascii="Times New Roman" w:hAnsi="Times New Roman" w:eastAsia="sans-serif" w:cs="Times New Roman"/>
          <w:i w:val="0"/>
          <w:caps w:val="0"/>
          <w:color w:val="000000"/>
          <w:spacing w:val="0"/>
          <w:sz w:val="32"/>
          <w:szCs w:val="32"/>
        </w:rPr>
        <w:t>2021—2025</w:t>
      </w:r>
      <w:r>
        <w:rPr>
          <w:rFonts w:hint="eastAsia" w:ascii="方正仿宋_GBK" w:hAnsi="方正仿宋_GBK" w:eastAsia="方正仿宋_GBK" w:cs="方正仿宋_GBK"/>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2022</w:t>
      </w:r>
      <w:r>
        <w:rPr>
          <w:rFonts w:hint="eastAsia" w:ascii="方正仿宋_GBK" w:hAnsi="方正仿宋_GBK" w:eastAsia="方正仿宋_GBK" w:cs="方正仿宋_GBK"/>
          <w:i w:val="0"/>
          <w:caps w:val="0"/>
          <w:color w:val="000000"/>
          <w:spacing w:val="0"/>
          <w:sz w:val="32"/>
          <w:szCs w:val="32"/>
        </w:rPr>
        <w:t>年沙坪坝区法治政府建设工作要点》确定的目标任务，突出重点、压实责任，稳步提高法治政府建设工作水平。现将</w:t>
      </w:r>
      <w:r>
        <w:rPr>
          <w:rFonts w:hint="default" w:ascii="Times New Roman" w:hAnsi="Times New Roman" w:eastAsia="sans-serif" w:cs="Times New Roman"/>
          <w:i w:val="0"/>
          <w:caps w:val="0"/>
          <w:color w:val="000000"/>
          <w:spacing w:val="0"/>
          <w:sz w:val="32"/>
          <w:szCs w:val="32"/>
        </w:rPr>
        <w:t>2022</w:t>
      </w:r>
      <w:r>
        <w:rPr>
          <w:rFonts w:hint="eastAsia" w:ascii="方正仿宋_GBK" w:hAnsi="方正仿宋_GBK" w:eastAsia="方正仿宋_GBK" w:cs="方正仿宋_GBK"/>
          <w:i w:val="0"/>
          <w:caps w:val="0"/>
          <w:color w:val="000000"/>
          <w:spacing w:val="0"/>
          <w:sz w:val="32"/>
          <w:szCs w:val="32"/>
        </w:rPr>
        <w:t>年度法治政府建设工作报告如下：</w:t>
      </w:r>
    </w:p>
    <w:p>
      <w:pPr>
        <w:pStyle w:val="5"/>
        <w:keepNext w:val="0"/>
        <w:keepLines w:val="0"/>
        <w:widowControl/>
        <w:suppressLineNumbers w:val="0"/>
        <w:spacing w:before="0" w:beforeAutospacing="0" w:after="0" w:afterAutospacing="0" w:line="562" w:lineRule="atLeast"/>
        <w:ind w:left="0" w:right="0" w:firstLine="634"/>
        <w:jc w:val="left"/>
        <w:rPr>
          <w:rFonts w:hint="default" w:ascii="sans-serif" w:hAnsi="sans-serif" w:eastAsia="sans-serif" w:cs="sans-serif"/>
          <w:i w:val="0"/>
          <w:caps w:val="0"/>
          <w:color w:val="000000"/>
          <w:spacing w:val="0"/>
          <w:sz w:val="19"/>
          <w:szCs w:val="19"/>
        </w:rPr>
      </w:pPr>
      <w:r>
        <w:rPr>
          <w:rFonts w:ascii="方正黑体_GBK" w:hAnsi="方正黑体_GBK" w:eastAsia="方正黑体_GBK" w:cs="方正黑体_GBK"/>
          <w:i w:val="0"/>
          <w:caps w:val="0"/>
          <w:color w:val="000000"/>
          <w:spacing w:val="0"/>
          <w:sz w:val="32"/>
          <w:szCs w:val="32"/>
        </w:rPr>
        <w:t>一、</w:t>
      </w:r>
      <w:r>
        <w:rPr>
          <w:rFonts w:hint="default" w:ascii="Times New Roman" w:hAnsi="Times New Roman" w:eastAsia="sans-serif" w:cs="Times New Roman"/>
          <w:i w:val="0"/>
          <w:caps w:val="0"/>
          <w:color w:val="000000"/>
          <w:spacing w:val="0"/>
          <w:sz w:val="32"/>
          <w:szCs w:val="32"/>
        </w:rPr>
        <w:t>2022</w:t>
      </w:r>
      <w:r>
        <w:rPr>
          <w:rFonts w:hint="eastAsia" w:ascii="方正黑体_GBK" w:hAnsi="方正黑体_GBK" w:eastAsia="方正黑体_GBK" w:cs="方正黑体_GBK"/>
          <w:i w:val="0"/>
          <w:caps w:val="0"/>
          <w:color w:val="000000"/>
          <w:spacing w:val="0"/>
          <w:sz w:val="32"/>
          <w:szCs w:val="32"/>
        </w:rPr>
        <w:t>年推进法治政府建设的主要举措和成效</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ascii="方正楷体_GBK" w:hAnsi="方正楷体_GBK" w:eastAsia="方正楷体_GBK" w:cs="方正楷体_GBK"/>
          <w:i w:val="0"/>
          <w:caps w:val="0"/>
          <w:color w:val="000000"/>
          <w:spacing w:val="0"/>
          <w:sz w:val="32"/>
          <w:szCs w:val="32"/>
        </w:rPr>
        <w:t>（一）强化法治思维，聚力提升依法行政观念能力</w:t>
      </w:r>
    </w:p>
    <w:p>
      <w:pPr>
        <w:pStyle w:val="5"/>
        <w:keepNext w:val="0"/>
        <w:keepLines w:val="0"/>
        <w:widowControl/>
        <w:suppressLineNumbers w:val="0"/>
        <w:spacing w:before="0" w:beforeAutospacing="0" w:after="0" w:afterAutospacing="0" w:line="576" w:lineRule="atLeast"/>
        <w:ind w:left="0" w:right="0" w:firstLine="648"/>
        <w:jc w:val="both"/>
        <w:rPr>
          <w:rFonts w:hint="default" w:ascii="sans-serif" w:hAnsi="sans-serif" w:eastAsia="sans-serif" w:cs="sans-serif"/>
          <w:i w:val="0"/>
          <w:caps w:val="0"/>
          <w:color w:val="000000"/>
          <w:spacing w:val="0"/>
          <w:sz w:val="19"/>
          <w:szCs w:val="19"/>
        </w:rPr>
      </w:pPr>
      <w:r>
        <w:rPr>
          <w:rStyle w:val="8"/>
          <w:rFonts w:hint="eastAsia" w:ascii="方正仿宋_GBK" w:hAnsi="方正仿宋_GBK" w:eastAsia="方正仿宋_GBK" w:cs="方正仿宋_GBK"/>
          <w:i w:val="0"/>
          <w:caps w:val="0"/>
          <w:color w:val="000000"/>
          <w:spacing w:val="0"/>
          <w:sz w:val="32"/>
          <w:szCs w:val="32"/>
        </w:rPr>
        <w:t>一是健全完善领导干部学法制度。</w:t>
      </w:r>
      <w:r>
        <w:rPr>
          <w:rFonts w:hint="eastAsia" w:ascii="方正仿宋_GBK" w:hAnsi="方正仿宋_GBK" w:eastAsia="方正仿宋_GBK" w:cs="方正仿宋_GBK"/>
          <w:i w:val="0"/>
          <w:caps w:val="0"/>
          <w:color w:val="000000"/>
          <w:spacing w:val="0"/>
          <w:sz w:val="32"/>
          <w:szCs w:val="32"/>
        </w:rPr>
        <w:t>建立《歌</w:t>
      </w:r>
      <w:bookmarkStart w:id="1" w:name="_GoBack"/>
      <w:bookmarkEnd w:id="1"/>
      <w:r>
        <w:rPr>
          <w:rFonts w:hint="eastAsia" w:ascii="方正仿宋_GBK" w:hAnsi="方正仿宋_GBK" w:eastAsia="方正仿宋_GBK" w:cs="方正仿宋_GBK"/>
          <w:i w:val="0"/>
          <w:caps w:val="0"/>
          <w:color w:val="000000"/>
          <w:spacing w:val="0"/>
          <w:sz w:val="32"/>
          <w:szCs w:val="32"/>
        </w:rPr>
        <w:t>乐山街道党工委理论学习中心组集体学法制度》，将学法内容加入党工委理论学习中心组学习计划表，集中学习《宪法》《国家安全法》《习近平法治思想学习纲要》等内容</w:t>
      </w:r>
      <w:r>
        <w:rPr>
          <w:rFonts w:hint="default" w:ascii="Times New Roman" w:hAnsi="Times New Roman" w:eastAsia="sans-serif" w:cs="Times New Roman"/>
          <w:i w:val="0"/>
          <w:caps w:val="0"/>
          <w:color w:val="000000"/>
          <w:spacing w:val="0"/>
          <w:sz w:val="32"/>
          <w:szCs w:val="32"/>
        </w:rPr>
        <w:t>13</w:t>
      </w:r>
      <w:r>
        <w:rPr>
          <w:rFonts w:hint="eastAsia" w:ascii="方正仿宋_GBK" w:hAnsi="方正仿宋_GBK" w:eastAsia="方正仿宋_GBK" w:cs="方正仿宋_GBK"/>
          <w:i w:val="0"/>
          <w:caps w:val="0"/>
          <w:color w:val="000000"/>
          <w:spacing w:val="0"/>
          <w:sz w:val="32"/>
          <w:szCs w:val="32"/>
        </w:rPr>
        <w:t>次，确保应学内容无遗漏。组织</w:t>
      </w:r>
      <w:r>
        <w:rPr>
          <w:rFonts w:hint="default" w:ascii="Times New Roman" w:hAnsi="Times New Roman" w:eastAsia="sans-serif" w:cs="Times New Roman"/>
          <w:i w:val="0"/>
          <w:caps w:val="0"/>
          <w:color w:val="000000"/>
          <w:spacing w:val="0"/>
          <w:sz w:val="32"/>
          <w:szCs w:val="32"/>
        </w:rPr>
        <w:t>10</w:t>
      </w:r>
      <w:r>
        <w:rPr>
          <w:rFonts w:hint="eastAsia" w:ascii="方正仿宋_GBK" w:hAnsi="方正仿宋_GBK" w:eastAsia="方正仿宋_GBK" w:cs="方正仿宋_GBK"/>
          <w:i w:val="0"/>
          <w:caps w:val="0"/>
          <w:color w:val="000000"/>
          <w:spacing w:val="0"/>
          <w:sz w:val="32"/>
          <w:szCs w:val="32"/>
        </w:rPr>
        <w:t>名领导干部参加法治理论知识学习集中抽考，</w:t>
      </w:r>
      <w:r>
        <w:rPr>
          <w:rFonts w:hint="default" w:ascii="Times New Roman" w:hAnsi="Times New Roman" w:eastAsia="sans-serif" w:cs="Times New Roman"/>
          <w:i w:val="0"/>
          <w:caps w:val="0"/>
          <w:color w:val="000000"/>
          <w:spacing w:val="0"/>
          <w:sz w:val="32"/>
          <w:szCs w:val="32"/>
        </w:rPr>
        <w:t>66</w:t>
      </w:r>
      <w:r>
        <w:rPr>
          <w:rFonts w:hint="eastAsia" w:ascii="方正仿宋_GBK" w:hAnsi="方正仿宋_GBK" w:eastAsia="方正仿宋_GBK" w:cs="方正仿宋_GBK"/>
          <w:i w:val="0"/>
          <w:caps w:val="0"/>
          <w:color w:val="000000"/>
          <w:spacing w:val="0"/>
          <w:sz w:val="32"/>
          <w:szCs w:val="32"/>
        </w:rPr>
        <w:t>名在职在编干部参加年度法治理论知识考试，着力提升领导干部法治思维和依法行政能力。</w:t>
      </w:r>
      <w:r>
        <w:rPr>
          <w:rStyle w:val="8"/>
          <w:rFonts w:hint="eastAsia" w:ascii="方正仿宋_GBK" w:hAnsi="方正仿宋_GBK" w:eastAsia="方正仿宋_GBK" w:cs="方正仿宋_GBK"/>
          <w:i w:val="0"/>
          <w:caps w:val="0"/>
          <w:color w:val="000000"/>
          <w:spacing w:val="0"/>
          <w:sz w:val="32"/>
          <w:szCs w:val="32"/>
        </w:rPr>
        <w:t>二是积极开展法治宣传。</w:t>
      </w:r>
      <w:r>
        <w:rPr>
          <w:rFonts w:hint="eastAsia" w:ascii="方正仿宋_GBK" w:hAnsi="方正仿宋_GBK" w:eastAsia="方正仿宋_GBK" w:cs="方正仿宋_GBK"/>
          <w:i w:val="0"/>
          <w:caps w:val="0"/>
          <w:color w:val="000000"/>
          <w:spacing w:val="0"/>
          <w:sz w:val="32"/>
          <w:szCs w:val="32"/>
        </w:rPr>
        <w:t>抓好《民法典》颁布两周年、《信访工作条例》发布、“4.15”国家安全日、“12.4”国家宪法日等重要时间节点，深入辖区企业、学校、社区等重点场所开展法治宣传，全年共开展各类普法宣传活动及讲座20场，悬挂标语25幅，发放宣传资料3000余份，解答法律咨询100余人次。</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（二）持续完善机制，着力推进科学民主依法决策</w:t>
      </w:r>
    </w:p>
    <w:p>
      <w:pPr>
        <w:pStyle w:val="5"/>
        <w:keepNext w:val="0"/>
        <w:keepLines w:val="0"/>
        <w:widowControl/>
        <w:suppressLineNumbers w:val="0"/>
        <w:spacing w:before="0" w:beforeAutospacing="0" w:after="0" w:afterAutospacing="0" w:line="315" w:lineRule="atLeast"/>
        <w:ind w:left="0" w:right="0" w:firstLine="648"/>
        <w:rPr>
          <w:rFonts w:hint="default" w:ascii="sans-serif" w:hAnsi="sans-serif" w:eastAsia="sans-serif" w:cs="sans-serif"/>
          <w:i w:val="0"/>
          <w:caps w:val="0"/>
          <w:color w:val="000000"/>
          <w:spacing w:val="0"/>
          <w:sz w:val="27"/>
          <w:szCs w:val="27"/>
        </w:rPr>
      </w:pPr>
      <w:r>
        <w:rPr>
          <w:rStyle w:val="8"/>
          <w:rFonts w:hint="eastAsia" w:ascii="方正仿宋_GBK" w:hAnsi="方正仿宋_GBK" w:eastAsia="方正仿宋_GBK" w:cs="方正仿宋_GBK"/>
          <w:i w:val="0"/>
          <w:caps w:val="0"/>
          <w:color w:val="000000"/>
          <w:spacing w:val="0"/>
          <w:sz w:val="32"/>
          <w:szCs w:val="32"/>
        </w:rPr>
        <w:t>一是严格落实重大行政决策程序规定。</w:t>
      </w:r>
      <w:r>
        <w:rPr>
          <w:rFonts w:hint="eastAsia" w:ascii="方正仿宋_GBK" w:hAnsi="方正仿宋_GBK" w:eastAsia="方正仿宋_GBK" w:cs="方正仿宋_GBK"/>
          <w:b w:val="0"/>
          <w:i w:val="0"/>
          <w:caps w:val="0"/>
          <w:color w:val="000000"/>
          <w:spacing w:val="0"/>
          <w:sz w:val="32"/>
          <w:szCs w:val="32"/>
        </w:rPr>
        <w:t>完善“三重一大”事项集体决策制度，对于“三重一大”事项需经行政办公会、党工委会研究决定。对涉及政治、经济、文化、社会、生态文明建设和党的建设方面的重要事项，坚持“集体领导、民主集中、个别酝酿、会议决定”的原则，严格按照会前沟通、准备材料、提前通知、充分讨论、逐项表决、党工委书记末位发言的程序做出决策，对讨论决定如实记录，完善材料归档。</w:t>
      </w:r>
      <w:r>
        <w:rPr>
          <w:rStyle w:val="8"/>
          <w:rFonts w:hint="eastAsia" w:ascii="方正仿宋_GBK" w:hAnsi="方正仿宋_GBK" w:eastAsia="方正仿宋_GBK" w:cs="方正仿宋_GBK"/>
          <w:i w:val="0"/>
          <w:caps w:val="0"/>
          <w:color w:val="000000"/>
          <w:spacing w:val="0"/>
          <w:sz w:val="32"/>
          <w:szCs w:val="32"/>
        </w:rPr>
        <w:t>二是切实发挥法律顾问参谋作用。</w:t>
      </w:r>
      <w:r>
        <w:rPr>
          <w:rFonts w:hint="eastAsia" w:ascii="方正仿宋_GBK" w:hAnsi="方正仿宋_GBK" w:eastAsia="方正仿宋_GBK" w:cs="方正仿宋_GBK"/>
          <w:b w:val="0"/>
          <w:i w:val="0"/>
          <w:caps w:val="0"/>
          <w:color w:val="000000"/>
          <w:spacing w:val="0"/>
          <w:sz w:val="32"/>
          <w:szCs w:val="32"/>
        </w:rPr>
        <w:t>续聘2名法律顾问，审查行政决策、重大项目、合同42项，参与研讨会4次，开展培训3次，参与处置历史遗留问题2宗，代理案件1件，</w:t>
      </w:r>
      <w:r>
        <w:rPr>
          <w:rFonts w:hint="eastAsia" w:ascii="方正仿宋_GBK" w:hAnsi="方正仿宋_GBK" w:eastAsia="方正仿宋_GBK" w:cs="方正仿宋_GBK"/>
          <w:i w:val="0"/>
          <w:caps w:val="0"/>
          <w:color w:val="000000"/>
          <w:spacing w:val="0"/>
          <w:sz w:val="32"/>
          <w:szCs w:val="32"/>
        </w:rPr>
        <w:t>为街道各科室、村（社区）在经济、民生和社会管理方面的决策提供法律意见，最大限度地减少因决策失误引发的社会矛盾。</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（三）坚持优质服务，有效提高行政执法规范程度</w:t>
      </w:r>
    </w:p>
    <w:p>
      <w:pPr>
        <w:pStyle w:val="5"/>
        <w:keepNext w:val="0"/>
        <w:keepLines w:val="0"/>
        <w:widowControl/>
        <w:suppressLineNumbers w:val="0"/>
        <w:spacing w:before="0" w:beforeAutospacing="0" w:after="0" w:afterAutospacing="0" w:line="315" w:lineRule="atLeast"/>
        <w:ind w:left="0" w:right="0" w:firstLine="648"/>
        <w:rPr>
          <w:rFonts w:hint="default" w:ascii="sans-serif" w:hAnsi="sans-serif" w:eastAsia="sans-serif" w:cs="sans-serif"/>
          <w:i w:val="0"/>
          <w:caps w:val="0"/>
          <w:color w:val="000000"/>
          <w:spacing w:val="0"/>
          <w:sz w:val="27"/>
          <w:szCs w:val="27"/>
        </w:rPr>
      </w:pPr>
      <w:r>
        <w:rPr>
          <w:rStyle w:val="8"/>
          <w:rFonts w:hint="eastAsia" w:ascii="方正仿宋_GBK" w:hAnsi="方正仿宋_GBK" w:eastAsia="方正仿宋_GBK" w:cs="方正仿宋_GBK"/>
          <w:i w:val="0"/>
          <w:caps w:val="0"/>
          <w:color w:val="000000"/>
          <w:spacing w:val="0"/>
          <w:sz w:val="32"/>
          <w:szCs w:val="32"/>
        </w:rPr>
        <w:t>一是严格规范执法程序。</w:t>
      </w:r>
      <w:r>
        <w:rPr>
          <w:rFonts w:hint="eastAsia" w:ascii="方正仿宋_GBK" w:hAnsi="方正仿宋_GBK" w:eastAsia="方正仿宋_GBK" w:cs="方正仿宋_GBK"/>
          <w:i w:val="0"/>
          <w:caps w:val="0"/>
          <w:color w:val="000000"/>
          <w:spacing w:val="0"/>
          <w:sz w:val="32"/>
          <w:szCs w:val="32"/>
        </w:rPr>
        <w:t>规范执法流程，重点围绕行政处罚、行政检查等执法行为，不断严密执法程序，强化执法指引。严格落实行政执法“三项制度”，落实事前、事中、事后“三个公开”，全面强化柔性执法、文明执法，行政执法更加规范透明。</w:t>
      </w:r>
      <w:r>
        <w:rPr>
          <w:rStyle w:val="8"/>
          <w:rFonts w:hint="eastAsia" w:ascii="方正仿宋_GBK" w:hAnsi="方正仿宋_GBK" w:eastAsia="方正仿宋_GBK" w:cs="方正仿宋_GBK"/>
          <w:i w:val="0"/>
          <w:caps w:val="0"/>
          <w:color w:val="000000"/>
          <w:spacing w:val="0"/>
          <w:sz w:val="32"/>
          <w:szCs w:val="32"/>
        </w:rPr>
        <w:t>二是严格行政执法准入门槛。</w:t>
      </w:r>
      <w:r>
        <w:rPr>
          <w:rFonts w:hint="eastAsia" w:ascii="方正仿宋_GBK" w:hAnsi="方正仿宋_GBK" w:eastAsia="方正仿宋_GBK" w:cs="方正仿宋_GBK"/>
          <w:i w:val="0"/>
          <w:caps w:val="0"/>
          <w:color w:val="000000"/>
          <w:spacing w:val="0"/>
          <w:sz w:val="32"/>
          <w:szCs w:val="32"/>
        </w:rPr>
        <w:t>落实行政执法人员资格管理和持证上岗制度，做好全国统一行政执法证件换发工作，及时在重庆市执法监督管理与信息服务系统中录入人员信息，督促1名申办新证和12名已持证的行政执法人员参加网络培训及考试。</w:t>
      </w:r>
      <w:r>
        <w:rPr>
          <w:rStyle w:val="8"/>
          <w:rFonts w:hint="eastAsia" w:ascii="方正仿宋_GBK" w:hAnsi="方正仿宋_GBK" w:eastAsia="方正仿宋_GBK" w:cs="方正仿宋_GBK"/>
          <w:i w:val="0"/>
          <w:caps w:val="0"/>
          <w:color w:val="000000"/>
          <w:spacing w:val="0"/>
          <w:sz w:val="32"/>
          <w:szCs w:val="32"/>
        </w:rPr>
        <w:t>三是强化执法监督管理。</w:t>
      </w:r>
      <w:r>
        <w:rPr>
          <w:rFonts w:hint="eastAsia" w:ascii="方正仿宋_GBK" w:hAnsi="方正仿宋_GBK" w:eastAsia="方正仿宋_GBK" w:cs="方正仿宋_GBK"/>
          <w:i w:val="0"/>
          <w:caps w:val="0"/>
          <w:color w:val="000000"/>
          <w:spacing w:val="0"/>
          <w:sz w:val="32"/>
          <w:szCs w:val="32"/>
        </w:rPr>
        <w:t>在强化监督手段的同时，不断创新执法模式来规范执法行为，按照“谁执法、谁负责”“谁分管，谁负责”的原则，细化执法责任和责任追究制度。</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（四）全面履行职能，持续优化辖区法治营商环境</w:t>
      </w:r>
    </w:p>
    <w:p>
      <w:pPr>
        <w:pStyle w:val="5"/>
        <w:keepNext w:val="0"/>
        <w:keepLines w:val="0"/>
        <w:widowControl/>
        <w:suppressLineNumbers w:val="0"/>
        <w:spacing w:before="0" w:beforeAutospacing="0" w:after="0" w:afterAutospacing="0" w:line="315" w:lineRule="atLeast"/>
        <w:ind w:left="0" w:right="0" w:firstLine="648"/>
        <w:rPr>
          <w:rFonts w:hint="default" w:ascii="sans-serif" w:hAnsi="sans-serif" w:eastAsia="sans-serif" w:cs="sans-serif"/>
          <w:i w:val="0"/>
          <w:caps w:val="0"/>
          <w:color w:val="000000"/>
          <w:spacing w:val="0"/>
          <w:sz w:val="27"/>
          <w:szCs w:val="27"/>
        </w:rPr>
      </w:pPr>
      <w:r>
        <w:rPr>
          <w:rStyle w:val="8"/>
          <w:rFonts w:hint="eastAsia" w:ascii="方正仿宋_GBK" w:hAnsi="方正仿宋_GBK" w:eastAsia="方正仿宋_GBK" w:cs="方正仿宋_GBK"/>
          <w:i w:val="0"/>
          <w:caps w:val="0"/>
          <w:color w:val="000000"/>
          <w:spacing w:val="0"/>
          <w:sz w:val="32"/>
          <w:szCs w:val="32"/>
        </w:rPr>
        <w:t>一是不断提升政务服务水平。</w:t>
      </w:r>
      <w:r>
        <w:rPr>
          <w:rFonts w:hint="eastAsia" w:ascii="方正仿宋_GBK" w:hAnsi="方正仿宋_GBK" w:eastAsia="方正仿宋_GBK" w:cs="方正仿宋_GBK"/>
          <w:b w:val="0"/>
          <w:i w:val="0"/>
          <w:caps w:val="0"/>
          <w:color w:val="000000"/>
          <w:spacing w:val="0"/>
          <w:sz w:val="32"/>
          <w:szCs w:val="32"/>
        </w:rPr>
        <w:t>持续开展一网通办和减证便民等改革措施，按照区“互联网+政务服务”工作要求，通过整合街道服务数据资源、完善配套制度等措施，推行街道政务服务事项网上办理，融合线上线下服务，全面优化办理时间、办理环节、办理成本等评价指标，及时落实各项改革措施和创新政策。全年修改完善重庆市一体化政务服务平台上涉及街道的公共服务、行政许可、其他行政权力等12项权力类型共计180项清单。</w:t>
      </w:r>
      <w:r>
        <w:rPr>
          <w:rStyle w:val="8"/>
          <w:rFonts w:hint="eastAsia" w:ascii="方正仿宋_GBK" w:hAnsi="方正仿宋_GBK" w:eastAsia="方正仿宋_GBK" w:cs="方正仿宋_GBK"/>
          <w:i w:val="0"/>
          <w:caps w:val="0"/>
          <w:color w:val="000000"/>
          <w:spacing w:val="0"/>
          <w:sz w:val="32"/>
          <w:szCs w:val="32"/>
        </w:rPr>
        <w:t>二是全面推进政务公开。</w:t>
      </w:r>
      <w:r>
        <w:rPr>
          <w:rFonts w:hint="eastAsia" w:ascii="方正仿宋_GBK" w:hAnsi="方正仿宋_GBK" w:eastAsia="方正仿宋_GBK" w:cs="方正仿宋_GBK"/>
          <w:b w:val="0"/>
          <w:i w:val="0"/>
          <w:caps w:val="0"/>
          <w:color w:val="000000"/>
          <w:spacing w:val="0"/>
          <w:sz w:val="32"/>
          <w:szCs w:val="32"/>
        </w:rPr>
        <w:t>歌乐山街道严格按照《中华人民共和国政府信息公开条例》规定和上级相关文件要求，对标对表，及时准确地公布各类政务信息，认真履行政府信息公开职责。2022年，歌乐山街道通过政府网站主动公开政府信息1296条，通过各大报纸、电视台、社会网站等途径发布新闻信息100余条。全年依法办理政府信息公开申请3宗，答复率、答复及时率达到100%。</w:t>
      </w:r>
      <w:r>
        <w:rPr>
          <w:rStyle w:val="8"/>
          <w:rFonts w:hint="eastAsia" w:ascii="方正仿宋_GBK" w:hAnsi="方正仿宋_GBK" w:eastAsia="方正仿宋_GBK" w:cs="方正仿宋_GBK"/>
          <w:i w:val="0"/>
          <w:caps w:val="0"/>
          <w:color w:val="000000"/>
          <w:spacing w:val="0"/>
          <w:sz w:val="32"/>
          <w:szCs w:val="32"/>
        </w:rPr>
        <w:t>三是持续优化法治化营商环境。</w:t>
      </w:r>
      <w:r>
        <w:rPr>
          <w:rFonts w:hint="eastAsia" w:ascii="方正仿宋_GBK" w:hAnsi="方正仿宋_GBK" w:eastAsia="方正仿宋_GBK" w:cs="方正仿宋_GBK"/>
          <w:b w:val="0"/>
          <w:i w:val="0"/>
          <w:caps w:val="0"/>
          <w:color w:val="000000"/>
          <w:spacing w:val="0"/>
          <w:sz w:val="32"/>
          <w:szCs w:val="32"/>
        </w:rPr>
        <w:t>聚焦问题本身，为企业解决“急难愁盼”，</w:t>
      </w:r>
      <w:r>
        <w:rPr>
          <w:rFonts w:hint="eastAsia" w:ascii="方正仿宋_GBK" w:hAnsi="方正仿宋_GBK" w:eastAsia="方正仿宋_GBK" w:cs="方正仿宋_GBK"/>
          <w:i w:val="0"/>
          <w:caps w:val="0"/>
          <w:color w:val="000000"/>
          <w:spacing w:val="0"/>
          <w:sz w:val="32"/>
          <w:szCs w:val="32"/>
        </w:rPr>
        <w:t>协助解决企业融资难、资金缺口等问题。2022年以来，为10家企业贷款融资近1150万元，协助2家企业申请农产品精加工补贴共17.31万元，助力3家企业申请科技奖励补助共30万元。开展8场“职等你来”现场招聘会，就近招聘员工，为辖区44家企业225个工作岗位进行招聘，有效解决用工困难。着力为辖区企业打造一个“排干扰、解纠纷、促营商、助发展”的企业法律服务圈，打通为辖区企业提供法律服务的“最后一公里”，为促进企业健康发展营造良好的法治环境。</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b w:val="0"/>
          <w:i w:val="0"/>
          <w:caps w:val="0"/>
          <w:color w:val="000000"/>
          <w:spacing w:val="0"/>
          <w:sz w:val="32"/>
          <w:szCs w:val="32"/>
        </w:rPr>
        <w:t>（五）维护安全稳定，推进矛盾纠纷依法有效化解</w:t>
      </w:r>
    </w:p>
    <w:p>
      <w:pPr>
        <w:pStyle w:val="5"/>
        <w:keepNext w:val="0"/>
        <w:keepLines w:val="0"/>
        <w:widowControl/>
        <w:suppressLineNumbers w:val="0"/>
        <w:spacing w:before="0" w:beforeAutospacing="0" w:after="0" w:afterAutospacing="0" w:line="315" w:lineRule="atLeast"/>
        <w:ind w:left="0" w:right="0" w:firstLine="648"/>
        <w:rPr>
          <w:rFonts w:hint="default" w:ascii="sans-serif" w:hAnsi="sans-serif" w:eastAsia="sans-serif" w:cs="sans-serif"/>
          <w:i w:val="0"/>
          <w:caps w:val="0"/>
          <w:color w:val="000000"/>
          <w:spacing w:val="0"/>
          <w:sz w:val="27"/>
          <w:szCs w:val="27"/>
        </w:rPr>
      </w:pPr>
      <w:r>
        <w:rPr>
          <w:rStyle w:val="8"/>
          <w:rFonts w:hint="eastAsia" w:ascii="方正仿宋_GBK" w:hAnsi="方正仿宋_GBK" w:eastAsia="方正仿宋_GBK" w:cs="方正仿宋_GBK"/>
          <w:i w:val="0"/>
          <w:caps w:val="0"/>
          <w:color w:val="000000"/>
          <w:spacing w:val="0"/>
          <w:sz w:val="32"/>
          <w:szCs w:val="32"/>
        </w:rPr>
        <w:t>一是依法有效化解社会矛盾纠纷。</w:t>
      </w:r>
      <w:r>
        <w:rPr>
          <w:rFonts w:hint="eastAsia" w:ascii="方正仿宋_GBK" w:hAnsi="方正仿宋_GBK" w:eastAsia="方正仿宋_GBK" w:cs="方正仿宋_GBK"/>
          <w:b w:val="0"/>
          <w:i w:val="0"/>
          <w:caps w:val="0"/>
          <w:color w:val="000000"/>
          <w:spacing w:val="0"/>
          <w:sz w:val="32"/>
          <w:szCs w:val="32"/>
        </w:rPr>
        <w:t>创新发展“枫桥经验”，完成歌乐山街道调委会驻派出所红岩市民综合调解站、歌乐山街道高店子社区红岩市民综合调解站的建设，整合区法院、派出所、法律顾问、公证处等多方资源，积极构建非诉讼纠纷多元闭环化解机制。邀请沙坪坝区人民法院法官开展人民调解业务培训1次，积极提高人民调解员工作能力。</w:t>
      </w:r>
      <w:r>
        <w:rPr>
          <w:rFonts w:hint="eastAsia" w:ascii="方正仿宋_GBK" w:hAnsi="方正仿宋_GBK" w:eastAsia="方正仿宋_GBK" w:cs="方正仿宋_GBK"/>
          <w:i w:val="0"/>
          <w:caps w:val="0"/>
          <w:color w:val="000000"/>
          <w:spacing w:val="0"/>
          <w:sz w:val="32"/>
          <w:szCs w:val="32"/>
        </w:rPr>
        <w:t>全年共成功调处矛盾纠纷191件，同比增长73%，涉及金额67.81万元，所达成的调解协议均得到落实。</w:t>
      </w:r>
      <w:r>
        <w:rPr>
          <w:rStyle w:val="8"/>
          <w:rFonts w:hint="eastAsia" w:ascii="方正仿宋_GBK" w:hAnsi="方正仿宋_GBK" w:eastAsia="方正仿宋_GBK" w:cs="方正仿宋_GBK"/>
          <w:i w:val="0"/>
          <w:caps w:val="0"/>
          <w:color w:val="000000"/>
          <w:spacing w:val="0"/>
          <w:sz w:val="32"/>
          <w:szCs w:val="32"/>
        </w:rPr>
        <w:t>二是着力加强行政复议和行政应诉工作。</w:t>
      </w:r>
      <w:r>
        <w:rPr>
          <w:rFonts w:hint="eastAsia" w:ascii="方正仿宋_GBK" w:hAnsi="方正仿宋_GBK" w:eastAsia="方正仿宋_GBK" w:cs="方正仿宋_GBK"/>
          <w:b w:val="0"/>
          <w:i w:val="0"/>
          <w:caps w:val="0"/>
          <w:color w:val="000000"/>
          <w:spacing w:val="0"/>
          <w:sz w:val="32"/>
          <w:szCs w:val="32"/>
        </w:rPr>
        <w:t>全年</w:t>
      </w:r>
      <w:r>
        <w:rPr>
          <w:rFonts w:hint="eastAsia" w:ascii="方正仿宋_GBK" w:hAnsi="方正仿宋_GBK" w:eastAsia="方正仿宋_GBK" w:cs="方正仿宋_GBK"/>
          <w:i w:val="0"/>
          <w:caps w:val="0"/>
          <w:color w:val="000000"/>
          <w:spacing w:val="0"/>
          <w:sz w:val="32"/>
          <w:szCs w:val="32"/>
        </w:rPr>
        <w:t>新发生行政诉讼案件4件，积极配合人民法院有效化解行政争议，规范应诉答辩和举证，在已审结的案件中无败诉情形发生。进一步加强行政复议能力建设，依法办理行政复议案件1件，复议结果为决定维持。</w:t>
      </w:r>
      <w:r>
        <w:rPr>
          <w:rStyle w:val="8"/>
          <w:rFonts w:hint="eastAsia" w:ascii="方正仿宋_GBK" w:hAnsi="方正仿宋_GBK" w:eastAsia="方正仿宋_GBK" w:cs="方正仿宋_GBK"/>
          <w:i w:val="0"/>
          <w:caps w:val="0"/>
          <w:color w:val="000000"/>
          <w:spacing w:val="0"/>
          <w:sz w:val="32"/>
          <w:szCs w:val="32"/>
        </w:rPr>
        <w:t>三是高质量办理群众信访。</w:t>
      </w:r>
      <w:r>
        <w:rPr>
          <w:rFonts w:hint="eastAsia" w:ascii="方正仿宋_GBK" w:hAnsi="方正仿宋_GBK" w:eastAsia="方正仿宋_GBK" w:cs="方正仿宋_GBK"/>
          <w:i w:val="0"/>
          <w:caps w:val="0"/>
          <w:color w:val="000000"/>
          <w:spacing w:val="0"/>
          <w:sz w:val="32"/>
          <w:szCs w:val="32"/>
        </w:rPr>
        <w:t>贯彻执行街道信访工作联席会议制度，每月定期召开会议。党政主要领导全年接访下访共计96次。全面完成“治重化积、清仓见底”专项治理行动，15件督办案件全部化解，化解率100%，主动进行二次沟通回访2件。全年受理群众信访68件，均在规定时间内进行回复，按时回复率100%。</w:t>
      </w:r>
      <w:r>
        <w:rPr>
          <w:rStyle w:val="8"/>
          <w:rFonts w:hint="eastAsia" w:ascii="方正仿宋_GBK" w:hAnsi="方正仿宋_GBK" w:eastAsia="方正仿宋_GBK" w:cs="方正仿宋_GBK"/>
          <w:i w:val="0"/>
          <w:caps w:val="0"/>
          <w:color w:val="000000"/>
          <w:spacing w:val="0"/>
          <w:sz w:val="32"/>
          <w:szCs w:val="32"/>
        </w:rPr>
        <w:t>四是法治服务基层社会治理。</w:t>
      </w:r>
      <w:r>
        <w:rPr>
          <w:rFonts w:hint="eastAsia" w:ascii="方正仿宋_GBK" w:hAnsi="方正仿宋_GBK" w:eastAsia="方正仿宋_GBK" w:cs="方正仿宋_GBK"/>
          <w:b w:val="0"/>
          <w:i w:val="0"/>
          <w:caps w:val="0"/>
          <w:color w:val="000000"/>
          <w:spacing w:val="0"/>
          <w:sz w:val="32"/>
          <w:szCs w:val="32"/>
        </w:rPr>
        <w:t>于歌乐村“颐麓欢歌”农业产业园建设完成歌乐山街道“和顺茶馆”。落实村居法律顾问实施方案，组织村居干部与法律顾问签订委托合同，颁发聘书。帮助收集群众的法律问题和法律服务需求信息，协助各村居法律顾问开展法律服务。推进“法律明白人”遴选培训使用管理等各项工作，实现每个村（社区）有3名“法律明白人”，</w:t>
      </w:r>
      <w:r>
        <w:rPr>
          <w:rFonts w:hint="eastAsia" w:ascii="方正仿宋_GBK" w:hAnsi="方正仿宋_GBK" w:eastAsia="方正仿宋_GBK" w:cs="方正仿宋_GBK"/>
          <w:i w:val="0"/>
          <w:caps w:val="0"/>
          <w:color w:val="000000"/>
          <w:spacing w:val="0"/>
          <w:sz w:val="32"/>
          <w:szCs w:val="32"/>
        </w:rPr>
        <w:t>推动法律服务向下延伸。</w:t>
      </w:r>
    </w:p>
    <w:p>
      <w:pPr>
        <w:pStyle w:val="5"/>
        <w:keepNext w:val="0"/>
        <w:keepLines w:val="0"/>
        <w:widowControl/>
        <w:suppressLineNumbers w:val="0"/>
        <w:spacing w:before="0" w:beforeAutospacing="0" w:after="0" w:afterAutospacing="0" w:line="590" w:lineRule="atLeast"/>
        <w:ind w:left="0" w:right="0" w:firstLine="634"/>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二、</w:t>
      </w:r>
      <w:r>
        <w:rPr>
          <w:rFonts w:hint="default" w:ascii="Times New Roman" w:hAnsi="Times New Roman" w:eastAsia="sans-serif" w:cs="Times New Roman"/>
          <w:i w:val="0"/>
          <w:caps w:val="0"/>
          <w:color w:val="000000"/>
          <w:spacing w:val="0"/>
          <w:sz w:val="32"/>
          <w:szCs w:val="32"/>
        </w:rPr>
        <w:t>2022</w:t>
      </w:r>
      <w:r>
        <w:rPr>
          <w:rFonts w:hint="eastAsia" w:ascii="方正黑体_GBK" w:hAnsi="方正黑体_GBK" w:eastAsia="方正黑体_GBK" w:cs="方正黑体_GBK"/>
          <w:i w:val="0"/>
          <w:caps w:val="0"/>
          <w:color w:val="000000"/>
          <w:spacing w:val="0"/>
          <w:sz w:val="32"/>
          <w:szCs w:val="32"/>
        </w:rPr>
        <w:t>年党政主要负责人履行推进法治建设第一责任人职责，加强法治政府建设的有关情况</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b w:val="0"/>
          <w:i w:val="0"/>
          <w:caps w:val="0"/>
          <w:color w:val="000000"/>
          <w:spacing w:val="0"/>
          <w:sz w:val="32"/>
          <w:szCs w:val="32"/>
        </w:rPr>
        <w:t>（一）高度重视法治政府建设工作</w:t>
      </w:r>
    </w:p>
    <w:p>
      <w:pPr>
        <w:pStyle w:val="5"/>
        <w:keepNext w:val="0"/>
        <w:keepLines w:val="0"/>
        <w:widowControl/>
        <w:suppressLineNumbers w:val="0"/>
        <w:spacing w:before="0" w:beforeAutospacing="0" w:after="0" w:afterAutospacing="0" w:line="576" w:lineRule="atLeast"/>
        <w:ind w:left="0" w:right="0" w:firstLine="634"/>
        <w:jc w:val="both"/>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街道党政主要负责人带头深入贯彻落实习近平法治思想及党中央依法治国工作会议精神，统筹推进法治政府建设，高度重视依法治理工作，严格履行推进法治政府建设第一责任人职责。定期召开法治政府建设专题会议，听取有关法治政府建设情况工作汇报，将法治政府建设、依法行政工作纳入年度重点工作，确保各项工作任务落到实处。</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b w:val="0"/>
          <w:i w:val="0"/>
          <w:caps w:val="0"/>
          <w:color w:val="000000"/>
          <w:spacing w:val="0"/>
          <w:sz w:val="32"/>
          <w:szCs w:val="32"/>
        </w:rPr>
        <w:t>（二）强化年终述法</w:t>
      </w:r>
    </w:p>
    <w:p>
      <w:pPr>
        <w:pStyle w:val="5"/>
        <w:keepNext w:val="0"/>
        <w:keepLines w:val="0"/>
        <w:widowControl/>
        <w:suppressLineNumbers w:val="0"/>
        <w:spacing w:before="0" w:beforeAutospacing="0" w:after="0" w:afterAutospacing="0" w:line="576" w:lineRule="atLeast"/>
        <w:ind w:left="0" w:right="0" w:firstLine="634"/>
        <w:jc w:val="both"/>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党政主要负责人将履行推进法治建设第一责任人职责情况列入年终述职内容，作为个人年度述职报告的重要组成部分，按照《述法清单》要求，突出述法重点、细化述法内容。</w:t>
      </w:r>
    </w:p>
    <w:p>
      <w:pPr>
        <w:pStyle w:val="5"/>
        <w:keepNext w:val="0"/>
        <w:keepLines w:val="0"/>
        <w:widowControl/>
        <w:suppressLineNumbers w:val="0"/>
        <w:spacing w:before="0" w:beforeAutospacing="0" w:after="0" w:afterAutospacing="0" w:line="590" w:lineRule="atLeast"/>
        <w:ind w:left="0" w:right="0" w:firstLine="634"/>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三、2022年推进法治政府建设存在的不足和原因</w:t>
      </w:r>
    </w:p>
    <w:p>
      <w:pPr>
        <w:pStyle w:val="5"/>
        <w:keepNext w:val="0"/>
        <w:keepLines w:val="0"/>
        <w:widowControl/>
        <w:suppressLineNumbers w:val="0"/>
        <w:spacing w:before="0" w:beforeAutospacing="0" w:after="0" w:afterAutospacing="0" w:line="590" w:lineRule="atLeast"/>
        <w:ind w:left="0" w:right="0" w:firstLine="648"/>
        <w:rPr>
          <w:rFonts w:hint="default" w:ascii="sans-serif" w:hAnsi="sans-serif" w:eastAsia="sans-serif" w:cs="sans-serif"/>
          <w:i w:val="0"/>
          <w:caps w:val="0"/>
          <w:color w:val="000000"/>
          <w:spacing w:val="0"/>
          <w:sz w:val="19"/>
          <w:szCs w:val="19"/>
        </w:rPr>
      </w:pPr>
      <w:r>
        <w:rPr>
          <w:rStyle w:val="8"/>
          <w:rFonts w:hint="eastAsia" w:ascii="方正仿宋_GBK" w:hAnsi="方正仿宋_GBK" w:eastAsia="方正仿宋_GBK" w:cs="方正仿宋_GBK"/>
          <w:i w:val="0"/>
          <w:caps w:val="0"/>
          <w:color w:val="000000"/>
          <w:spacing w:val="0"/>
          <w:sz w:val="32"/>
          <w:szCs w:val="32"/>
        </w:rPr>
        <w:t>一是法治政府建设工作与政务服务工作结合不够紧密。二是法治宣传形式单一。</w:t>
      </w:r>
      <w:r>
        <w:rPr>
          <w:rFonts w:hint="eastAsia" w:ascii="方正仿宋_GBK" w:hAnsi="方正仿宋_GBK" w:eastAsia="方正仿宋_GBK" w:cs="方正仿宋_GBK"/>
          <w:b w:val="0"/>
          <w:i w:val="0"/>
          <w:caps w:val="0"/>
          <w:color w:val="000000"/>
          <w:spacing w:val="0"/>
          <w:sz w:val="32"/>
          <w:szCs w:val="32"/>
        </w:rPr>
        <w:t>仅限于挂条幅、设立宣传栏、发放宣传资料等方式，群众参与度不高，尚未形成浓厚的法治宣传氛围。</w:t>
      </w:r>
      <w:r>
        <w:rPr>
          <w:rStyle w:val="8"/>
          <w:rFonts w:hint="eastAsia" w:ascii="方正仿宋_GBK" w:hAnsi="方正仿宋_GBK" w:eastAsia="方正仿宋_GBK" w:cs="方正仿宋_GBK"/>
          <w:i w:val="0"/>
          <w:caps w:val="0"/>
          <w:color w:val="000000"/>
          <w:spacing w:val="0"/>
          <w:sz w:val="32"/>
          <w:szCs w:val="32"/>
        </w:rPr>
        <w:t>三是调解案件分布不均。</w:t>
      </w:r>
      <w:r>
        <w:rPr>
          <w:rFonts w:hint="eastAsia" w:ascii="方正仿宋_GBK" w:hAnsi="方正仿宋_GBK" w:eastAsia="方正仿宋_GBK" w:cs="方正仿宋_GBK"/>
          <w:b w:val="0"/>
          <w:i w:val="0"/>
          <w:caps w:val="0"/>
          <w:color w:val="000000"/>
          <w:spacing w:val="0"/>
          <w:sz w:val="32"/>
          <w:szCs w:val="32"/>
        </w:rPr>
        <w:t>虽然全年调处的</w:t>
      </w:r>
      <w:r>
        <w:rPr>
          <w:rFonts w:hint="eastAsia" w:ascii="方正仿宋_GBK" w:hAnsi="方正仿宋_GBK" w:eastAsia="方正仿宋_GBK" w:cs="方正仿宋_GBK"/>
          <w:i w:val="0"/>
          <w:caps w:val="0"/>
          <w:color w:val="000000"/>
          <w:spacing w:val="0"/>
          <w:sz w:val="32"/>
          <w:szCs w:val="32"/>
        </w:rPr>
        <w:t>矛盾纠纷数量有所增加，但</w:t>
      </w:r>
      <w:r>
        <w:rPr>
          <w:rFonts w:hint="eastAsia" w:ascii="方正仿宋_GBK" w:hAnsi="方正仿宋_GBK" w:eastAsia="方正仿宋_GBK" w:cs="方正仿宋_GBK"/>
          <w:b w:val="0"/>
          <w:i w:val="0"/>
          <w:caps w:val="0"/>
          <w:color w:val="000000"/>
          <w:spacing w:val="0"/>
          <w:sz w:val="32"/>
          <w:szCs w:val="32"/>
        </w:rPr>
        <w:t>部分兼职调解员专业能力不足，开展人民调解工作的积极性不高。</w:t>
      </w:r>
    </w:p>
    <w:p>
      <w:pPr>
        <w:pStyle w:val="5"/>
        <w:keepNext w:val="0"/>
        <w:keepLines w:val="0"/>
        <w:widowControl/>
        <w:suppressLineNumbers w:val="0"/>
        <w:spacing w:before="0" w:beforeAutospacing="0" w:after="0" w:afterAutospacing="0" w:line="590" w:lineRule="atLeast"/>
        <w:ind w:left="0" w:right="0" w:firstLine="634"/>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四、2023年推进法治政府建设的工作思路目标举措</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b w:val="0"/>
          <w:i w:val="0"/>
          <w:caps w:val="0"/>
          <w:color w:val="000000"/>
          <w:spacing w:val="0"/>
          <w:sz w:val="32"/>
          <w:szCs w:val="32"/>
        </w:rPr>
        <w:t>（一）持续强化法治思维</w:t>
      </w:r>
    </w:p>
    <w:p>
      <w:pPr>
        <w:pStyle w:val="5"/>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rPr>
        <w:t>把党的二十大报告中“坚持全面依法治国，推进法治中国建设”部分与习近平法治思想融合来学，将其作为学习的一项重点内容，提高领导干部的法治素养和依法办事能力，使领导干部切实把握贯彻落实全面依法治国的基本内涵和习近平法治思想的根本要义。</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b w:val="0"/>
          <w:i w:val="0"/>
          <w:caps w:val="0"/>
          <w:color w:val="000000"/>
          <w:spacing w:val="0"/>
          <w:sz w:val="32"/>
          <w:szCs w:val="32"/>
        </w:rPr>
        <w:t>（二）持续优化政务服务</w:t>
      </w:r>
    </w:p>
    <w:p>
      <w:pPr>
        <w:pStyle w:val="5"/>
        <w:keepNext w:val="0"/>
        <w:keepLines w:val="0"/>
        <w:widowControl/>
        <w:suppressLineNumbers w:val="0"/>
        <w:spacing w:before="0" w:beforeAutospacing="0" w:after="0" w:afterAutospacing="0" w:line="315" w:lineRule="atLeast"/>
        <w:ind w:left="0" w:right="0" w:firstLine="634"/>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rPr>
        <w:t>深化政务服务事项标准化、规范化、便利化，进一步推动行政审批事项“无差别受理”，提升办事的易用度和便捷度，解决企业和群众异地办事“多地跑”“折返跑”等堵点难点问题。加强与上级部门的沟通衔接，主动做好服务对接，推动跨域通办。</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b w:val="0"/>
          <w:i w:val="0"/>
          <w:caps w:val="0"/>
          <w:color w:val="000000"/>
          <w:spacing w:val="0"/>
          <w:sz w:val="32"/>
          <w:szCs w:val="32"/>
        </w:rPr>
        <w:t>（三）持续拓宽宣传渠道</w:t>
      </w:r>
    </w:p>
    <w:p>
      <w:pPr>
        <w:pStyle w:val="5"/>
        <w:keepNext w:val="0"/>
        <w:keepLines w:val="0"/>
        <w:widowControl/>
        <w:suppressLineNumbers w:val="0"/>
        <w:spacing w:before="0" w:beforeAutospacing="0" w:after="0" w:afterAutospacing="0" w:line="590" w:lineRule="atLeast"/>
        <w:ind w:left="0" w:right="0" w:firstLine="634"/>
        <w:rPr>
          <w:rFonts w:hint="default" w:ascii="sans-serif" w:hAnsi="sans-serif" w:eastAsia="sans-serif" w:cs="sans-serif"/>
          <w:i w:val="0"/>
          <w:caps w:val="0"/>
          <w:color w:val="000000"/>
          <w:spacing w:val="0"/>
          <w:sz w:val="19"/>
          <w:szCs w:val="19"/>
        </w:rPr>
      </w:pPr>
      <w:bookmarkStart w:id="0" w:name="_GoBack"/>
      <w:bookmarkEnd w:id="0"/>
      <w:r>
        <w:rPr>
          <w:rFonts w:hint="eastAsia" w:ascii="方正仿宋_GBK" w:hAnsi="方正仿宋_GBK" w:eastAsia="方正仿宋_GBK" w:cs="方正仿宋_GBK"/>
          <w:i w:val="0"/>
          <w:caps w:val="0"/>
          <w:color w:val="000000"/>
          <w:spacing w:val="0"/>
          <w:sz w:val="32"/>
          <w:szCs w:val="32"/>
        </w:rPr>
        <w:t>结合乡村振兴、人居环境整治、整违治污等中心工作，丰富普法内容，创新普法形式，多层次横向纵深开展普法活动，引导群众学法、用法、依法办事、有效维护自身权益，并树立崇德尚法、文明向上的理念，为法治建设营造浓厚氛围。</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（四）持续发展枫桥经验</w:t>
      </w:r>
    </w:p>
    <w:p>
      <w:pPr>
        <w:pStyle w:val="5"/>
        <w:keepNext w:val="0"/>
        <w:keepLines w:val="0"/>
        <w:widowControl/>
        <w:suppressLineNumbers w:val="0"/>
        <w:spacing w:before="0" w:beforeAutospacing="0" w:after="0" w:afterAutospacing="0" w:line="590"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坚持和发展新时代“枫桥经验”，多措并举，加强人民调解员队伍建设。开展人民调解员业务培训，着力提升兼职调解员的积极性与专业性，充分发挥兼职调解员从基层中来、从群众中来，熟知情况的独特优势，进一步有效化解各类矛盾与纠纷，提升基层治理能力和社会治理水平，保障社会稳定。</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b w:val="0"/>
          <w:i w:val="0"/>
          <w:caps w:val="0"/>
          <w:color w:val="000000"/>
          <w:spacing w:val="0"/>
          <w:sz w:val="32"/>
          <w:szCs w:val="32"/>
        </w:rPr>
        <w:t>（五）持续提升服务质效</w:t>
      </w:r>
    </w:p>
    <w:p>
      <w:pPr>
        <w:pStyle w:val="5"/>
        <w:keepNext w:val="0"/>
        <w:keepLines w:val="0"/>
        <w:widowControl/>
        <w:suppressLineNumbers w:val="0"/>
        <w:spacing w:before="0" w:beforeAutospacing="0" w:after="0" w:afterAutospacing="0" w:line="590" w:lineRule="atLeast"/>
        <w:ind w:left="0" w:right="0" w:firstLine="634"/>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完善歌乐山街道“和顺茶馆”各项功能设施，以服务群众法治需求为导向，通过走访、座谈、发放调查问卷等多种形式，了解掌握居民生产生活中经常面对的法律问题和存在欠缺的法律知识，结合法官“送法”、民警“说法”、律师“普法”等活动，提升公共法律服务的精准性、有效性、实用性。</w:t>
      </w:r>
    </w:p>
    <w:p>
      <w:pPr>
        <w:pStyle w:val="5"/>
        <w:keepNext w:val="0"/>
        <w:keepLines w:val="0"/>
        <w:widowControl/>
        <w:suppressLineNumbers w:val="0"/>
        <w:spacing w:before="0" w:beforeAutospacing="0" w:after="0" w:afterAutospacing="0" w:line="576" w:lineRule="atLeast"/>
        <w:ind w:left="0" w:right="0" w:firstLine="634"/>
        <w:jc w:val="both"/>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rPr>
        <w:t>五、其他需要报告的情况</w:t>
      </w:r>
    </w:p>
    <w:p>
      <w:pPr>
        <w:pStyle w:val="5"/>
        <w:keepNext w:val="0"/>
        <w:keepLines w:val="0"/>
        <w:widowControl/>
        <w:suppressLineNumbers w:val="0"/>
        <w:spacing w:before="0" w:beforeAutospacing="0" w:after="0" w:afterAutospacing="0" w:line="576" w:lineRule="atLeast"/>
        <w:ind w:left="0" w:right="0" w:firstLine="634"/>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2"/>
          <w:szCs w:val="32"/>
        </w:rPr>
        <w:t>2022</w:t>
      </w:r>
      <w:r>
        <w:rPr>
          <w:rFonts w:hint="eastAsia" w:ascii="方正仿宋_GBK" w:hAnsi="方正仿宋_GBK" w:eastAsia="方正仿宋_GBK" w:cs="方正仿宋_GBK"/>
          <w:i w:val="0"/>
          <w:caps w:val="0"/>
          <w:color w:val="000000"/>
          <w:spacing w:val="0"/>
          <w:sz w:val="32"/>
          <w:szCs w:val="32"/>
        </w:rPr>
        <w:t>年度无其他需要报告的情况。</w:t>
      </w:r>
    </w:p>
    <w:p>
      <w:pPr>
        <w:pStyle w:val="5"/>
        <w:keepNext w:val="0"/>
        <w:keepLines w:val="0"/>
        <w:widowControl/>
        <w:suppressLineNumbers w:val="0"/>
        <w:spacing w:before="0" w:beforeAutospacing="0" w:after="0" w:afterAutospacing="0" w:line="576" w:lineRule="atLeast"/>
        <w:ind w:left="0" w:right="0" w:firstLine="634"/>
        <w:jc w:val="both"/>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特此报告</w:t>
      </w:r>
    </w:p>
    <w:p>
      <w:pPr>
        <w:pStyle w:val="5"/>
        <w:keepNext w:val="0"/>
        <w:keepLines w:val="0"/>
        <w:widowControl/>
        <w:suppressLineNumbers w:val="0"/>
        <w:spacing w:before="0" w:beforeAutospacing="0" w:after="0" w:afterAutospacing="0" w:line="590" w:lineRule="atLeast"/>
        <w:ind w:left="0" w:right="0" w:firstLine="634"/>
        <w:jc w:val="right"/>
        <w:rPr>
          <w:rFonts w:hint="default" w:ascii="sans-serif" w:hAnsi="sans-serif" w:eastAsia="sans-serif" w:cs="sans-serif"/>
          <w:i w:val="0"/>
          <w:caps w:val="0"/>
          <w:color w:val="000000"/>
          <w:spacing w:val="0"/>
          <w:sz w:val="19"/>
          <w:szCs w:val="19"/>
        </w:rPr>
      </w:pPr>
    </w:p>
    <w:p>
      <w:pPr>
        <w:pStyle w:val="5"/>
        <w:keepNext w:val="0"/>
        <w:keepLines w:val="0"/>
        <w:widowControl/>
        <w:suppressLineNumbers w:val="0"/>
        <w:spacing w:before="0" w:beforeAutospacing="0" w:after="0" w:afterAutospacing="0" w:line="590" w:lineRule="atLeast"/>
        <w:ind w:left="0" w:right="0" w:firstLine="1915"/>
        <w:jc w:val="right"/>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重庆市沙坪坝区人民政府歌乐山街道办事处</w:t>
      </w:r>
    </w:p>
    <w:p>
      <w:pPr>
        <w:pStyle w:val="5"/>
        <w:keepNext w:val="0"/>
        <w:keepLines w:val="0"/>
        <w:widowControl/>
        <w:suppressLineNumbers w:val="0"/>
        <w:spacing w:before="0" w:beforeAutospacing="0" w:after="0" w:afterAutospacing="0" w:line="590" w:lineRule="atLeast"/>
        <w:ind w:left="0" w:right="0" w:firstLine="2736"/>
        <w:jc w:val="right"/>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2023</w:t>
      </w:r>
      <w:r>
        <w:rPr>
          <w:rFonts w:hint="eastAsia" w:ascii="方正仿宋_GBK" w:hAnsi="方正仿宋_GBK" w:eastAsia="方正仿宋_GBK" w:cs="方正仿宋_GBK"/>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日</w:t>
      </w:r>
    </w:p>
    <w:p>
      <w:pPr>
        <w:pStyle w:val="5"/>
        <w:keepNext w:val="0"/>
        <w:keepLines w:val="0"/>
        <w:widowControl/>
        <w:suppressLineNumbers w:val="0"/>
        <w:spacing w:before="0" w:beforeAutospacing="0" w:after="0" w:afterAutospacing="0" w:line="590" w:lineRule="atLeast"/>
        <w:ind w:left="0" w:right="0" w:firstLine="2736"/>
        <w:jc w:val="right"/>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​（此件公开发布）</w:t>
      </w:r>
    </w:p>
    <w:p>
      <w:pPr>
        <w:pStyle w:val="5"/>
        <w:keepNext w:val="0"/>
        <w:keepLines w:val="0"/>
        <w:widowControl/>
        <w:suppressLineNumbers w:val="0"/>
        <w:spacing w:before="0" w:beforeAutospacing="0" w:after="0" w:afterAutospacing="0" w:line="315" w:lineRule="atLeast"/>
        <w:ind w:left="0" w:right="0" w:firstLine="648"/>
        <w:rPr>
          <w:rFonts w:hint="default" w:ascii="sans-serif" w:hAnsi="sans-serif" w:eastAsia="sans-serif" w:cs="sans-serif"/>
          <w:i w:val="0"/>
          <w:caps w:val="0"/>
          <w:color w:val="000000"/>
          <w:spacing w:val="0"/>
          <w:sz w:val="27"/>
          <w:szCs w:val="27"/>
        </w:rPr>
      </w:pPr>
    </w:p>
    <w:p>
      <w:pPr>
        <w:keepNext w:val="0"/>
        <w:keepLines w:val="0"/>
        <w:widowControl/>
        <w:suppressLineNumbers w:val="0"/>
        <w:jc w:val="left"/>
      </w:pPr>
    </w:p>
    <w:p>
      <w:pPr>
        <w:rPr>
          <w:rFonts w:hint="default"/>
        </w:rPr>
      </w:pPr>
    </w:p>
    <w:sectPr>
      <w:footerReference r:id="rId3" w:type="default"/>
      <w:pgSz w:w="11906" w:h="16838"/>
      <w:pgMar w:top="1814" w:right="1446" w:bottom="1644" w:left="144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sans-serif">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E6BE2"/>
    <w:rsid w:val="01ED398B"/>
    <w:rsid w:val="01FF234E"/>
    <w:rsid w:val="11AF0EF4"/>
    <w:rsid w:val="12C61DF2"/>
    <w:rsid w:val="16F4671E"/>
    <w:rsid w:val="1E4271FE"/>
    <w:rsid w:val="1F582F2D"/>
    <w:rsid w:val="21E94B78"/>
    <w:rsid w:val="23641E18"/>
    <w:rsid w:val="266312FC"/>
    <w:rsid w:val="278A7014"/>
    <w:rsid w:val="30C322EF"/>
    <w:rsid w:val="338D5CC3"/>
    <w:rsid w:val="35350308"/>
    <w:rsid w:val="3D00779F"/>
    <w:rsid w:val="3EDD038E"/>
    <w:rsid w:val="47C64AD9"/>
    <w:rsid w:val="49507EE1"/>
    <w:rsid w:val="4B900263"/>
    <w:rsid w:val="4DD724BC"/>
    <w:rsid w:val="550D7A33"/>
    <w:rsid w:val="568D38B4"/>
    <w:rsid w:val="5E646F87"/>
    <w:rsid w:val="6A110076"/>
    <w:rsid w:val="71B9294F"/>
    <w:rsid w:val="723F5DF7"/>
    <w:rsid w:val="730E239B"/>
    <w:rsid w:val="7726043D"/>
    <w:rsid w:val="774E6BE2"/>
    <w:rsid w:val="93BDFF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ont01"/>
    <w:basedOn w:val="7"/>
    <w:qFormat/>
    <w:uiPriority w:val="0"/>
    <w:rPr>
      <w:rFonts w:hint="eastAsia" w:ascii="楷体" w:hAnsi="楷体" w:eastAsia="楷体" w:cs="楷体"/>
      <w:color w:val="000000"/>
      <w:sz w:val="24"/>
      <w:szCs w:val="24"/>
      <w:u w:val="none"/>
    </w:rPr>
  </w:style>
  <w:style w:type="character" w:customStyle="1" w:styleId="10">
    <w:name w:val="font11"/>
    <w:basedOn w:val="7"/>
    <w:qFormat/>
    <w:uiPriority w:val="0"/>
    <w:rPr>
      <w:rFonts w:hint="eastAsia" w:ascii="楷体" w:hAnsi="楷体" w:eastAsia="楷体" w:cs="楷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2021-01-25T15:00:00Z</dcterms:created>
  <dc:creator>HP</dc:creator>
  <cp:lastModifiedBy>kylin</cp:lastModifiedBy>
  <cp:lastPrinted>2021-01-25T15:54:00Z</cp:lastPrinted>
  <dcterms:modified xsi:type="dcterms:W3CDTF">2023-10-30T18:07:44Z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