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195" w:afterAutospacing="0" w:line="562" w:lineRule="atLeast"/>
        <w:ind w:left="0" w:right="0" w:firstLine="0"/>
        <w:jc w:val="left"/>
        <w:rPr>
          <w:rFonts w:ascii="sans-serif" w:hAnsi="sans-serif" w:eastAsia="sans-serif" w:cs="sans-serif"/>
          <w:i w:val="0"/>
          <w:caps w:val="0"/>
          <w:color w:val="000000"/>
          <w:spacing w:val="0"/>
          <w:sz w:val="19"/>
          <w:szCs w:val="19"/>
        </w:rPr>
      </w:pP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Fonts w:ascii="方正仿宋_GBK" w:hAnsi="方正仿宋_GBK" w:eastAsia="方正仿宋_GBK" w:cs="方正仿宋_GBK"/>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21年，歌乐山街道在区委、区政府的坚强领导下，坚持以习近平新时代中国特色社会主义思想为指导，全面贯彻党的十九届六中全会精神，深学笃用习近平总书记全面依法治国新理念新思想新战略，全面落实党中央、国务院关于建设法治政府的决策部署，紧紧围绕《法治政府建设实施纲要（2021-2025年）》《</w:t>
      </w:r>
      <w:r>
        <w:rPr>
          <w:rFonts w:hint="default" w:ascii="Times New Roman" w:hAnsi="Times New Roman" w:eastAsia="sans-serif" w:cs="Times New Roman"/>
          <w:i w:val="0"/>
          <w:caps w:val="0"/>
          <w:color w:val="000000"/>
          <w:spacing w:val="0"/>
          <w:sz w:val="32"/>
          <w:szCs w:val="32"/>
        </w:rPr>
        <w:t>2021</w:t>
      </w:r>
      <w:r>
        <w:rPr>
          <w:rFonts w:hint="eastAsia" w:ascii="方正仿宋_GBK" w:hAnsi="方正仿宋_GBK" w:eastAsia="方正仿宋_GBK" w:cs="方正仿宋_GBK"/>
          <w:i w:val="0"/>
          <w:caps w:val="0"/>
          <w:color w:val="000000"/>
          <w:spacing w:val="0"/>
          <w:sz w:val="32"/>
          <w:szCs w:val="32"/>
        </w:rPr>
        <w:t>年沙坪坝区法治政府建设工作要点》确定的目标任务，坚持问题导向，强化法治思维，切实提升治理体系和治理能力现代化水平，把加快法治政府建设的各项要求落实到工作的各个方面、各个环节，现将2021年度法治政府建设情况报告如下：</w:t>
      </w: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Fonts w:ascii="方正黑体_GBK" w:hAnsi="方正黑体_GBK" w:eastAsia="方正黑体_GBK" w:cs="方正黑体_GBK"/>
          <w:i w:val="0"/>
          <w:caps w:val="0"/>
          <w:color w:val="000000"/>
          <w:spacing w:val="0"/>
          <w:sz w:val="32"/>
          <w:szCs w:val="32"/>
        </w:rPr>
        <w:t>一、</w:t>
      </w:r>
      <w:r>
        <w:rPr>
          <w:rFonts w:hint="default" w:ascii="Times New Roman" w:hAnsi="Times New Roman" w:eastAsia="sans-serif" w:cs="Times New Roman"/>
          <w:i w:val="0"/>
          <w:caps w:val="0"/>
          <w:color w:val="000000"/>
          <w:spacing w:val="0"/>
          <w:sz w:val="32"/>
          <w:szCs w:val="32"/>
        </w:rPr>
        <w:t>2021</w:t>
      </w:r>
      <w:r>
        <w:rPr>
          <w:rFonts w:hint="eastAsia" w:ascii="方正黑体_GBK" w:hAnsi="方正黑体_GBK" w:eastAsia="方正黑体_GBK" w:cs="方正黑体_GBK"/>
          <w:i w:val="0"/>
          <w:caps w:val="0"/>
          <w:color w:val="000000"/>
          <w:spacing w:val="0"/>
          <w:sz w:val="32"/>
          <w:szCs w:val="32"/>
        </w:rPr>
        <w:t>年推进法治政府建设的主要举措和成效</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ascii="方正楷体_GBK" w:hAnsi="方正楷体_GBK" w:eastAsia="方正楷体_GBK" w:cs="方正楷体_GBK"/>
          <w:i w:val="0"/>
          <w:caps w:val="0"/>
          <w:color w:val="000000"/>
          <w:spacing w:val="0"/>
          <w:sz w:val="32"/>
          <w:szCs w:val="32"/>
        </w:rPr>
        <w:t>（一）政府职能依法全面履行</w:t>
      </w: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Style w:val="8"/>
          <w:rFonts w:hint="eastAsia" w:ascii="方正仿宋_GBK" w:hAnsi="方正仿宋_GBK" w:eastAsia="方正仿宋_GBK" w:cs="方正仿宋_GBK"/>
          <w:i w:val="0"/>
          <w:caps w:val="0"/>
          <w:color w:val="000000"/>
          <w:spacing w:val="0"/>
          <w:sz w:val="32"/>
          <w:szCs w:val="32"/>
        </w:rPr>
        <w:t>一是持续提升政务服务。</w:t>
      </w:r>
      <w:r>
        <w:rPr>
          <w:rFonts w:hint="eastAsia" w:ascii="方正仿宋_GBK" w:hAnsi="方正仿宋_GBK" w:eastAsia="方正仿宋_GBK" w:cs="方正仿宋_GBK"/>
          <w:i w:val="0"/>
          <w:caps w:val="0"/>
          <w:color w:val="000000"/>
          <w:spacing w:val="0"/>
          <w:sz w:val="32"/>
          <w:szCs w:val="32"/>
        </w:rPr>
        <w:t>持续开展一网通办和减证便民等改革措施，按照区“互联网+政务服务”工作要求，通过整合街道服务数据资源、完善配套制度等措施，推行街道政务服务事项网上办理，融合线上线下服务。全面优化办理时间、办理环节、办理成本等评价指标，及时落实各项改革措施和创新政策。全年修改完善重庆市一体化政务服务平台上涉及街道的公共服务、行政许可、其他行政权力等8项权力类型共计194项清单。</w:t>
      </w:r>
      <w:r>
        <w:rPr>
          <w:rStyle w:val="8"/>
          <w:rFonts w:hint="eastAsia" w:ascii="方正仿宋_GBK" w:hAnsi="方正仿宋_GBK" w:eastAsia="方正仿宋_GBK" w:cs="方正仿宋_GBK"/>
          <w:i w:val="0"/>
          <w:caps w:val="0"/>
          <w:color w:val="000000"/>
          <w:spacing w:val="0"/>
          <w:sz w:val="32"/>
          <w:szCs w:val="32"/>
        </w:rPr>
        <w:t>二是优化法治化营商环境。</w:t>
      </w:r>
      <w:r>
        <w:rPr>
          <w:rFonts w:hint="eastAsia" w:ascii="方正仿宋_GBK" w:hAnsi="方正仿宋_GBK" w:eastAsia="方正仿宋_GBK" w:cs="方正仿宋_GBK"/>
          <w:b w:val="0"/>
          <w:i w:val="0"/>
          <w:caps w:val="0"/>
          <w:color w:val="000000"/>
          <w:spacing w:val="0"/>
          <w:sz w:val="32"/>
          <w:szCs w:val="32"/>
        </w:rPr>
        <w:t>歌乐山街道全面贯彻新发展理念，以推动高质量发展为主题，以服务民营企业为导向，围绕优化营商环境，充分发挥地方生态优势，加快产业转型升级。坚持走访服务企业机制的常态化，联系服务29家规上企业，召开“政企银”联席会议2次，帮助1家规上企业解决融资困难。</w:t>
      </w:r>
    </w:p>
    <w:p>
      <w:pPr>
        <w:keepNext w:val="0"/>
        <w:keepLines w:val="0"/>
        <w:widowControl/>
        <w:numPr>
          <w:ilvl w:val="0"/>
          <w:numId w:val="1"/>
        </w:numPr>
        <w:suppressLineNumbers w:val="0"/>
        <w:spacing w:before="0" w:beforeAutospacing="1" w:after="0" w:afterAutospacing="1"/>
        <w:ind w:left="0" w:firstLine="0"/>
      </w:pPr>
    </w:p>
    <w:p>
      <w:pPr>
        <w:pStyle w:val="5"/>
        <w:keepNext w:val="0"/>
        <w:keepLines w:val="0"/>
        <w:widowControl/>
        <w:suppressLineNumbers w:val="0"/>
        <w:spacing w:before="0" w:beforeAutospacing="0" w:after="0" w:afterAutospacing="0" w:line="605" w:lineRule="atLeast"/>
        <w:ind w:left="0" w:right="0"/>
        <w:rPr>
          <w:sz w:val="19"/>
          <w:szCs w:val="19"/>
        </w:rPr>
      </w:pPr>
      <w:r>
        <w:rPr>
          <w:rFonts w:hint="eastAsia" w:ascii="方正楷体_GBK" w:hAnsi="方正楷体_GBK" w:eastAsia="方正楷体_GBK" w:cs="方正楷体_GBK"/>
          <w:i w:val="0"/>
          <w:caps w:val="0"/>
          <w:color w:val="000000"/>
          <w:spacing w:val="0"/>
          <w:sz w:val="32"/>
          <w:szCs w:val="32"/>
        </w:rPr>
        <w:t>完善依法行政制度体系</w:t>
      </w:r>
    </w:p>
    <w:p>
      <w:pPr>
        <w:keepNext w:val="0"/>
        <w:keepLines w:val="0"/>
        <w:widowControl/>
        <w:numPr>
          <w:ilvl w:val="0"/>
          <w:numId w:val="1"/>
        </w:numPr>
        <w:suppressLineNumbers w:val="0"/>
        <w:spacing w:before="0" w:beforeAutospacing="1" w:after="0" w:afterAutospacing="1"/>
        <w:ind w:left="0" w:firstLine="0"/>
      </w:pP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Style w:val="8"/>
          <w:rFonts w:hint="eastAsia" w:ascii="方正仿宋_GBK" w:hAnsi="方正仿宋_GBK" w:eastAsia="方正仿宋_GBK" w:cs="方正仿宋_GBK"/>
          <w:i w:val="0"/>
          <w:caps w:val="0"/>
          <w:color w:val="000000"/>
          <w:spacing w:val="0"/>
          <w:sz w:val="32"/>
          <w:szCs w:val="32"/>
        </w:rPr>
        <w:t>一是健全权责清单管理机制。</w:t>
      </w:r>
      <w:r>
        <w:rPr>
          <w:rFonts w:hint="eastAsia" w:ascii="方正仿宋_GBK" w:hAnsi="方正仿宋_GBK" w:eastAsia="方正仿宋_GBK" w:cs="方正仿宋_GBK"/>
          <w:i w:val="0"/>
          <w:caps w:val="0"/>
          <w:color w:val="000000"/>
          <w:spacing w:val="0"/>
          <w:sz w:val="32"/>
          <w:szCs w:val="32"/>
        </w:rPr>
        <w:t>严格落实权力清单、责任清单、公共服务清单并进行动态管理，进一步明确政府职能边界，提高行政职权运行的规范化水平。街道配合区政府动态调整权力清单，逐条逐项分类登记并以清单方式列举，按时、按质完成清理规范工作，做到清理流程不缺、权力项目不漏。</w:t>
      </w:r>
      <w:r>
        <w:rPr>
          <w:rStyle w:val="8"/>
          <w:rFonts w:hint="eastAsia" w:ascii="方正仿宋_GBK" w:hAnsi="方正仿宋_GBK" w:eastAsia="方正仿宋_GBK" w:cs="方正仿宋_GBK"/>
          <w:i w:val="0"/>
          <w:caps w:val="0"/>
          <w:color w:val="000000"/>
          <w:spacing w:val="0"/>
          <w:sz w:val="32"/>
          <w:szCs w:val="32"/>
        </w:rPr>
        <w:t>二是深化政府信息公开。</w:t>
      </w:r>
      <w:r>
        <w:rPr>
          <w:rFonts w:hint="eastAsia" w:ascii="方正仿宋_GBK" w:hAnsi="方正仿宋_GBK" w:eastAsia="方正仿宋_GBK" w:cs="方正仿宋_GBK"/>
          <w:b w:val="0"/>
          <w:i w:val="0"/>
          <w:caps w:val="0"/>
          <w:color w:val="000000"/>
          <w:spacing w:val="0"/>
          <w:sz w:val="32"/>
          <w:szCs w:val="32"/>
        </w:rPr>
        <w:t>歌乐山街道严格按照《中华人民共和国政府信息公开条例》规定和上级相关文件要求，对标对表，及时准确地公布各类政务信息，认真履行政府信息公开职责。</w:t>
      </w:r>
      <w:r>
        <w:rPr>
          <w:rFonts w:hint="eastAsia" w:ascii="方正仿宋_GBK" w:hAnsi="方正仿宋_GBK" w:eastAsia="方正仿宋_GBK" w:cs="方正仿宋_GBK"/>
          <w:i w:val="0"/>
          <w:caps w:val="0"/>
          <w:color w:val="000000"/>
          <w:spacing w:val="0"/>
          <w:sz w:val="32"/>
          <w:szCs w:val="32"/>
        </w:rPr>
        <w:t>2021年，歌乐山街道通过政府网站主动公开政府信息1430条，通过各大报纸、电视台、社会网站等途径发布新闻信息100余条。全年依法办理政府信息公开申请4宗，答复率、答复及时率达到100%。</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（三）重大行政决策科学民主合法</w:t>
      </w: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Style w:val="8"/>
          <w:rFonts w:hint="eastAsia" w:ascii="方正仿宋_GBK" w:hAnsi="方正仿宋_GBK" w:eastAsia="方正仿宋_GBK" w:cs="方正仿宋_GBK"/>
          <w:i w:val="0"/>
          <w:caps w:val="0"/>
          <w:color w:val="000000"/>
          <w:spacing w:val="0"/>
          <w:sz w:val="32"/>
          <w:szCs w:val="32"/>
        </w:rPr>
        <w:t>一是全面执行重大行政决策程序。</w:t>
      </w:r>
      <w:r>
        <w:rPr>
          <w:rFonts w:hint="eastAsia" w:ascii="方正仿宋_GBK" w:hAnsi="方正仿宋_GBK" w:eastAsia="方正仿宋_GBK" w:cs="方正仿宋_GBK"/>
          <w:b w:val="0"/>
          <w:i w:val="0"/>
          <w:caps w:val="0"/>
          <w:color w:val="000000"/>
          <w:spacing w:val="0"/>
          <w:sz w:val="32"/>
          <w:szCs w:val="32"/>
        </w:rPr>
        <w:t>严格落实《重大行政决策程序暂行条例》，实行重大行政决策公开制度，除依法应当保密的外，决策事项、依据和结果全部公开。健全重大决策事前评估和事后评价制度，充分听取各方面意见，防控决策风险，不断提高决策科学化、民主化、法治化水平。</w:t>
      </w:r>
      <w:r>
        <w:rPr>
          <w:rStyle w:val="8"/>
          <w:rFonts w:hint="eastAsia" w:ascii="方正仿宋_GBK" w:hAnsi="方正仿宋_GBK" w:eastAsia="方正仿宋_GBK" w:cs="方正仿宋_GBK"/>
          <w:i w:val="0"/>
          <w:caps w:val="0"/>
          <w:color w:val="000000"/>
          <w:spacing w:val="0"/>
          <w:sz w:val="32"/>
          <w:szCs w:val="32"/>
        </w:rPr>
        <w:t>二是充分发挥法律顾问作用。</w:t>
      </w:r>
      <w:r>
        <w:rPr>
          <w:rFonts w:hint="eastAsia" w:ascii="方正仿宋_GBK" w:hAnsi="方正仿宋_GBK" w:eastAsia="方正仿宋_GBK" w:cs="方正仿宋_GBK"/>
          <w:i w:val="0"/>
          <w:caps w:val="0"/>
          <w:color w:val="000000"/>
          <w:spacing w:val="0"/>
          <w:sz w:val="32"/>
          <w:szCs w:val="32"/>
        </w:rPr>
        <w:t>续聘法律顾问团对街道各科室（所、中心）、村、社区22个项目合同进行合法性审查，全年提供法律咨询服务20次，参与研讨会3次，开展现场讲座4次，为街道各科室、村（社区）在经济、民生和社会管理方面的决策提供法律意见，最大限度地减少因决策失误引发的社会矛盾。</w:t>
      </w:r>
      <w:r>
        <w:rPr>
          <w:rStyle w:val="8"/>
          <w:rFonts w:hint="eastAsia" w:ascii="方正仿宋_GBK" w:hAnsi="方正仿宋_GBK" w:eastAsia="方正仿宋_GBK" w:cs="方正仿宋_GBK"/>
          <w:i w:val="0"/>
          <w:caps w:val="0"/>
          <w:color w:val="000000"/>
          <w:spacing w:val="0"/>
          <w:sz w:val="32"/>
          <w:szCs w:val="32"/>
        </w:rPr>
        <w:t>三是畅通参与决策的渠道。</w:t>
      </w:r>
      <w:r>
        <w:rPr>
          <w:rFonts w:hint="eastAsia" w:ascii="方正仿宋_GBK" w:hAnsi="方正仿宋_GBK" w:eastAsia="方正仿宋_GBK" w:cs="方正仿宋_GBK"/>
          <w:i w:val="0"/>
          <w:caps w:val="0"/>
          <w:color w:val="000000"/>
          <w:spacing w:val="0"/>
          <w:sz w:val="32"/>
          <w:szCs w:val="32"/>
        </w:rPr>
        <w:t>通过落实重大民生决策事项民意调查制度，切实保障市场主体和群众在决策中的知情权、参与权、表达权和监督权，提升决策的针对性和有效性，提高街道的执行力和公信力。</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（四）行政执法权责统一、权威高效</w:t>
      </w: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Style w:val="8"/>
          <w:rFonts w:hint="eastAsia" w:ascii="方正仿宋_GBK" w:hAnsi="方正仿宋_GBK" w:eastAsia="方正仿宋_GBK" w:cs="方正仿宋_GBK"/>
          <w:i w:val="0"/>
          <w:caps w:val="0"/>
          <w:color w:val="000000"/>
          <w:spacing w:val="0"/>
          <w:sz w:val="32"/>
          <w:szCs w:val="32"/>
        </w:rPr>
        <w:t>一是积极探索推行柔性执法机制。</w:t>
      </w:r>
      <w:r>
        <w:rPr>
          <w:rFonts w:hint="eastAsia" w:ascii="方正仿宋_GBK" w:hAnsi="方正仿宋_GBK" w:eastAsia="方正仿宋_GBK" w:cs="方正仿宋_GBK"/>
          <w:b w:val="0"/>
          <w:i w:val="0"/>
          <w:caps w:val="0"/>
          <w:color w:val="000000"/>
          <w:spacing w:val="0"/>
          <w:sz w:val="32"/>
          <w:szCs w:val="32"/>
        </w:rPr>
        <w:t>歌乐山街道认真贯彻落实《重庆市沙坪坝区推行行政机关柔性执法的实施意见》文件精神</w:t>
      </w:r>
      <w:r>
        <w:rPr>
          <w:rFonts w:hint="eastAsia" w:ascii="方正仿宋_GBK" w:hAnsi="方正仿宋_GBK" w:eastAsia="方正仿宋_GBK" w:cs="方正仿宋_GBK"/>
          <w:i w:val="0"/>
          <w:caps w:val="0"/>
          <w:color w:val="000000"/>
          <w:spacing w:val="0"/>
          <w:sz w:val="32"/>
          <w:szCs w:val="32"/>
        </w:rPr>
        <w:t>和要求，进一步转变行政执法理念，创新行政执法模式，将行政劝导预防、行政告知建议、行政约谈告诫、行政调解纠错和行政回访提升等柔性执法手段融入到监管执法过程中，着力解决执法过程中存在的简单、粗暴、“一刀切”等问题，坚持以理性、平和、文明、规范的方式执法。</w:t>
      </w:r>
      <w:r>
        <w:rPr>
          <w:rStyle w:val="8"/>
          <w:rFonts w:hint="eastAsia" w:ascii="方正仿宋_GBK" w:hAnsi="方正仿宋_GBK" w:eastAsia="方正仿宋_GBK" w:cs="方正仿宋_GBK"/>
          <w:i w:val="0"/>
          <w:caps w:val="0"/>
          <w:color w:val="000000"/>
          <w:spacing w:val="0"/>
          <w:sz w:val="32"/>
          <w:szCs w:val="32"/>
        </w:rPr>
        <w:t>二是严格规范行政执法。</w:t>
      </w:r>
      <w:r>
        <w:rPr>
          <w:rFonts w:hint="eastAsia" w:ascii="方正仿宋_GBK" w:hAnsi="方正仿宋_GBK" w:eastAsia="方正仿宋_GBK" w:cs="方正仿宋_GBK"/>
          <w:i w:val="0"/>
          <w:caps w:val="0"/>
          <w:color w:val="000000"/>
          <w:spacing w:val="0"/>
          <w:sz w:val="32"/>
          <w:szCs w:val="32"/>
        </w:rPr>
        <w:t>全面严格落实行政执法“三项制度”，认真落实“双随机一公开”制度，推行执法全过程实时、全程记录，规范执法人员的文明用语、执法流程等，对行政执法案件办案质量时时监督，重大行政执法决定法制审核制度实现执法部门全覆盖。</w:t>
      </w:r>
      <w:r>
        <w:rPr>
          <w:rStyle w:val="8"/>
          <w:rFonts w:hint="eastAsia" w:ascii="方正仿宋_GBK" w:hAnsi="方正仿宋_GBK" w:eastAsia="方正仿宋_GBK" w:cs="方正仿宋_GBK"/>
          <w:i w:val="0"/>
          <w:caps w:val="0"/>
          <w:color w:val="000000"/>
          <w:spacing w:val="0"/>
          <w:sz w:val="32"/>
          <w:szCs w:val="32"/>
        </w:rPr>
        <w:t>三是加强行政执法人员管理和培训。</w:t>
      </w:r>
      <w:r>
        <w:rPr>
          <w:rFonts w:hint="eastAsia" w:ascii="方正仿宋_GBK" w:hAnsi="方正仿宋_GBK" w:eastAsia="方正仿宋_GBK" w:cs="方正仿宋_GBK"/>
          <w:i w:val="0"/>
          <w:caps w:val="0"/>
          <w:color w:val="000000"/>
          <w:spacing w:val="0"/>
          <w:sz w:val="32"/>
          <w:szCs w:val="32"/>
        </w:rPr>
        <w:t>组织1名申办新证和24名已持证的行政执法人员参加网络培训及考试，夯实法律理论基础，突破固有法律误区，着力扫清法律盲区，进一步强化行政执法人员法治意识。严格落实行政执法人员资格管理和持证上岗制度，按时调整更新行政执法人员信息库，为不在原执法岗位继续履行职责的3名工作人员注销证件，按时做好办证、换证、注销等工作。</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（五）社会矛盾纠纷依法有效化解</w:t>
      </w: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Style w:val="8"/>
          <w:rFonts w:hint="eastAsia" w:ascii="方正仿宋_GBK" w:hAnsi="方正仿宋_GBK" w:eastAsia="方正仿宋_GBK" w:cs="方正仿宋_GBK"/>
          <w:i w:val="0"/>
          <w:caps w:val="0"/>
          <w:color w:val="000000"/>
          <w:spacing w:val="0"/>
          <w:sz w:val="32"/>
          <w:szCs w:val="32"/>
        </w:rPr>
        <w:t>一是完善社会矛盾纠纷多元预防调处化解综合机制。</w:t>
      </w:r>
      <w:r>
        <w:rPr>
          <w:rFonts w:hint="eastAsia" w:ascii="方正仿宋_GBK" w:hAnsi="方正仿宋_GBK" w:eastAsia="方正仿宋_GBK" w:cs="方正仿宋_GBK"/>
          <w:b w:val="0"/>
          <w:i w:val="0"/>
          <w:caps w:val="0"/>
          <w:color w:val="000000"/>
          <w:spacing w:val="0"/>
          <w:sz w:val="32"/>
          <w:szCs w:val="32"/>
        </w:rPr>
        <w:t>建立“一街镇一法官”诉调对接工作机制，整合联系法官、各村（社区）调委会、专兼职人民调解员、街道法律顾问等资源，参与多元矛盾纠纷化解。召开诉调对接联席会议</w:t>
      </w:r>
      <w:r>
        <w:rPr>
          <w:rFonts w:hint="default" w:ascii="Times New Roman" w:hAnsi="Times New Roman" w:eastAsia="sans-serif" w:cs="Times New Roman"/>
          <w:b w:val="0"/>
          <w:i w:val="0"/>
          <w:caps w:val="0"/>
          <w:color w:val="000000"/>
          <w:spacing w:val="0"/>
          <w:sz w:val="32"/>
          <w:szCs w:val="32"/>
        </w:rPr>
        <w:t>1</w:t>
      </w:r>
      <w:r>
        <w:rPr>
          <w:rFonts w:hint="eastAsia" w:ascii="方正仿宋_GBK" w:hAnsi="方正仿宋_GBK" w:eastAsia="方正仿宋_GBK" w:cs="方正仿宋_GBK"/>
          <w:b w:val="0"/>
          <w:i w:val="0"/>
          <w:caps w:val="0"/>
          <w:color w:val="000000"/>
          <w:spacing w:val="0"/>
          <w:sz w:val="32"/>
          <w:szCs w:val="32"/>
        </w:rPr>
        <w:t>次，研讨重点矛盾纠纷案件情况，并邀请联系法官对各村（社区）调委会进行业务指导。着力加强对</w:t>
      </w:r>
      <w:r>
        <w:rPr>
          <w:rFonts w:hint="default" w:ascii="Times New Roman" w:hAnsi="Times New Roman" w:eastAsia="sans-serif" w:cs="Times New Roman"/>
          <w:b w:val="0"/>
          <w:i w:val="0"/>
          <w:caps w:val="0"/>
          <w:color w:val="000000"/>
          <w:spacing w:val="0"/>
          <w:sz w:val="32"/>
          <w:szCs w:val="32"/>
        </w:rPr>
        <w:t>8</w:t>
      </w:r>
      <w:r>
        <w:rPr>
          <w:rFonts w:hint="eastAsia" w:ascii="方正仿宋_GBK" w:hAnsi="方正仿宋_GBK" w:eastAsia="方正仿宋_GBK" w:cs="方正仿宋_GBK"/>
          <w:b w:val="0"/>
          <w:i w:val="0"/>
          <w:caps w:val="0"/>
          <w:color w:val="000000"/>
          <w:spacing w:val="0"/>
          <w:sz w:val="32"/>
          <w:szCs w:val="32"/>
        </w:rPr>
        <w:t>个村（社区）调委会和驻派出所的专职调解委员会的指导与监督，规范人民调解文书制作及档案留存，案件及时录入司法行政基层工作管理系统。</w:t>
      </w:r>
      <w:r>
        <w:rPr>
          <w:rFonts w:hint="default" w:ascii="Times New Roman" w:hAnsi="Times New Roman" w:eastAsia="sans-serif" w:cs="Times New Roman"/>
          <w:b w:val="0"/>
          <w:i w:val="0"/>
          <w:caps w:val="0"/>
          <w:color w:val="000000"/>
          <w:spacing w:val="0"/>
          <w:sz w:val="32"/>
          <w:szCs w:val="32"/>
        </w:rPr>
        <w:t>2021</w:t>
      </w:r>
      <w:r>
        <w:rPr>
          <w:rFonts w:hint="eastAsia" w:ascii="方正仿宋_GBK" w:hAnsi="方正仿宋_GBK" w:eastAsia="方正仿宋_GBK" w:cs="方正仿宋_GBK"/>
          <w:b w:val="0"/>
          <w:i w:val="0"/>
          <w:caps w:val="0"/>
          <w:color w:val="000000"/>
          <w:spacing w:val="0"/>
          <w:sz w:val="32"/>
          <w:szCs w:val="32"/>
        </w:rPr>
        <w:t>年共成功调处矛盾纠纷</w:t>
      </w:r>
      <w:r>
        <w:rPr>
          <w:rFonts w:hint="default" w:ascii="Times New Roman" w:hAnsi="Times New Roman" w:eastAsia="sans-serif" w:cs="Times New Roman"/>
          <w:b w:val="0"/>
          <w:i w:val="0"/>
          <w:caps w:val="0"/>
          <w:color w:val="000000"/>
          <w:spacing w:val="0"/>
          <w:sz w:val="32"/>
          <w:szCs w:val="32"/>
        </w:rPr>
        <w:t>117</w:t>
      </w:r>
      <w:r>
        <w:rPr>
          <w:rFonts w:hint="eastAsia" w:ascii="方正仿宋_GBK" w:hAnsi="方正仿宋_GBK" w:eastAsia="方正仿宋_GBK" w:cs="方正仿宋_GBK"/>
          <w:b w:val="0"/>
          <w:i w:val="0"/>
          <w:caps w:val="0"/>
          <w:color w:val="000000"/>
          <w:spacing w:val="0"/>
          <w:sz w:val="32"/>
          <w:szCs w:val="32"/>
        </w:rPr>
        <w:t>件，涉及金额</w:t>
      </w:r>
      <w:r>
        <w:rPr>
          <w:rFonts w:hint="default" w:ascii="Times New Roman" w:hAnsi="Times New Roman" w:eastAsia="sans-serif" w:cs="Times New Roman"/>
          <w:b w:val="0"/>
          <w:i w:val="0"/>
          <w:caps w:val="0"/>
          <w:color w:val="000000"/>
          <w:spacing w:val="0"/>
          <w:sz w:val="32"/>
          <w:szCs w:val="32"/>
        </w:rPr>
        <w:t>511</w:t>
      </w:r>
      <w:r>
        <w:rPr>
          <w:rFonts w:hint="eastAsia" w:ascii="方正仿宋_GBK" w:hAnsi="方正仿宋_GBK" w:eastAsia="方正仿宋_GBK" w:cs="方正仿宋_GBK"/>
          <w:b w:val="0"/>
          <w:i w:val="0"/>
          <w:caps w:val="0"/>
          <w:color w:val="000000"/>
          <w:spacing w:val="0"/>
          <w:sz w:val="32"/>
          <w:szCs w:val="32"/>
        </w:rPr>
        <w:t>万余元，所达成的调解协议均得到落实。</w:t>
      </w:r>
      <w:r>
        <w:rPr>
          <w:rStyle w:val="8"/>
          <w:rFonts w:hint="eastAsia" w:ascii="方正仿宋_GBK" w:hAnsi="方正仿宋_GBK" w:eastAsia="方正仿宋_GBK" w:cs="方正仿宋_GBK"/>
          <w:i w:val="0"/>
          <w:caps w:val="0"/>
          <w:color w:val="000000"/>
          <w:spacing w:val="0"/>
          <w:sz w:val="32"/>
          <w:szCs w:val="32"/>
        </w:rPr>
        <w:t>二是认真履行行政应诉职责。</w:t>
      </w:r>
      <w:r>
        <w:rPr>
          <w:rFonts w:hint="eastAsia" w:ascii="方正仿宋_GBK" w:hAnsi="方正仿宋_GBK" w:eastAsia="方正仿宋_GBK" w:cs="方正仿宋_GBK"/>
          <w:i w:val="0"/>
          <w:caps w:val="0"/>
          <w:color w:val="000000"/>
          <w:spacing w:val="0"/>
          <w:sz w:val="32"/>
          <w:szCs w:val="32"/>
        </w:rPr>
        <w:t>2021年，歌乐山街道新发生行政应诉一审案件3件，二审案件3件，再审案件2件，抗诉案件1件。街道积极履行好行政应诉职责，推动行政机关负责人出庭、出声、出解、出治，一审案件经法院开庭审理3件，行政机关负责人出庭应诉3件，保持全年行政机关负责人出庭应诉率100%。行政机关负责人全程参与行政诉讼案件处理的各个环节，通过讲方法、想办法、出解法，最大限度提高实质性解决行政争议的成功率。</w:t>
      </w:r>
      <w:r>
        <w:rPr>
          <w:rStyle w:val="8"/>
          <w:rFonts w:hint="eastAsia" w:ascii="方正仿宋_GBK" w:hAnsi="方正仿宋_GBK" w:eastAsia="方正仿宋_GBK" w:cs="方正仿宋_GBK"/>
          <w:i w:val="0"/>
          <w:caps w:val="0"/>
          <w:color w:val="000000"/>
          <w:spacing w:val="0"/>
          <w:sz w:val="32"/>
          <w:szCs w:val="32"/>
        </w:rPr>
        <w:t>三是高质量办理群众信访。</w:t>
      </w:r>
      <w:r>
        <w:rPr>
          <w:rFonts w:hint="eastAsia" w:ascii="方正仿宋_GBK" w:hAnsi="方正仿宋_GBK" w:eastAsia="方正仿宋_GBK" w:cs="方正仿宋_GBK"/>
          <w:b w:val="0"/>
          <w:i w:val="0"/>
          <w:caps w:val="0"/>
          <w:color w:val="000000"/>
          <w:spacing w:val="0"/>
          <w:sz w:val="32"/>
          <w:szCs w:val="32"/>
        </w:rPr>
        <w:t>切实履行“党政同责，一岗双责”，党政主要领导同为信访稳定第一责任人，</w:t>
      </w:r>
      <w:r>
        <w:rPr>
          <w:rFonts w:hint="default" w:ascii="Times New Roman" w:hAnsi="Times New Roman" w:eastAsia="sans-serif" w:cs="Times New Roman"/>
          <w:b w:val="0"/>
          <w:i w:val="0"/>
          <w:caps w:val="0"/>
          <w:color w:val="000000"/>
          <w:spacing w:val="0"/>
          <w:sz w:val="32"/>
          <w:szCs w:val="32"/>
        </w:rPr>
        <w:t>2021</w:t>
      </w:r>
      <w:r>
        <w:rPr>
          <w:rFonts w:hint="eastAsia" w:ascii="方正仿宋_GBK" w:hAnsi="方正仿宋_GBK" w:eastAsia="方正仿宋_GBK" w:cs="方正仿宋_GBK"/>
          <w:b w:val="0"/>
          <w:i w:val="0"/>
          <w:caps w:val="0"/>
          <w:color w:val="000000"/>
          <w:spacing w:val="0"/>
          <w:sz w:val="32"/>
          <w:szCs w:val="32"/>
        </w:rPr>
        <w:t>年党政主要领导接访下访共计</w:t>
      </w:r>
      <w:r>
        <w:rPr>
          <w:rFonts w:hint="default" w:ascii="Times New Roman" w:hAnsi="Times New Roman" w:eastAsia="sans-serif" w:cs="Times New Roman"/>
          <w:b w:val="0"/>
          <w:i w:val="0"/>
          <w:caps w:val="0"/>
          <w:color w:val="000000"/>
          <w:spacing w:val="0"/>
          <w:sz w:val="32"/>
          <w:szCs w:val="32"/>
        </w:rPr>
        <w:t>96</w:t>
      </w:r>
      <w:r>
        <w:rPr>
          <w:rFonts w:hint="eastAsia" w:ascii="方正仿宋_GBK" w:hAnsi="方正仿宋_GBK" w:eastAsia="方正仿宋_GBK" w:cs="方正仿宋_GBK"/>
          <w:b w:val="0"/>
          <w:i w:val="0"/>
          <w:caps w:val="0"/>
          <w:color w:val="000000"/>
          <w:spacing w:val="0"/>
          <w:sz w:val="32"/>
          <w:szCs w:val="32"/>
        </w:rPr>
        <w:t>次。建立街道信访工作联席会议制度，每月定期召开会议。</w:t>
      </w:r>
      <w:r>
        <w:rPr>
          <w:rFonts w:hint="eastAsia" w:ascii="方正仿宋_GBK" w:hAnsi="方正仿宋_GBK" w:eastAsia="方正仿宋_GBK" w:cs="方正仿宋_GBK"/>
          <w:i w:val="0"/>
          <w:caps w:val="0"/>
          <w:color w:val="000000"/>
          <w:spacing w:val="0"/>
          <w:sz w:val="32"/>
          <w:szCs w:val="32"/>
        </w:rPr>
        <w:t>积极开展“治重化积、清仓见底专项治理行动”，成立信访积案专项治理工作小组，逐案落实包案领导和化解措施。全年街道接待信访案件78件，办理率100%。</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（六）深化基层法治文化建设</w:t>
      </w: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Style w:val="8"/>
          <w:rFonts w:hint="eastAsia" w:ascii="方正仿宋_GBK" w:hAnsi="方正仿宋_GBK" w:eastAsia="方正仿宋_GBK" w:cs="方正仿宋_GBK"/>
          <w:i w:val="0"/>
          <w:caps w:val="0"/>
          <w:color w:val="000000"/>
          <w:spacing w:val="0"/>
          <w:sz w:val="32"/>
          <w:szCs w:val="32"/>
        </w:rPr>
        <w:t>一是积极开展普法活动。</w:t>
      </w:r>
      <w:r>
        <w:rPr>
          <w:rFonts w:hint="eastAsia" w:ascii="方正仿宋_GBK" w:hAnsi="方正仿宋_GBK" w:eastAsia="方正仿宋_GBK" w:cs="方正仿宋_GBK"/>
          <w:b w:val="0"/>
          <w:i w:val="0"/>
          <w:caps w:val="0"/>
          <w:color w:val="000000"/>
          <w:spacing w:val="0"/>
          <w:sz w:val="32"/>
          <w:szCs w:val="32"/>
        </w:rPr>
        <w:t>积极谋划“八五”普法新篇章，推进“法律四进”，深入辖区企业、学校、养老院、村、社区等重点场所，抓好“</w:t>
      </w:r>
      <w:r>
        <w:rPr>
          <w:rFonts w:hint="default" w:ascii="Times New Roman" w:hAnsi="Times New Roman" w:eastAsia="sans-serif" w:cs="Times New Roman"/>
          <w:b w:val="0"/>
          <w:i w:val="0"/>
          <w:caps w:val="0"/>
          <w:color w:val="000000"/>
          <w:spacing w:val="0"/>
          <w:sz w:val="32"/>
          <w:szCs w:val="32"/>
        </w:rPr>
        <w:t>3.15”</w:t>
      </w:r>
      <w:r>
        <w:rPr>
          <w:rFonts w:hint="eastAsia" w:ascii="方正仿宋_GBK" w:hAnsi="方正仿宋_GBK" w:eastAsia="方正仿宋_GBK" w:cs="方正仿宋_GBK"/>
          <w:b w:val="0"/>
          <w:i w:val="0"/>
          <w:caps w:val="0"/>
          <w:color w:val="000000"/>
          <w:spacing w:val="0"/>
          <w:sz w:val="32"/>
          <w:szCs w:val="32"/>
        </w:rPr>
        <w:t>消费者权益保护日、“</w:t>
      </w:r>
      <w:r>
        <w:rPr>
          <w:rFonts w:hint="default" w:ascii="Times New Roman" w:hAnsi="Times New Roman" w:eastAsia="sans-serif" w:cs="Times New Roman"/>
          <w:b w:val="0"/>
          <w:i w:val="0"/>
          <w:caps w:val="0"/>
          <w:color w:val="000000"/>
          <w:spacing w:val="0"/>
          <w:sz w:val="32"/>
          <w:szCs w:val="32"/>
        </w:rPr>
        <w:t>6.26”</w:t>
      </w:r>
      <w:r>
        <w:rPr>
          <w:rFonts w:hint="eastAsia" w:ascii="方正仿宋_GBK" w:hAnsi="方正仿宋_GBK" w:eastAsia="方正仿宋_GBK" w:cs="方正仿宋_GBK"/>
          <w:b w:val="0"/>
          <w:i w:val="0"/>
          <w:caps w:val="0"/>
          <w:color w:val="000000"/>
          <w:spacing w:val="0"/>
          <w:sz w:val="32"/>
          <w:szCs w:val="32"/>
        </w:rPr>
        <w:t>国际禁毒日、“</w:t>
      </w:r>
      <w:r>
        <w:rPr>
          <w:rFonts w:hint="default" w:ascii="Times New Roman" w:hAnsi="Times New Roman" w:eastAsia="sans-serif" w:cs="Times New Roman"/>
          <w:b w:val="0"/>
          <w:i w:val="0"/>
          <w:caps w:val="0"/>
          <w:color w:val="000000"/>
          <w:spacing w:val="0"/>
          <w:sz w:val="32"/>
          <w:szCs w:val="32"/>
        </w:rPr>
        <w:t>12.4”</w:t>
      </w:r>
      <w:r>
        <w:rPr>
          <w:rFonts w:hint="eastAsia" w:ascii="方正仿宋_GBK" w:hAnsi="方正仿宋_GBK" w:eastAsia="方正仿宋_GBK" w:cs="方正仿宋_GBK"/>
          <w:b w:val="0"/>
          <w:i w:val="0"/>
          <w:caps w:val="0"/>
          <w:color w:val="000000"/>
          <w:spacing w:val="0"/>
          <w:sz w:val="32"/>
          <w:szCs w:val="32"/>
        </w:rPr>
        <w:t>宪法宣传日、新《安全生产法》施行等重要时间节点，广泛开展《宪法》、《民法典》、预防未成年人违法犯罪、反诈骗、禁毒等与群众生活密切相关的法律、法规的宣传，并邀请派出所民警、律师等结合身边案例，为群众举行“以案说法”普法讲座。</w:t>
      </w:r>
      <w:r>
        <w:rPr>
          <w:rFonts w:hint="default" w:ascii="Times New Roman" w:hAnsi="Times New Roman" w:eastAsia="sans-serif" w:cs="Times New Roman"/>
          <w:b w:val="0"/>
          <w:i w:val="0"/>
          <w:caps w:val="0"/>
          <w:color w:val="000000"/>
          <w:spacing w:val="0"/>
          <w:sz w:val="32"/>
          <w:szCs w:val="32"/>
        </w:rPr>
        <w:t>2021</w:t>
      </w:r>
      <w:r>
        <w:rPr>
          <w:rFonts w:hint="eastAsia" w:ascii="方正仿宋_GBK" w:hAnsi="方正仿宋_GBK" w:eastAsia="方正仿宋_GBK" w:cs="方正仿宋_GBK"/>
          <w:b w:val="0"/>
          <w:i w:val="0"/>
          <w:caps w:val="0"/>
          <w:color w:val="000000"/>
          <w:spacing w:val="0"/>
          <w:sz w:val="32"/>
          <w:szCs w:val="32"/>
        </w:rPr>
        <w:t>共开展各类普法宣传活动及讲座</w:t>
      </w:r>
      <w:r>
        <w:rPr>
          <w:rFonts w:hint="default" w:ascii="Times New Roman" w:hAnsi="Times New Roman" w:eastAsia="sans-serif" w:cs="Times New Roman"/>
          <w:b w:val="0"/>
          <w:i w:val="0"/>
          <w:caps w:val="0"/>
          <w:color w:val="000000"/>
          <w:spacing w:val="0"/>
          <w:sz w:val="32"/>
          <w:szCs w:val="32"/>
        </w:rPr>
        <w:t>13</w:t>
      </w:r>
      <w:r>
        <w:rPr>
          <w:rFonts w:hint="eastAsia" w:ascii="方正仿宋_GBK" w:hAnsi="方正仿宋_GBK" w:eastAsia="方正仿宋_GBK" w:cs="方正仿宋_GBK"/>
          <w:b w:val="0"/>
          <w:i w:val="0"/>
          <w:caps w:val="0"/>
          <w:color w:val="000000"/>
          <w:spacing w:val="0"/>
          <w:sz w:val="32"/>
          <w:szCs w:val="32"/>
        </w:rPr>
        <w:t>场，悬挂标语</w:t>
      </w:r>
      <w:r>
        <w:rPr>
          <w:rFonts w:hint="default" w:ascii="Times New Roman" w:hAnsi="Times New Roman" w:eastAsia="sans-serif" w:cs="Times New Roman"/>
          <w:b w:val="0"/>
          <w:i w:val="0"/>
          <w:caps w:val="0"/>
          <w:color w:val="000000"/>
          <w:spacing w:val="0"/>
          <w:sz w:val="32"/>
          <w:szCs w:val="32"/>
        </w:rPr>
        <w:t>16</w:t>
      </w:r>
      <w:r>
        <w:rPr>
          <w:rFonts w:hint="eastAsia" w:ascii="方正仿宋_GBK" w:hAnsi="方正仿宋_GBK" w:eastAsia="方正仿宋_GBK" w:cs="方正仿宋_GBK"/>
          <w:b w:val="0"/>
          <w:i w:val="0"/>
          <w:caps w:val="0"/>
          <w:color w:val="000000"/>
          <w:spacing w:val="0"/>
          <w:sz w:val="32"/>
          <w:szCs w:val="32"/>
        </w:rPr>
        <w:t>幅。</w:t>
      </w:r>
      <w:r>
        <w:rPr>
          <w:rStyle w:val="8"/>
          <w:rFonts w:hint="eastAsia" w:ascii="方正仿宋_GBK" w:hAnsi="方正仿宋_GBK" w:eastAsia="方正仿宋_GBK" w:cs="方正仿宋_GBK"/>
          <w:i w:val="0"/>
          <w:caps w:val="0"/>
          <w:color w:val="000000"/>
          <w:spacing w:val="0"/>
          <w:sz w:val="32"/>
          <w:szCs w:val="32"/>
        </w:rPr>
        <w:t>二是持续健全公共法律服务。</w:t>
      </w:r>
      <w:r>
        <w:rPr>
          <w:rFonts w:hint="eastAsia" w:ascii="方正仿宋_GBK" w:hAnsi="方正仿宋_GBK" w:eastAsia="方正仿宋_GBK" w:cs="方正仿宋_GBK"/>
          <w:b w:val="0"/>
          <w:i w:val="0"/>
          <w:caps w:val="0"/>
          <w:color w:val="000000"/>
          <w:spacing w:val="0"/>
          <w:sz w:val="32"/>
          <w:szCs w:val="32"/>
        </w:rPr>
        <w:t>充分发挥“温情”公共法律服务工作站的职能，解决“最后一公里”的法律服务需求，全年累计提供法律咨询</w:t>
      </w:r>
      <w:r>
        <w:rPr>
          <w:rFonts w:hint="default" w:ascii="Times New Roman" w:hAnsi="Times New Roman" w:eastAsia="sans-serif" w:cs="Times New Roman"/>
          <w:b w:val="0"/>
          <w:i w:val="0"/>
          <w:caps w:val="0"/>
          <w:color w:val="000000"/>
          <w:spacing w:val="0"/>
          <w:sz w:val="32"/>
          <w:szCs w:val="32"/>
        </w:rPr>
        <w:t>60</w:t>
      </w:r>
      <w:r>
        <w:rPr>
          <w:rFonts w:hint="eastAsia" w:ascii="方正仿宋_GBK" w:hAnsi="方正仿宋_GBK" w:eastAsia="方正仿宋_GBK" w:cs="方正仿宋_GBK"/>
          <w:b w:val="0"/>
          <w:i w:val="0"/>
          <w:caps w:val="0"/>
          <w:color w:val="000000"/>
          <w:spacing w:val="0"/>
          <w:sz w:val="32"/>
          <w:szCs w:val="32"/>
        </w:rPr>
        <w:t>余人次。依托“克由＋”基层社会治理品牌，积极开展“克由</w:t>
      </w:r>
      <w:r>
        <w:rPr>
          <w:rFonts w:hint="default" w:ascii="Times New Roman" w:hAnsi="Times New Roman" w:eastAsia="sans-serif" w:cs="Times New Roman"/>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rPr>
        <w:t>惠民法律服务，在基层社区发挥出公共法律服务的基础性功能，并将每月最后一个周五定为“律师进社区”驻点服务工作日，通过提供法律服务指引、协助调处矛盾纠纷、处理涉法涉诉事务、开展政策法律法规宣传等形式，积极为群众提供服务。大力开展“民主法治示范村（社区）”示范创建活动，以法治创建助推依法治理能力提升。</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黑体_GBK" w:hAnsi="方正黑体_GBK" w:eastAsia="方正黑体_GBK" w:cs="方正黑体_GBK"/>
          <w:i w:val="0"/>
          <w:caps w:val="0"/>
          <w:color w:val="000000"/>
          <w:spacing w:val="0"/>
          <w:sz w:val="32"/>
          <w:szCs w:val="32"/>
        </w:rPr>
        <w:t>二、</w:t>
      </w:r>
      <w:r>
        <w:rPr>
          <w:rFonts w:hint="default" w:ascii="Times New Roman" w:hAnsi="Times New Roman" w:eastAsia="sans-serif" w:cs="Times New Roman"/>
          <w:i w:val="0"/>
          <w:caps w:val="0"/>
          <w:color w:val="000000"/>
          <w:spacing w:val="0"/>
          <w:sz w:val="32"/>
          <w:szCs w:val="32"/>
        </w:rPr>
        <w:t>2021</w:t>
      </w:r>
      <w:r>
        <w:rPr>
          <w:rFonts w:hint="eastAsia" w:ascii="方正黑体_GBK" w:hAnsi="方正黑体_GBK" w:eastAsia="方正黑体_GBK" w:cs="方正黑体_GBK"/>
          <w:i w:val="0"/>
          <w:caps w:val="0"/>
          <w:color w:val="000000"/>
          <w:spacing w:val="0"/>
          <w:sz w:val="32"/>
          <w:szCs w:val="32"/>
        </w:rPr>
        <w:t>年党政主要负责人履行推进法治建设第一责任人职责，加强法治政府建设的有关情况</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（一）加强对法治政府建设的组织领导</w:t>
      </w:r>
    </w:p>
    <w:p>
      <w:pPr>
        <w:pStyle w:val="5"/>
        <w:keepNext w:val="0"/>
        <w:keepLines w:val="0"/>
        <w:widowControl/>
        <w:suppressLineNumbers w:val="0"/>
        <w:spacing w:before="0" w:beforeAutospacing="0" w:after="0" w:afterAutospacing="0" w:line="240"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街道党工委、办事处高度重视法治政府建设，党政主要负责人履行推进法治建设第一责任人职责，将法治建设纳入党工委重要议事范围。健全以街道党工委书记、办事处主任为组长，街道政法委员为副组长，相关工作人员为成员的法治政府建设工作领导小组，基本形成主要领导亲自抓，分管领导具体抓，相关科室、站所配合抓的工作局势。党政主要负责人对重要工作亲自部署、重大问题亲自过问、重点环节亲自协调、重要案件亲自督办，坚持原则、敢抓敢管，切实把法治建设的各项要求体现到业务工作和日常管理中，积极为推进法治建设提供保障、创造条件。</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（二）学习宣传贯彻习近平法治思想</w:t>
      </w:r>
    </w:p>
    <w:p>
      <w:pPr>
        <w:pStyle w:val="5"/>
        <w:keepNext w:val="0"/>
        <w:keepLines w:val="0"/>
        <w:widowControl/>
        <w:suppressLineNumbers w:val="0"/>
        <w:spacing w:before="0" w:beforeAutospacing="0" w:after="0" w:afterAutospacing="0" w:line="240"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通过召开党工委中心组专题学习研讨会、个人自学等，党政主要负责人率先垂范，系统学习宪法和习近平总书记关于全面依法治国的重要论述，把学习宣传贯彻习近平法治思想与党史学习教育紧密结合，强化科学理论武装，加强对习近平法治思想的宣传、宣讲，切实增强贯彻落实党中央关于法治建设重大决策部署的思想自觉和行动自觉，不断提升运用法治思维和法治方式深化改革、推动发展、化解矛盾、维护稳定的能力和水平。</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黑体_GBK" w:hAnsi="方正黑体_GBK" w:eastAsia="方正黑体_GBK" w:cs="方正黑体_GBK"/>
          <w:i w:val="0"/>
          <w:caps w:val="0"/>
          <w:color w:val="000000"/>
          <w:spacing w:val="0"/>
          <w:sz w:val="32"/>
          <w:szCs w:val="32"/>
        </w:rPr>
        <w:t>三、</w:t>
      </w:r>
      <w:r>
        <w:rPr>
          <w:rFonts w:hint="default" w:ascii="Times New Roman" w:hAnsi="Times New Roman" w:eastAsia="sans-serif" w:cs="Times New Roman"/>
          <w:i w:val="0"/>
          <w:caps w:val="0"/>
          <w:color w:val="000000"/>
          <w:spacing w:val="0"/>
          <w:sz w:val="32"/>
          <w:szCs w:val="32"/>
        </w:rPr>
        <w:t>2021</w:t>
      </w:r>
      <w:r>
        <w:rPr>
          <w:rFonts w:hint="eastAsia" w:ascii="方正黑体_GBK" w:hAnsi="方正黑体_GBK" w:eastAsia="方正黑体_GBK" w:cs="方正黑体_GBK"/>
          <w:i w:val="0"/>
          <w:caps w:val="0"/>
          <w:color w:val="000000"/>
          <w:spacing w:val="0"/>
          <w:sz w:val="32"/>
          <w:szCs w:val="32"/>
        </w:rPr>
        <w:t>年推进法治政府建设存在的不足和原因</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（一）依法行政理念有待进一步提升</w:t>
      </w:r>
    </w:p>
    <w:p>
      <w:pPr>
        <w:pStyle w:val="5"/>
        <w:keepNext w:val="0"/>
        <w:keepLines w:val="0"/>
        <w:widowControl/>
        <w:suppressLineNumbers w:val="0"/>
        <w:spacing w:before="0" w:beforeAutospacing="0" w:after="0" w:afterAutospacing="0" w:line="240"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个别工作人员法治思维还未完全养成，依法行政意识不强，对法治建设的重视度不够、对法律知识学习热情不高。</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（二）法治宣传力度有待进一步加强</w:t>
      </w:r>
    </w:p>
    <w:p>
      <w:pPr>
        <w:pStyle w:val="5"/>
        <w:keepNext w:val="0"/>
        <w:keepLines w:val="0"/>
        <w:widowControl/>
        <w:suppressLineNumbers w:val="0"/>
        <w:spacing w:before="0" w:beforeAutospacing="0" w:after="0" w:afterAutospacing="0" w:line="240"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在推进农村人居环境整治、推进整违治污工作中，出现的一些困难和问题，说明提高群众法治观念、引导依法治理仍需努力。</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（三）矛盾化解能力有待进一步提高</w:t>
      </w:r>
    </w:p>
    <w:p>
      <w:pPr>
        <w:pStyle w:val="5"/>
        <w:keepNext w:val="0"/>
        <w:keepLines w:val="0"/>
        <w:widowControl/>
        <w:suppressLineNumbers w:val="0"/>
        <w:spacing w:before="0" w:beforeAutospacing="0" w:after="0" w:afterAutospacing="0" w:line="240"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个别人民调解员参与调解工作的积极性不高，工作方式陈旧，欠缺法律法规知识，致使化解矛盾纠纷的“第一道防线”作用未能较好发挥。</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黑体_GBK" w:hAnsi="方正黑体_GBK" w:eastAsia="方正黑体_GBK" w:cs="方正黑体_GBK"/>
          <w:i w:val="0"/>
          <w:caps w:val="0"/>
          <w:color w:val="000000"/>
          <w:spacing w:val="0"/>
          <w:sz w:val="32"/>
          <w:szCs w:val="32"/>
        </w:rPr>
        <w:t>四、</w:t>
      </w:r>
      <w:r>
        <w:rPr>
          <w:rFonts w:hint="default" w:ascii="Times New Roman" w:hAnsi="Times New Roman" w:eastAsia="sans-serif" w:cs="Times New Roman"/>
          <w:i w:val="0"/>
          <w:caps w:val="0"/>
          <w:color w:val="000000"/>
          <w:spacing w:val="0"/>
          <w:sz w:val="32"/>
          <w:szCs w:val="32"/>
        </w:rPr>
        <w:t>2022</w:t>
      </w:r>
      <w:r>
        <w:rPr>
          <w:rFonts w:hint="eastAsia" w:ascii="方正黑体_GBK" w:hAnsi="方正黑体_GBK" w:eastAsia="方正黑体_GBK" w:cs="方正黑体_GBK"/>
          <w:i w:val="0"/>
          <w:caps w:val="0"/>
          <w:color w:val="000000"/>
          <w:spacing w:val="0"/>
          <w:sz w:val="32"/>
          <w:szCs w:val="32"/>
        </w:rPr>
        <w:t>年推进法治政府建设的工作思路目标举措</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（一）以教育培训为途径，促进依法行政理念提升</w:t>
      </w: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坚持领导干部及工作人员学法制度，定期开展法律知识学习培训，提高领导干部、工作人员的政治和法律业务素质，增强干部依法行政的能力，树立良好的法治政府形象，加快法治政府建设，推进依法行政。</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（二）以法治宣传为核心，引导群众树立法治观念</w:t>
      </w: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认真贯彻“八五”普法规划，落实“谁执法谁普法”普法责任制。结合“民主法治示范村（社区）”示范创建活动，扎实推进全民普法。针对法治宣传需求的多样性，既安排习近平法治思想、《宪法》、《民法典》等共性内容，又安排《劳动合同法》、《土地管理法》等个性内容，按需施教。提升法治文化阵地建设成效，着力增强群众法治信仰。</w:t>
      </w:r>
    </w:p>
    <w:p>
      <w:pPr>
        <w:pStyle w:val="5"/>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（三）以多元调解为重心，强化矛盾纠纷源头治理</w:t>
      </w:r>
    </w:p>
    <w:p>
      <w:pPr>
        <w:pStyle w:val="5"/>
        <w:keepNext w:val="0"/>
        <w:keepLines w:val="0"/>
        <w:widowControl/>
        <w:suppressLineNumbers w:val="0"/>
        <w:spacing w:before="0" w:beforeAutospacing="0" w:after="0" w:afterAutospacing="0" w:line="562" w:lineRule="atLeast"/>
        <w:ind w:left="0" w:right="0" w:firstLine="634"/>
        <w:jc w:val="left"/>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积极开展人民调解业务培训，提高人民调解员工作能力，夯实基层调解基础。依托线上信息化平台，引导群众运用社区治理智能化网格化共治平台“巴渝和事佬”APP，以及通过人民法院易解平台在线申请司法确认。完善基层大调解体系平台，健全多元化矛盾纠纷化解机制，从源头上化解矛盾纠纷，打造共建共治共享社会治理格局。</w:t>
      </w:r>
    </w:p>
    <w:p>
      <w:pPr>
        <w:pStyle w:val="5"/>
        <w:keepNext w:val="0"/>
        <w:keepLines w:val="0"/>
        <w:widowControl/>
        <w:suppressLineNumbers w:val="0"/>
        <w:spacing w:before="0" w:beforeAutospacing="0" w:after="0" w:afterAutospacing="0" w:line="240" w:lineRule="atLeast"/>
        <w:ind w:left="0" w:right="0" w:firstLine="634"/>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rPr>
        <w:t>五、其他需要报告的情况</w:t>
      </w:r>
    </w:p>
    <w:p>
      <w:pPr>
        <w:pStyle w:val="5"/>
        <w:keepNext w:val="0"/>
        <w:keepLines w:val="0"/>
        <w:widowControl/>
        <w:suppressLineNumbers w:val="0"/>
        <w:spacing w:before="0" w:beforeAutospacing="0" w:after="0" w:afterAutospacing="0" w:line="240" w:lineRule="atLeast"/>
        <w:ind w:left="0" w:right="0" w:firstLine="634"/>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2021年度无其他需要报告的情况。</w:t>
      </w:r>
    </w:p>
    <w:p>
      <w:pPr>
        <w:pStyle w:val="5"/>
        <w:keepNext w:val="0"/>
        <w:keepLines w:val="0"/>
        <w:widowControl/>
        <w:suppressLineNumbers w:val="0"/>
        <w:spacing w:before="0" w:beforeAutospacing="0" w:after="0" w:afterAutospacing="0" w:line="590" w:lineRule="atLeast"/>
        <w:ind w:left="0" w:right="0" w:firstLine="634"/>
        <w:jc w:val="left"/>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特此报告</w:t>
      </w:r>
    </w:p>
    <w:p>
      <w:pPr>
        <w:pStyle w:val="5"/>
        <w:keepNext w:val="0"/>
        <w:keepLines w:val="0"/>
        <w:widowControl/>
        <w:suppressLineNumbers w:val="0"/>
        <w:spacing w:before="0" w:beforeAutospacing="0" w:after="0" w:afterAutospacing="0" w:line="590" w:lineRule="atLeast"/>
        <w:ind w:left="0" w:right="0" w:firstLine="634"/>
        <w:jc w:val="right"/>
        <w:rPr>
          <w:rFonts w:hint="default" w:ascii="sans-serif" w:hAnsi="sans-serif" w:eastAsia="sans-serif" w:cs="sans-serif"/>
          <w:i w:val="0"/>
          <w:caps w:val="0"/>
          <w:color w:val="000000"/>
          <w:spacing w:val="0"/>
          <w:sz w:val="19"/>
          <w:szCs w:val="19"/>
        </w:rPr>
      </w:pPr>
    </w:p>
    <w:p>
      <w:pPr>
        <w:pStyle w:val="5"/>
        <w:keepNext w:val="0"/>
        <w:keepLines w:val="0"/>
        <w:widowControl/>
        <w:suppressLineNumbers w:val="0"/>
        <w:spacing w:before="0" w:beforeAutospacing="0" w:after="0" w:afterAutospacing="0" w:line="590" w:lineRule="atLeast"/>
        <w:ind w:left="0" w:right="0" w:firstLine="1915"/>
        <w:jc w:val="right"/>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重庆市沙坪坝区人民政府歌乐山街道办事处</w:t>
      </w:r>
    </w:p>
    <w:p>
      <w:pPr>
        <w:pStyle w:val="5"/>
        <w:keepNext w:val="0"/>
        <w:keepLines w:val="0"/>
        <w:widowControl/>
        <w:suppressLineNumbers w:val="0"/>
        <w:spacing w:before="0" w:beforeAutospacing="0" w:after="0" w:afterAutospacing="0" w:line="590" w:lineRule="atLeast"/>
        <w:ind w:left="0" w:right="0" w:firstLine="2736"/>
        <w:jc w:val="right"/>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​2022</w:t>
      </w:r>
      <w:r>
        <w:rPr>
          <w:rFonts w:hint="eastAsia" w:ascii="方正仿宋_GBK" w:hAnsi="方正仿宋_GBK" w:eastAsia="方正仿宋_GBK" w:cs="方正仿宋_GBK"/>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21</w:t>
      </w:r>
      <w:r>
        <w:rPr>
          <w:rFonts w:hint="eastAsia" w:ascii="方正仿宋_GBK" w:hAnsi="方正仿宋_GBK" w:eastAsia="方正仿宋_GBK" w:cs="方正仿宋_GBK"/>
          <w:i w:val="0"/>
          <w:caps w:val="0"/>
          <w:color w:val="000000"/>
          <w:spacing w:val="0"/>
          <w:sz w:val="32"/>
          <w:szCs w:val="32"/>
        </w:rPr>
        <w:t>日</w:t>
      </w:r>
    </w:p>
    <w:p>
      <w:pPr>
        <w:pStyle w:val="5"/>
        <w:keepNext w:val="0"/>
        <w:keepLines w:val="0"/>
        <w:widowControl/>
        <w:suppressLineNumbers w:val="0"/>
        <w:spacing w:before="0" w:beforeAutospacing="0" w:after="0" w:afterAutospacing="0" w:line="590" w:lineRule="atLeast"/>
        <w:ind w:left="0" w:right="0" w:firstLine="2736"/>
        <w:jc w:val="right"/>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（此件公开发布）</w:t>
      </w: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FD81B"/>
    <w:multiLevelType w:val="multilevel"/>
    <w:tmpl w:val="FEBFD81B"/>
    <w:lvl w:ilvl="0" w:tentative="0">
      <w:start w:val="1"/>
      <w:numFmt w:val="decimal"/>
      <w:lvlText w:val="%1."/>
      <w:lvlJc w:val="left"/>
      <w:pPr>
        <w:tabs>
          <w:tab w:val="left" w:pos="720"/>
        </w:tabs>
        <w:ind w:left="720" w:firstLine="0"/>
      </w:pPr>
      <w:rPr>
        <w:sz w:val="24"/>
        <w:szCs w:val="24"/>
      </w:rPr>
    </w:lvl>
    <w:lvl w:ilvl="1" w:tentative="0">
      <w:start w:val="1"/>
      <w:numFmt w:val="decimal"/>
      <w:lvlText w:val="%2."/>
      <w:lvlJc w:val="left"/>
      <w:pPr>
        <w:tabs>
          <w:tab w:val="left" w:pos="1440"/>
        </w:tabs>
        <w:ind w:left="1440" w:firstLine="0"/>
      </w:pPr>
      <w:rPr>
        <w:sz w:val="24"/>
        <w:szCs w:val="24"/>
      </w:rPr>
    </w:lvl>
    <w:lvl w:ilvl="2" w:tentative="0">
      <w:start w:val="1"/>
      <w:numFmt w:val="decimal"/>
      <w:lvlText w:val="%3."/>
      <w:lvlJc w:val="left"/>
      <w:pPr>
        <w:tabs>
          <w:tab w:val="left" w:pos="2160"/>
        </w:tabs>
        <w:ind w:left="2160" w:firstLine="0"/>
      </w:pPr>
      <w:rPr>
        <w:sz w:val="24"/>
        <w:szCs w:val="24"/>
      </w:rPr>
    </w:lvl>
    <w:lvl w:ilvl="3" w:tentative="0">
      <w:start w:val="1"/>
      <w:numFmt w:val="decimal"/>
      <w:lvlText w:val="%4."/>
      <w:lvlJc w:val="left"/>
      <w:pPr>
        <w:tabs>
          <w:tab w:val="left" w:pos="2517"/>
        </w:tabs>
        <w:ind w:left="2880" w:firstLine="0"/>
      </w:pPr>
      <w:rPr>
        <w:sz w:val="24"/>
        <w:szCs w:val="24"/>
      </w:rPr>
    </w:lvl>
    <w:lvl w:ilvl="4" w:tentative="0">
      <w:start w:val="1"/>
      <w:numFmt w:val="decimal"/>
      <w:lvlText w:val="%5."/>
      <w:lvlJc w:val="left"/>
      <w:pPr>
        <w:tabs>
          <w:tab w:val="left" w:pos="3238"/>
        </w:tabs>
        <w:ind w:left="3600" w:firstLine="0"/>
      </w:pPr>
      <w:rPr>
        <w:sz w:val="24"/>
        <w:szCs w:val="24"/>
      </w:rPr>
    </w:lvl>
    <w:lvl w:ilvl="5" w:tentative="0">
      <w:start w:val="1"/>
      <w:numFmt w:val="decimal"/>
      <w:lvlText w:val="%6."/>
      <w:lvlJc w:val="left"/>
      <w:pPr>
        <w:tabs>
          <w:tab w:val="left" w:pos="3958"/>
        </w:tabs>
        <w:ind w:left="4320" w:firstLine="0"/>
      </w:pPr>
      <w:rPr>
        <w:sz w:val="24"/>
        <w:szCs w:val="24"/>
      </w:rPr>
    </w:lvl>
    <w:lvl w:ilvl="6" w:tentative="0">
      <w:start w:val="1"/>
      <w:numFmt w:val="decimal"/>
      <w:lvlText w:val="%7."/>
      <w:lvlJc w:val="left"/>
      <w:pPr>
        <w:tabs>
          <w:tab w:val="left" w:pos="4678"/>
        </w:tabs>
        <w:ind w:left="5040" w:firstLine="0"/>
      </w:pPr>
      <w:rPr>
        <w:sz w:val="24"/>
        <w:szCs w:val="24"/>
      </w:rPr>
    </w:lvl>
    <w:lvl w:ilvl="7" w:tentative="0">
      <w:start w:val="1"/>
      <w:numFmt w:val="decimal"/>
      <w:lvlText w:val="%8."/>
      <w:lvlJc w:val="left"/>
      <w:pPr>
        <w:tabs>
          <w:tab w:val="left" w:pos="5398"/>
        </w:tabs>
        <w:ind w:left="5760" w:firstLine="0"/>
      </w:pPr>
      <w:rPr>
        <w:sz w:val="24"/>
        <w:szCs w:val="24"/>
      </w:rPr>
    </w:lvl>
    <w:lvl w:ilvl="8" w:tentative="0">
      <w:start w:val="1"/>
      <w:numFmt w:val="decimal"/>
      <w:lvlText w:val="%9."/>
      <w:lvlJc w:val="left"/>
      <w:pPr>
        <w:tabs>
          <w:tab w:val="left" w:pos="6118"/>
        </w:tabs>
        <w:ind w:left="6480" w:firstLine="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C9"/>
    <w:rsid w:val="000573E4"/>
    <w:rsid w:val="000C6542"/>
    <w:rsid w:val="000C7714"/>
    <w:rsid w:val="0011574C"/>
    <w:rsid w:val="00136FB0"/>
    <w:rsid w:val="001618D0"/>
    <w:rsid w:val="001A6284"/>
    <w:rsid w:val="001B132B"/>
    <w:rsid w:val="002009AA"/>
    <w:rsid w:val="00225802"/>
    <w:rsid w:val="00267657"/>
    <w:rsid w:val="00286927"/>
    <w:rsid w:val="002B405B"/>
    <w:rsid w:val="00310E04"/>
    <w:rsid w:val="00366F9D"/>
    <w:rsid w:val="00385040"/>
    <w:rsid w:val="003C49DF"/>
    <w:rsid w:val="00447882"/>
    <w:rsid w:val="00467F99"/>
    <w:rsid w:val="0047355E"/>
    <w:rsid w:val="00500963"/>
    <w:rsid w:val="0050239F"/>
    <w:rsid w:val="00521769"/>
    <w:rsid w:val="00546CC9"/>
    <w:rsid w:val="00547AE4"/>
    <w:rsid w:val="00571DD3"/>
    <w:rsid w:val="00665151"/>
    <w:rsid w:val="00674706"/>
    <w:rsid w:val="006F1526"/>
    <w:rsid w:val="0080686F"/>
    <w:rsid w:val="0084783A"/>
    <w:rsid w:val="00887183"/>
    <w:rsid w:val="008C5DF3"/>
    <w:rsid w:val="00926F01"/>
    <w:rsid w:val="00952CAF"/>
    <w:rsid w:val="009A3382"/>
    <w:rsid w:val="009C7147"/>
    <w:rsid w:val="00B364EF"/>
    <w:rsid w:val="00B60299"/>
    <w:rsid w:val="00BC4677"/>
    <w:rsid w:val="00BE1BC3"/>
    <w:rsid w:val="00BF263F"/>
    <w:rsid w:val="00C466AD"/>
    <w:rsid w:val="00D1313B"/>
    <w:rsid w:val="00E81F08"/>
    <w:rsid w:val="00E8463E"/>
    <w:rsid w:val="00EE4B1B"/>
    <w:rsid w:val="00EE4BFD"/>
    <w:rsid w:val="00EF7AE7"/>
    <w:rsid w:val="00F532FD"/>
    <w:rsid w:val="00F96DDD"/>
    <w:rsid w:val="00FC3714"/>
    <w:rsid w:val="7EBA9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454</Words>
  <Characters>2592</Characters>
  <Lines>21</Lines>
  <Paragraphs>6</Paragraphs>
  <TotalTime>193</TotalTime>
  <ScaleCrop>false</ScaleCrop>
  <LinksUpToDate>false</LinksUpToDate>
  <CharactersWithSpaces>3040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pm</dc:creator>
  <cp:lastModifiedBy>kylin</cp:lastModifiedBy>
  <cp:lastPrinted>2021-01-27T14:39:00Z</cp:lastPrinted>
  <dcterms:modified xsi:type="dcterms:W3CDTF">2023-10-30T18:29:41Z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