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00" w:line="594" w:lineRule="exact"/>
        <w:ind w:left="0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ascii="方正仿宋_GBK" w:eastAsia="方正仿宋_GBK"/>
        </w:rPr>
        <mc:AlternateContent>
          <mc:Choice Requires="wps">
            <w:drawing>
              <wp:anchor distT="0" distB="0" distL="91438" distR="91438" simplePos="0" relativeHeight="12" behindDoc="0" locked="0" layoutInCell="1" hidden="0" allowOverlap="1">
                <wp:simplePos x="0" y="0"/>
                <wp:positionH relativeFrom="page">
                  <wp:posOffset>1095375</wp:posOffset>
                </wp:positionH>
                <wp:positionV relativeFrom="margin">
                  <wp:posOffset>892810</wp:posOffset>
                </wp:positionV>
                <wp:extent cx="5283200" cy="683895"/>
                <wp:effectExtent l="0" t="0" r="0" b="0"/>
                <wp:wrapNone/>
                <wp:docPr id="1" name="艺术字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283200" cy="683895"/>
                        </a:xfrm>
                        <a:prstGeom prst="rect"/>
                      </wps:spPr>
                      <wps:txbx>
                        <w:txbxContent>
                          <w:p>
                            <w:pPr w:jc="center"/>
                            <w:r>
                              <w:rPr>
                                <w:rFonts w:ascii="方正小标宋_GBK" w:hAnsi="方正小标宋_GBK"/>
                                <w:b/>
                                <w:sz w:val="72"/>
                                <w14:textOutline w14:w="9525" w14:cmpd="sng" w14:cap="flat">
                                  <w14:noFill/>
                                  <w14:prstDash w14:val="solid"/>
                                  <w14:miter/>
                                </w14:textOutline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重庆市沙坪坝区人民政府磁器口街道办事处文件</w:t>
                            </w:r>
                          </w:p>
                        </w:txbxContent>
                      </wps:txbx>
                      <wps:bodyPr wrap="none" fromWordArt="1" lIns="91440" tIns="45720" rIns="91440" bIns="45720" anchor="t" anchorCtr="0" upright="0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136" id="艺术字 2" o:spid="_x0000_s2" fillcolor="#FF0000" stroked="f" strokecolor="#000000" adj="10800" style="position:absolute;margin-left:86.25pt;margin-top:70.3pt;width:416.0pt;height:53.849995pt;z-index:12;mso-position-horizontal:absolute;mso-position-horizontal-relative:page;mso-position-vertical:absolute;mso-position-vertical-relative:margin;mso-wrap-distance-left:7.19989pt;mso-wrap-distance-right:7.19989pt;">
                <v:stroke color="#000000"/>
                <v:textpath style="font-family:&quot;方正小标宋_GBK&quot;;font-weight:bold;" trim="t" fitpath="t" string="重庆市沙坪坝区人民政府磁器口街道办事处文件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500" w:line="594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</w:rPr>
        <mc:AlternateContent>
          <mc:Choice Requires="wps">
            <w:drawing>
              <wp:anchor distT="0" distB="0" distL="91438" distR="91438" simplePos="0" relativeHeight="13" behindDoc="0" locked="0" layoutInCell="1" hidden="0" allowOverlap="1">
                <wp:simplePos x="0" y="0"/>
                <wp:positionH relativeFrom="page">
                  <wp:posOffset>1130300</wp:posOffset>
                </wp:positionH>
                <wp:positionV relativeFrom="margin">
                  <wp:posOffset>2447925</wp:posOffset>
                </wp:positionV>
                <wp:extent cx="5391150" cy="762"/>
                <wp:effectExtent l="0" t="0" r="0" b="0"/>
                <wp:wrapNone/>
                <wp:docPr id="3" name="直线 3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91150" cy="762"/>
                        </a:xfrm>
                        <a:prstGeom prst="line"/>
                        <a:noFill/>
                        <a:ln w="22225" cmpd="sng" cap="flat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" o:spid="_x0000_s4" from="89.0pt,192.75pt" to="513.5pt,192.81pt" filled="f" stroked="t" strokeweight="1.75pt" style="position:absolute;z-index:13;mso-position-horizontal:absolute;mso-position-horizontal-relative:page;mso-position-vertical:absolute;mso-position-vertical-relative:margin;mso-wrap-distance-left:7.19989pt;mso-wrap-distance-right:7.19989pt;">
                <v:stroke color="#FF0000"/>
              </v:line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</w:rPr>
        <w:t>磁街办发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11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kern w:val="0"/>
          <w:sz w:val="44"/>
          <w:szCs w:val="44"/>
        </w:rPr>
      </w:pPr>
    </w:p>
    <w:p>
      <w:pPr>
        <w:widowControl/>
        <w:spacing w:line="480" w:lineRule="exact"/>
        <w:jc w:val="center"/>
        <w:rPr>
          <w:rFonts w:ascii="方正小标宋_GBK" w:eastAsia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hint="eastAsia"/>
          <w:sz w:val="44"/>
          <w:szCs w:val="44"/>
          <w:lang w:val="en-US" w:eastAsia="zh-CN"/>
        </w:rPr>
        <w:t>磁器口街道办事处</w:t>
      </w:r>
    </w:p>
    <w:p>
      <w:pPr>
        <w:adjustRightInd w:val="0"/>
        <w:spacing w:line="54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关于印发2023年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  <w:t>辖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区安全生产与</w:t>
      </w:r>
    </w:p>
    <w:p>
      <w:pPr>
        <w:adjustRightInd w:val="0"/>
        <w:spacing w:line="540" w:lineRule="exact"/>
        <w:jc w:val="center"/>
        <w:rPr>
          <w:rFonts w:ascii="Times New Roman" w:eastAsia="方正小标宋_GBK" w:hAnsi="Times New Roman" w:hint="eastAsia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自然灾害防治工作要点的通知</w:t>
      </w:r>
    </w:p>
    <w:p>
      <w:pPr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20"/>
        </w:rPr>
      </w:pPr>
    </w:p>
    <w:p>
      <w:pPr>
        <w:spacing w:line="540" w:lineRule="exact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各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科室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、各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社区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，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街道安委会、减灾委成员，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有关单位：</w:t>
      </w:r>
    </w:p>
    <w:p>
      <w:pPr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《202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磁器口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安全生产与自然灾害防治工作要点》已经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党工委、办事处同意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，现印发给你们，请认真贯彻执行。</w:t>
      </w:r>
    </w:p>
    <w:p>
      <w:pPr>
        <w:adjustRightInd w:val="0"/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20"/>
        </w:rPr>
      </w:pPr>
    </w:p>
    <w:p>
      <w:pPr>
        <w:adjustRightInd w:val="0"/>
        <w:spacing w:line="540" w:lineRule="exact"/>
        <w:ind w:firstLineChars="200" w:firstLine="640"/>
        <w:rPr>
          <w:rFonts w:ascii="Times New Roman" w:eastAsia="方正仿宋_GBK" w:hAnsi="Times New Roman" w:hint="eastAsia"/>
          <w:color w:val="000000"/>
          <w:sz w:val="32"/>
          <w:szCs w:val="20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Chars="1600" w:firstLine="512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磁器口街道办事处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textAlignment w:val="auto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sz w:val="28"/>
          <w:szCs w:val="28"/>
        </w:rPr>
        <w:t xml:space="preserve"> </w:t>
      </w:r>
      <w:r>
        <w:rPr>
          <w:rFonts w:ascii="Times New Roman" w:eastAsia="方正仿宋_GBK" w:hAnsi="Times New Roman"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ascii="Times New Roman" w:eastAsia="方正仿宋_GBK" w:hAnsi="Times New Roman"/>
          <w:sz w:val="28"/>
          <w:szCs w:val="28"/>
        </w:rPr>
        <w:t>202</w:t>
      </w:r>
      <w:r>
        <w:rPr>
          <w:rFonts w:ascii="Times New Roman" w:eastAsia="方正仿宋_GBK" w:hAnsi="Times New Roman" w:hint="eastAsia"/>
          <w:sz w:val="28"/>
          <w:szCs w:val="28"/>
          <w:lang w:val="en-US" w:eastAsia="zh-CN"/>
        </w:rPr>
        <w:t>3</w:t>
      </w:r>
      <w:r>
        <w:rPr>
          <w:rFonts w:ascii="Times New Roman" w:eastAsia="方正仿宋_GBK" w:hAnsi="Times New Roman"/>
          <w:sz w:val="28"/>
          <w:szCs w:val="28"/>
        </w:rPr>
        <w:t>年3月</w:t>
      </w:r>
      <w:r>
        <w:rPr>
          <w:rFonts w:ascii="Times New Roman" w:eastAsia="方正仿宋_GBK" w:hAnsi="Times New Roman"/>
          <w:sz w:val="28"/>
          <w:szCs w:val="28"/>
          <w:lang w:val="en-US" w:eastAsia="zh-CN"/>
        </w:rPr>
        <w:t>4</w:t>
      </w:r>
      <w:r>
        <w:rPr>
          <w:rFonts w:ascii="Times New Roman" w:eastAsia="方正仿宋_GBK" w:hAnsi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textAlignment w:val="auto"/>
        <w:rPr>
          <w:rFonts w:ascii="Times New Roman" w:eastAsia="方正仿宋_GBK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textAlignment w:val="auto"/>
        <w:rPr>
          <w:rFonts w:ascii="Times New Roman" w:eastAsia="方正仿宋_GBK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textAlignment w:val="auto"/>
        <w:rPr>
          <w:rFonts w:ascii="Times New Roman" w:eastAsia="方正仿宋_GBK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560"/>
        <w:textAlignment w:val="auto"/>
        <w:rPr>
          <w:rFonts w:ascii="Times New Roman" w:eastAsia="方正仿宋_GBK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Chars="200" w:firstLine="640"/>
        <w:textAlignment w:val="auto"/>
        <w:rPr>
          <w:rFonts w:ascii="方正仿宋_GBK" w:eastAsia="方正仿宋_GBK" w:cs="方正仿宋_GBK" w:hint="eastAsia"/>
          <w:color w:val="auto"/>
          <w:sz w:val="32"/>
          <w:szCs w:val="32"/>
          <w:u w:color="000000"/>
          <w:lang w:eastAsia="zh-CN"/>
        </w:rPr>
      </w:pPr>
      <w:bookmarkStart w:id="0" w:name="_GoBack"/>
      <w:bookmarkEnd w:id="0"/>
      <w:r>
        <w:rPr>
          <w:rFonts w:ascii="方正仿宋_GBK" w:eastAsia="方正仿宋_GBK" w:cs="方正仿宋_GBK" w:hint="eastAsia"/>
          <w:sz w:val="32"/>
          <w:szCs w:val="32"/>
        </w:rPr>
        <mc:AlternateContent>
          <mc:Choice Requires="wps">
            <w:drawing>
              <wp:anchor distT="0" distB="0" distL="91438" distR="91438" simplePos="0" relativeHeight="14" behindDoc="0" locked="0" layoutInCell="1" hidden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7911465</wp:posOffset>
                </wp:positionV>
                <wp:extent cx="5753100" cy="533400"/>
                <wp:effectExtent l="0" t="0" r="0" b="0"/>
                <wp:wrapNone/>
                <wp:docPr id="5" name="文本框 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53100" cy="533400"/>
                        </a:xfrm>
                        <a:prstGeom prst="rect"/>
                        <a:solidFill>
                          <a:srgbClr val="FFFFFF"/>
                        </a:solidFill>
                        <a:ln w="6350" cmpd="sng" cap="flat">
                          <a:noFill/>
                          <a:prstDash val="solid"/>
                          <a:round/>
                        </a:ln>
                      </wps:spPr>
                      <wps:txbx id="6">
                        <w:txbxContent>
                          <w:p>
                            <w:pPr>
                              <w:pBdr>
                                <w:top w:val="single" w:sz="4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rPr>
                                <w:rFonts w:ascii="Times New Roman" w:eastAsia="方正仿宋_GBK" w:cs="方正仿宋_GBK" w:hAnsi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 w:eastAsia="方正仿宋_GBK" w:cs="方正仿宋_GBK" w:hAnsi="Times New Roman" w:hint="eastAsia"/>
                                <w:sz w:val="32"/>
                                <w:szCs w:val="32"/>
                                <w:lang w:val="en-US" w:eastAsia="zh-CN"/>
                              </w:rPr>
                              <w:t>沙坪坝区磁器口街道党政办公室         2023年3月4日印发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type="#_x0000_t202" id="文本框 7" o:spid="_x0000_s7" fillcolor="#FFFFFF" stroked="f" strokeweight="0.5pt" style="position:absolute;margin-left:1.25pt;margin-top:622.95pt;width:453.0pt;height:42.00002pt;z-index:14;mso-position-horizontal:absolute;mso-position-vertical:absolute;mso-wrap-distance-left:7.19989pt;mso-wrap-distance-right:7.19989pt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pBdr>
                          <w:top w:val="single" w:sz="4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rPr>
                          <w:rFonts w:ascii="Times New Roman" w:eastAsia="方正仿宋_GBK" w:cs="方正仿宋_GBK" w:hAnsi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ascii="Times New Roman" w:eastAsia="方正仿宋_GBK" w:cs="方正仿宋_GBK" w:hAnsi="Times New Roman" w:hint="eastAsia"/>
                          <w:sz w:val="32"/>
                          <w:szCs w:val="32"/>
                          <w:lang w:val="en-US" w:eastAsia="zh-CN"/>
                        </w:rPr>
                        <w:t>沙坪坝区磁器口街道党政办公室         2023年3月4日印发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仿宋_GBK" w:eastAsia="方正仿宋_GBK" w:cs="方正仿宋_GBK" w:hint="eastAsia"/>
          <w:color w:val="auto"/>
          <w:sz w:val="32"/>
          <w:szCs w:val="32"/>
          <w:u w:color="000000"/>
          <w:lang w:eastAsia="zh-CN"/>
        </w:rPr>
        <w:t>（</w:t>
      </w:r>
      <w:r>
        <w:rPr>
          <w:rFonts w:ascii="方正仿宋_GBK" w:eastAsia="方正仿宋_GBK" w:cs="方正仿宋_GBK" w:hint="eastAsia"/>
          <w:color w:val="auto"/>
          <w:sz w:val="32"/>
          <w:szCs w:val="32"/>
          <w:u w:color="000000"/>
          <w:lang w:val="en-US" w:eastAsia="zh-CN"/>
        </w:rPr>
        <w:t>此页无正文</w:t>
      </w:r>
      <w:r>
        <w:rPr>
          <w:rFonts w:ascii="方正仿宋_GBK" w:eastAsia="方正仿宋_GBK" w:cs="方正仿宋_GBK" w:hint="eastAsia"/>
          <w:color w:val="auto"/>
          <w:sz w:val="32"/>
          <w:szCs w:val="32"/>
          <w:u w:color="00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 w:cs="Times New Roman" w:hint="eastAsia"/>
          <w:color w:val="auto"/>
          <w:sz w:val="44"/>
          <w:szCs w:val="44"/>
          <w:u w:color="000000"/>
        </w:rPr>
        <w:sectPr>
          <w:footerReference w:type="default" r:id="rId2"/>
          <w:pgSz w:w="11906" w:h="16838"/>
          <w:pgMar w:top="1984" w:right="1446" w:bottom="1644" w:left="1446" w:header="851" w:footer="1474" w:gutter="0"/>
          <w:pgNumType w:fmt="numberInDash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小标宋_GBK" w:eastAsia="方正小标宋_GBK" w:cs="方正小标宋_GBK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eastAsia="方正小标宋_GBK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202</w:t>
      </w:r>
      <w:r>
        <w:rPr>
          <w:rFonts w:eastAsia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3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年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  <w:lang w:val="en-US" w:eastAsia="zh-CN"/>
        </w:rPr>
        <w:t>磁器口</w:t>
      </w:r>
      <w:r>
        <w:rPr>
          <w:rFonts w:ascii="方正小标宋_GBK" w:eastAsia="方正小标宋_GBK" w:cs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安全生产与自然灾害防治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jc w:val="center"/>
        <w:textAlignment w:val="auto"/>
        <w:rPr>
          <w:rFonts w:ascii="方正小标宋_GBK" w:eastAsia="方正小标宋_GBK" w:cs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</w:pPr>
      <w:r>
        <w:rPr>
          <w:rFonts w:ascii="方正小标宋_GBK" w:eastAsia="方正小标宋_GBK" w:cs="方正小标宋_GBK" w:hint="eastAsia"/>
          <w:color w:val="000000"/>
          <w:sz w:val="44"/>
          <w:szCs w:val="44"/>
          <w14:textFill>
            <w14:solidFill>
              <w14:srgbClr w14:val="000000"/>
            </w14:solidFill>
          </w14:textFill>
        </w:rPr>
        <w:t>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为加强</w:t>
      </w:r>
      <w:r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辖区</w:t>
      </w:r>
      <w:r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安全生产与自然灾害防治工作，切实保障人民群众生命财产安全，特制定本工作要点。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1"/>
        <w:rPr>
          <w:rFonts w:ascii="Times New Roman" w:eastAsia="方正黑体_GBK" w:hAnsi="Times New Roman" w:hint="eastAsia"/>
          <w:color w:val="000000"/>
          <w:sz w:val="32"/>
          <w:szCs w:val="20"/>
        </w:rPr>
      </w:pPr>
      <w:r>
        <w:rPr>
          <w:rFonts w:ascii="Times New Roman" w:eastAsia="方正黑体_GBK" w:hAnsi="Times New Roman" w:hint="eastAsia"/>
          <w:color w:val="000000"/>
          <w:sz w:val="32"/>
          <w:szCs w:val="20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以习近平新时代中国特色社会主义思想为指引，全面学习贯彻党的二十大精神，坚持人民至上、生命至上，统筹发展和安全，以“控事故、防灾害”为目标，加快数字赋能，强化党政履职，严格监管执法，压实主体责任，深化专项整治，加强应急准备，构建大安全大应急框架，以新安全格局保障新发展格局，预防减少一般生产安全事故，坚决遏制较大及以上事故，坚决避免因灾导致人员伤亡，确保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区安全生产形势稳定向好，为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磁器口辖区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zh-CN"/>
        </w:rPr>
        <w:t>建设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提供坚实安全保障。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黑体_GBK" w:hAnsi="Times New Roman" w:hint="eastAsia"/>
          <w:color w:val="000000"/>
          <w:sz w:val="32"/>
          <w:szCs w:val="20"/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2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（一）加快数字赋能，提升基层基础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实施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安全数字赋能行动。按照实用管用的原则，把握高效协同的要求，构建应急管理数字化格局。瞄准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安全“一屏统揽、一屏统管”的发展方向，健全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区应急管理大数据平台，优化“观、研、管、处”流程，建设集日常管理、监测预警、应急指挥、辅助决策等功能于一体的“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安全智慧大脑”。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升级“安全生产和自然灾害防治隐患排查整治”数据系统，完善工贸行业安全生产管理系统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完善隐患排查数据系统，</w:t>
      </w:r>
      <w:r>
        <w:rPr>
          <w:rFonts w:ascii="Times New Roman" w:eastAsia="方正仿宋_GBK" w:hAnsi="Times New Roman" w:hint="eastAsia"/>
          <w:sz w:val="32"/>
          <w:szCs w:val="32"/>
        </w:rPr>
        <w:t>建成磁器口防汛救灾应急指挥中心，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推进信息化、数字化在道路交通、防汛抗洪等场景的应用。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实施“五有”规范化建设行动。落实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加强应急管理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基础建设指导意见，围绕有机构、有人员、有条件、有能力、有规则的“五有”标准，启动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和功能区应急管理规范化建设。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方正仿宋_GBK" w:eastAsia="方正仿宋_GBK" w:cs="方正楷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3.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实施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安全素养提升行动。持续打造“沙小安”安全品牌，发布推广安全微视频，开展安全生产月、消防安全月、“5.12”防灾减灾日、“12.2”交通安全日等活动，参加“安康杯”企业安全知识技能竞赛、“安全文化示范企业”、“最美应急人”等活动，深化安全宣传进企业、进社区、进家庭、进校园。强化重要节点、重要事项、重要政策安全宣传和新闻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2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（二）完善体制机制，强化党政履职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25" w:firstLine="720"/>
        <w:textAlignment w:val="auto"/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4.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强化党政领导示范履职</w:t>
      </w:r>
      <w:r>
        <w:rPr>
          <w:rFonts w:ascii="方正楷体_GBK" w:eastAsia="方正楷体_GBK" w:cs="方正楷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坚持“党政同责、一岗双责、齐抓共管、失职追责”，制定党政领导干部安全生产责任清单和</w:t>
      </w:r>
      <w:r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202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3年度重点工作清单，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严格执行党政领导干部工作纪实报告制度，强化重要时段、重要节点履职调度。落实安全生产述职评议制度，将责任落实情况作为领导干部考核的重要内容。完善常态化警示曝光机制，严格落实通报约谈、末位发言等措施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28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方正仿宋_GBK" w:eastAsia="方正仿宋_GBK" w:cs="方正仿宋_GBK" w:hint="eastAsia"/>
          <w:color w:val="000000"/>
          <w:spacing w:val="-3"/>
          <w:sz w:val="32"/>
          <w:szCs w:val="20"/>
          <w:lang w:val="en-US" w:eastAsia="zh-CN"/>
        </w:rPr>
        <w:t>5.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强化行业部门安全监管职责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。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强化行业部门安全监管职责。按照“三个必须”和“谁主管谁负责、谁审批谁负责”以及业务相近原则，厘清新产业、新业态等新兴行业领域安全监管职责，不断消除监管盲区。理顺危险化学品、道路运输、燃气、自建房、电动自行车等行业领域全链条安全监管责任，落实老旧楼栋电梯加装、家庭装修、外立面（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风貌）整治、旅游景区、游乐设施等安全监管责任。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6.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强化“实名制”安全监管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落实企业主要负责人安全生产履职评价规范，并将其作为评价履职尽责的重要依据。企业主要负责人要依法建立健全并落实本单位全员安全生产责任制，完善本人及各层级管理人员安全管理职责，挂牌明责、照单履职；要长期抓标准化建设，建立落实双重预防机制，以构建符合生产经营实际的企业管理体系为核心，推进安全生产标准化创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2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（三）坚持依法治安，严格监管执法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方正仿宋_GBK" w:eastAsia="方正仿宋_GBK" w:cs="方正仿宋_GBK" w:hint="eastAsia"/>
          <w:color w:val="000000"/>
          <w:sz w:val="32"/>
          <w:szCs w:val="20"/>
          <w:lang w:val="en-US" w:eastAsia="zh-CN"/>
        </w:rPr>
        <w:t>7.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坚持严格执法总基调。严格执法检查，</w:t>
      </w:r>
      <w:r>
        <w:rPr>
          <w:rFonts w:ascii="Times New Roman" w:eastAsia="方正仿宋_GBK" w:hAnsi="Times New Roman" w:hint="eastAsia"/>
          <w:color w:val="000000"/>
          <w:sz w:val="32"/>
          <w:szCs w:val="20"/>
          <w14:textFill>
            <w14:solidFill>
              <w14:srgbClr w14:val="000000"/>
            </w14:solidFill>
          </w14:textFill>
        </w:rPr>
        <w:t>科学编制年度监督检查计划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，落实“日周月”执法检查要求，在重要时段、重要节点加密执法检查频次。严格执法规范，强化检查诊断、行政处罚、整改复查“三部曲”闭环执法，落实行政执法公示、执法过程全记录、重大执法决定法制审核制度。严格执法处罚，坚持执法“清零”和执法“三个强度”提升，对突出违法行为依法从重处罚。严格执法问效，按照最高人民检察院“八号检察建议”要求，加强对执法监管人员失职渎职等行为的调查追责。严格“互联网+执法”，重点企业信息录入率、执法人员信息录入率、线上执法率、监管行业覆盖率达100%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8.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加强事故灾害调查处理。坚持“有案必查、一案双查、三责同追、四不放过”，严格生产安全事故调查处理，对道路运输、建设施工、生产经营性火灾等重点行业领域典型事故实施挂牌督办。强化自然灾害调查评估，严格执行地质灾害调查评估暂行办法，落实洪涝灾害调查评估制度。加强与公检法等部门协作联动，落实安全生产与灾害防治“行刑衔接”制度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9.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加强问题隐患警示曝光。落实安全生产诚信管理办法，建立完善失信惩戒和守信激励机制，严格执行企业安全生产“黑名单”制度。交通、建设、消防等重点行业部门要常态化开展典型事故责任单位通报约谈，对存在突出问题、事故多发和发生生产安全事故的企业进行警示曝光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10.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加强违法行为有奖举报。健全安全生产举报奖励机制，深化举报奖励工作宣传发动，扩大有奖举报知晓率、参与率。充分利用举报奖励系统平台，提高平台使用效益。抓实抓好线索依法查办和举报奖励兑现，提升群众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2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（四）压实主体责任，强化安全管理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1</w:t>
      </w:r>
      <w:r>
        <w:rPr>
          <w:rFonts w:ascii="方正仿宋_GBK" w:eastAsia="方正仿宋_GBK" w:cs="方正仿宋_GBK" w:hint="eastAsia"/>
          <w:color w:val="000000"/>
          <w:sz w:val="32"/>
          <w:szCs w:val="20"/>
        </w:rPr>
        <w:t>．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压实企业安全生产主体责任。严格企业法定代表人、实际控制人、主要负责人安全生产第一责任人责任。以标准化为统领，构建符合企业生产实际的安全管理体系，推动企业达标、专业达标、岗位达标。组织建立全员安全生产责任制，明确领导班子成员和内部各部门安全生产职责。深化“日周月”隐患排查，分级制定清单，严格排查整治。落实关键环节总工程师制度，危险化学品、工贸、建设、交通等行业领域重点企业要设置总工程师岗位，提升安全管理效能。强化一线岗位规范操作，按照全员、全过程、全岗位要求，全面推行“两单两卡一会”制度，确保岗位风险清单、职责清单、操作卡、应急处置卡“记得住、说得明、做得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pacing w:val="-3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2</w:t>
      </w:r>
      <w:r>
        <w:rPr>
          <w:rFonts w:ascii="方正仿宋_GBK" w:eastAsia="方正仿宋_GBK" w:cs="方正仿宋_GBK" w:hint="eastAsia"/>
          <w:color w:val="000000"/>
          <w:sz w:val="32"/>
          <w:szCs w:val="20"/>
        </w:rPr>
        <w:t>．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压实灾害防治主体责任。学校、医院、养老机构等重点单位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，码头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堤防护岸、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大型综合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商业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体、交通枢纽、隧道桥梁等重点设施，以及低洼易涝点和地质灾害易发区、旅游景区等重点区域管理单位，要清单化明确</w:t>
      </w:r>
      <w:r>
        <w:rPr>
          <w:rFonts w:ascii="Times New Roman" w:eastAsia="方正仿宋_GBK" w:hAnsi="Times New Roman" w:hint="eastAsia"/>
          <w:color w:val="000000"/>
          <w:spacing w:val="-3"/>
          <w:sz w:val="32"/>
          <w:szCs w:val="20"/>
        </w:rPr>
        <w:t>地质灾害、森林火灾等灾害防治主体责任，做好责任公示、风险研判、安全巡查、隐患整治、监测预警、紧急管控等重点工作。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outlineLvl w:val="2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（五）着眼两个根本，深化专项整治。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15</w:t>
      </w:r>
      <w:r>
        <w:rPr>
          <w:rFonts w:ascii="方正仿宋_GBK" w:eastAsia="方正仿宋_GBK" w:cs="方正仿宋_GBK" w:hint="eastAsia"/>
          <w:color w:val="000000"/>
          <w:sz w:val="32"/>
          <w:szCs w:val="20"/>
        </w:rPr>
        <w:t>．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深化安全生产巩固治理。立足从根本上消除隐患、从根本上解决问题，巩固安全生产专项整治成效，将有效经验固化为制度性成果，建立落实重点行业领域遏制重特大事故发生的长效机制。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16</w:t>
      </w:r>
      <w:r>
        <w:rPr>
          <w:rFonts w:ascii="方正仿宋_GBK" w:eastAsia="方正仿宋_GBK" w:cs="方正仿宋_GBK" w:hint="eastAsia"/>
          <w:color w:val="000000"/>
          <w:sz w:val="32"/>
          <w:szCs w:val="20"/>
        </w:rPr>
        <w:t>．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深化“两重大一突出”集中整治。深入开展大排查大整治，持续开展易发群死群伤安全风险隐患排查整治，突出重点行业领域开展安全专项整治。消防领域，深化高层建筑、厂房库房、老旧小区等火灾隐患排查整治，持续开展打通“生命通道”整治，完成古镇消防设施升级改造。危险化学品领域，加强危化企业安全风险防控，实行分类整治。工贸领域，持续开展“四涉一有限一使用”专项整治。燃气领域，加快老旧管道更新改造，推进燃气安全装置加装和设施智能化改造，严查第三方施工破坏行为。推进特种设备安全乘梯守护行动。加强再生资源回收行业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  <w:lang w:val="en-US" w:eastAsia="zh-CN"/>
        </w:rPr>
        <w:t>17.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深化“打非治违”专项治理。健全部门联动打非工作机制，严格整治危险化学品无证无照生产经营、非法储存油气、非法运输销售成品油等行为；严查烟花爆竹非法经营销售行为；大力整治建设施工违法分包转包、资质挂靠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楷体_GBK" w:hAnsi="Times New Roman" w:hint="eastAsia"/>
          <w:color w:val="000000"/>
          <w:sz w:val="32"/>
          <w:szCs w:val="20"/>
        </w:rPr>
      </w:pPr>
      <w:r>
        <w:rPr>
          <w:rFonts w:ascii="Times New Roman" w:eastAsia="方正楷体_GBK" w:hAnsi="Times New Roman" w:hint="eastAsia"/>
          <w:color w:val="000000"/>
          <w:sz w:val="32"/>
          <w:szCs w:val="20"/>
        </w:rPr>
        <w:t>（六）加强应急准备，筑牢最后防线。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18．加强应急预案管理。修订区级突发事件总体应急预案、专项预案和部门应急预案，情景化编制各类现场处置方案。加强预案信息化管理，实战化开展应急演练。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19．加强监测预警和应对处置。强化灾害风险普查成果应用，实施灾害风险区划管理。加强风险定期研判和临灾会商研判，强化信息化智能化监测预警。全面推行重要预警信息“叫应”机制，完善区域、行业、单位、部位灾害预警“熔断”机制。落实“断、禁、停、撤、疏”紧急管控措施，有效防范各类极端灾害。强化与周边区县事故灾害应对处置联动，完善上下游区域和邻近区域应急联动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20．加强救援力量建设。完善“专常群”应急力量体系，做强专业救援队伍，推动专业救援队伍正规化建设。。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21．加强指挥和通信保障。强化专业技术现场指挥官制度，提高应急救援组织指挥和处置应对能力。加快应急指挥平台建设，推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进辖区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指挥中心标准化建设。加强应急指挥通讯保障，提升现场通信网络开设、通信紧急恢复等保障能力。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</w:pPr>
      <w:r>
        <w:rPr>
          <w:rFonts w:ascii="Times New Roman" w:eastAsia="方正仿宋_GBK" w:hAnsi="Times New Roman" w:hint="eastAsia"/>
          <w:color w:val="000000"/>
          <w:sz w:val="32"/>
          <w:szCs w:val="20"/>
        </w:rPr>
        <w:t>22．加强物资装备保障。推进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辖区</w:t>
      </w:r>
      <w:r>
        <w:rPr>
          <w:rFonts w:ascii="Times New Roman" w:eastAsia="方正仿宋_GBK" w:hAnsi="Times New Roman" w:hint="eastAsia"/>
          <w:color w:val="000000"/>
          <w:sz w:val="32"/>
          <w:szCs w:val="20"/>
        </w:rPr>
        <w:t>级物资库建设，采取实物储备、产能储备和企业代储等模式，加强应急物资装备储备和信息化管理。及时开展灾后倒损民房重建工作</w:t>
      </w:r>
      <w:r>
        <w:rPr>
          <w:rFonts w:ascii="Times New Roman" w:eastAsia="方正仿宋_GBK" w:hAnsi="Times New Roman" w:hint="eastAsia"/>
          <w:color w:val="000000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方正黑体_GBK" w:eastAsia="方正黑体_GBK" w:cs="方正黑体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黑体_GBK" w:eastAsia="方正黑体_GBK" w:cs="方正黑体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三、保障措施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（一）加强组织领导。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各科室、社区要切实担负起“促一方发展、保一方平安”的政治责任，守住安全红线、筑牢安全底线，确保各项安排部署落实到位。持续优化应急管理体制机制，强化组织领导和统筹协调。持续实施安全专项资金机制，建立行政首长准备金应急保障机制，强化突发事件和抢险救灾资金保障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（二）强化技术支撑。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发挥中介机构、专家对部门和企业的安全技术服务支撑作用，在重要节点和特殊敏感时期，组织专家或专业机构参与对高危企业、重点单位和各类大型活动等的安全检查。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80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楷体_GBK" w:eastAsia="方正楷体_GBK" w:cs="方正楷体_GBK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（三）推动队伍建设。</w:t>
      </w:r>
      <w:r>
        <w:rPr>
          <w:rFonts w:ascii="Times New Roman" w:eastAsia="方正仿宋_GBK" w:cs="Times New Roman" w:hAnsi="Times New Roman" w:hint="eastAsia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落实国家关于应急系统准军事化管理的统一部署，加强对应急管理系统干部职工的教育管理和关心关爱，不断增强职业荣誉感和自豪感。开展应急系统培训，全面提升应急管理干部的政治理论素质和专业素养，为推进全区应急管理体系和能力现代化提供有力保证。</w:t>
      </w:r>
    </w:p>
    <w:p/>
    <w:sectPr>
      <w:footerReference w:type="default" r:id="rId3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jc w:val="right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17 -</w:t>
    </w:r>
    <w:r>
      <w:rPr>
        <w:rFonts w:ascii="宋体"/>
        <w:sz w:val="28"/>
        <w:szCs w:val="28"/>
      </w:rPr>
      <w:fldChar w:fldCharType="end"/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jc w:val="right"/>
    </w:pP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/>
        <w:sz w:val="28"/>
        <w:szCs w:val="28"/>
      </w:rPr>
      <w:t xml:space="preserve"> 17 -</w:t>
    </w:r>
    <w:r>
      <w:rPr>
        <w:rFonts w:ascii="宋体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character" w:default="1" w:styleId="10">
    <w:name w:val="Default Paragraph Font"/>
  </w:style>
  <w:style w:type="paragraph" w:customStyle="1" w:styleId="15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Body text|1"/>
    <w:basedOn w:val="0"/>
    <w:pPr>
      <w:spacing w:line="408" w:lineRule="auto"/>
      <w:ind w:firstLine="400"/>
    </w:pPr>
    <w:rPr>
      <w:rFonts w:asci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9</Pages>
  <Words>3850</Words>
  <Characters>3904</Characters>
  <Lines>180</Lines>
  <Paragraphs>45</Paragraphs>
  <CharactersWithSpaces>3940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来世愿做一朵花，一生只负责美丽！</dc:creator>
  <cp:lastModifiedBy>HP Inc.</cp:lastModifiedBy>
  <cp:revision>1</cp:revision>
  <dcterms:created xsi:type="dcterms:W3CDTF">2022-12-29T14:09:00Z</dcterms:created>
  <dcterms:modified xsi:type="dcterms:W3CDTF">2023-12-14T02:15:40Z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FD033EE754494DB5AD2CC56A46A37E82</vt:lpwstr>
  </property>
</Properties>
</file>