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rPr>
      </w:pPr>
    </w:p>
    <w:p>
      <w:pPr>
        <w:spacing w:beforeAutospacing="0" w:afterAutospacing="0" w:line="1600" w:lineRule="exact"/>
        <w:jc w:val="center"/>
        <w:outlineLvl w:val="0"/>
        <w:rPr>
          <w:rFonts w:hint="eastAsia" w:ascii="方正黑体_GBK" w:eastAsia="方正黑体_GBK"/>
          <w:sz w:val="100"/>
        </w:rPr>
      </w:pPr>
      <w:r>
        <w:rPr>
          <w:rFonts w:hint="eastAsia" w:ascii="方正黑体_GBK" w:eastAsia="方正黑体_GBK"/>
          <w:sz w:val="100"/>
        </w:rPr>
        <w:t>政府采购</w:t>
      </w:r>
    </w:p>
    <w:p>
      <w:pPr>
        <w:spacing w:beforeAutospacing="0" w:afterAutospacing="0" w:line="1600" w:lineRule="exact"/>
        <w:jc w:val="center"/>
        <w:outlineLvl w:val="0"/>
        <w:rPr>
          <w:rFonts w:hint="eastAsia" w:ascii="方正黑体_GBK" w:hAnsi="宋体" w:eastAsia="方正黑体_GBK"/>
          <w:sz w:val="130"/>
          <w:szCs w:val="130"/>
        </w:rPr>
      </w:pPr>
      <w:r>
        <w:rPr>
          <w:rFonts w:hint="eastAsia" w:ascii="方正黑体_GBK" w:hAnsi="宋体" w:eastAsia="方正黑体_GBK"/>
          <w:sz w:val="130"/>
          <w:szCs w:val="130"/>
        </w:rPr>
        <w:t>竞争性磋商文件</w:t>
      </w:r>
    </w:p>
    <w:p>
      <w:pPr>
        <w:spacing w:beforeAutospacing="0" w:afterAutospacing="0" w:line="700" w:lineRule="exact"/>
        <w:jc w:val="center"/>
        <w:rPr>
          <w:rFonts w:ascii="方正黑体_GBK" w:eastAsia="方正黑体_GBK"/>
          <w:sz w:val="72"/>
          <w:szCs w:val="72"/>
        </w:rPr>
      </w:pPr>
    </w:p>
    <w:p>
      <w:pPr>
        <w:spacing w:beforeAutospacing="0" w:afterAutospacing="0" w:line="700" w:lineRule="exact"/>
        <w:jc w:val="center"/>
        <w:rPr>
          <w:rFonts w:hint="eastAsia" w:ascii="黑体" w:eastAsia="黑体"/>
          <w:sz w:val="32"/>
        </w:rPr>
      </w:pPr>
    </w:p>
    <w:p>
      <w:pPr>
        <w:spacing w:beforeAutospacing="0" w:afterAutospacing="0" w:line="700" w:lineRule="exact"/>
        <w:jc w:val="center"/>
        <w:rPr>
          <w:rFonts w:hint="eastAsia" w:ascii="黑体" w:eastAsia="黑体"/>
          <w:sz w:val="32"/>
        </w:rPr>
      </w:pPr>
    </w:p>
    <w:p>
      <w:pPr>
        <w:spacing w:beforeAutospacing="0" w:afterAutospacing="0" w:line="500" w:lineRule="exact"/>
        <w:outlineLvl w:val="0"/>
        <w:rPr>
          <w:rFonts w:hint="eastAsia" w:ascii="方正小标宋_GBK" w:hAnsi="宋体" w:eastAsia="方正小标宋_GBK"/>
          <w:sz w:val="36"/>
          <w:szCs w:val="36"/>
        </w:rPr>
      </w:pPr>
    </w:p>
    <w:p>
      <w:pPr>
        <w:spacing w:beforeAutospacing="0" w:afterAutospacing="0" w:line="500" w:lineRule="exact"/>
        <w:outlineLvl w:val="0"/>
        <w:rPr>
          <w:rFonts w:hint="eastAsia" w:ascii="方正小标宋_GBK" w:hAnsi="宋体" w:eastAsia="方正小标宋_GBK"/>
          <w:sz w:val="36"/>
          <w:szCs w:val="36"/>
        </w:rPr>
      </w:pPr>
    </w:p>
    <w:p>
      <w:pPr>
        <w:spacing w:beforeAutospacing="0" w:afterAutospacing="0" w:line="500" w:lineRule="exact"/>
        <w:outlineLvl w:val="0"/>
        <w:rPr>
          <w:rFonts w:hint="eastAsia" w:ascii="方正小标宋_GBK" w:hAnsi="宋体" w:eastAsia="方正小标宋_GBK"/>
          <w:sz w:val="36"/>
          <w:szCs w:val="36"/>
        </w:rPr>
      </w:pPr>
    </w:p>
    <w:p>
      <w:pPr>
        <w:spacing w:beforeAutospacing="0" w:afterAutospacing="0" w:line="500" w:lineRule="exact"/>
        <w:ind w:firstLine="720" w:firstLineChars="200"/>
        <w:outlineLvl w:val="0"/>
        <w:rPr>
          <w:rFonts w:hint="default" w:ascii="方正小标宋_GBK" w:hAnsi="宋体" w:eastAsia="方正小标宋_GBK"/>
          <w:sz w:val="36"/>
          <w:szCs w:val="36"/>
          <w:lang w:val="en-US" w:eastAsia="zh-CN"/>
        </w:rPr>
      </w:pPr>
      <w:r>
        <w:rPr>
          <w:rFonts w:hint="eastAsia" w:ascii="方正小标宋_GBK" w:hAnsi="宋体" w:eastAsia="方正小标宋_GBK"/>
          <w:sz w:val="36"/>
          <w:szCs w:val="36"/>
        </w:rPr>
        <w:t xml:space="preserve">项 </w:t>
      </w:r>
      <w:r>
        <w:rPr>
          <w:rFonts w:hint="eastAsia" w:ascii="方正小标宋_GBK" w:hAnsi="宋体" w:eastAsia="方正小标宋_GBK"/>
          <w:sz w:val="36"/>
          <w:szCs w:val="36"/>
          <w:lang w:val="en-US" w:eastAsia="zh-CN"/>
        </w:rPr>
        <w:t xml:space="preserve"> </w:t>
      </w:r>
      <w:r>
        <w:rPr>
          <w:rFonts w:hint="eastAsia" w:ascii="方正小标宋_GBK" w:hAnsi="宋体" w:eastAsia="方正小标宋_GBK"/>
          <w:sz w:val="36"/>
          <w:szCs w:val="36"/>
        </w:rPr>
        <w:t xml:space="preserve"> 目 </w:t>
      </w:r>
      <w:r>
        <w:rPr>
          <w:rFonts w:hint="eastAsia" w:ascii="方正小标宋_GBK" w:hAnsi="宋体" w:eastAsia="方正小标宋_GBK"/>
          <w:sz w:val="36"/>
          <w:szCs w:val="36"/>
          <w:lang w:val="en-US" w:eastAsia="zh-CN"/>
        </w:rPr>
        <w:t xml:space="preserve"> </w:t>
      </w:r>
      <w:r>
        <w:rPr>
          <w:rFonts w:hint="eastAsia" w:ascii="方正小标宋_GBK" w:hAnsi="宋体" w:eastAsia="方正小标宋_GBK"/>
          <w:sz w:val="36"/>
          <w:szCs w:val="36"/>
        </w:rPr>
        <w:t xml:space="preserve"> 号：</w:t>
      </w:r>
      <w:r>
        <w:rPr>
          <w:rFonts w:hint="eastAsia" w:ascii="方正小标宋_GBK" w:hAnsi="宋体" w:eastAsia="方正小标宋_GBK"/>
          <w:sz w:val="36"/>
          <w:szCs w:val="36"/>
          <w:lang w:val="en-US" w:eastAsia="zh-CN"/>
        </w:rPr>
        <w:t>ZC2022152</w:t>
      </w:r>
    </w:p>
    <w:p>
      <w:pPr>
        <w:spacing w:beforeAutospacing="0" w:afterAutospacing="0" w:line="500" w:lineRule="exact"/>
        <w:ind w:firstLine="720" w:firstLineChars="200"/>
        <w:outlineLvl w:val="0"/>
        <w:rPr>
          <w:rFonts w:hint="default" w:ascii="方正小标宋_GBK" w:hAnsi="宋体" w:eastAsia="方正小标宋_GBK"/>
          <w:sz w:val="36"/>
          <w:szCs w:val="36"/>
          <w:lang w:val="en-US" w:eastAsia="zh-CN"/>
        </w:rPr>
      </w:pPr>
      <w:r>
        <w:rPr>
          <w:rFonts w:hint="eastAsia" w:ascii="方正小标宋_GBK" w:hAnsi="宋体" w:eastAsia="方正小标宋_GBK"/>
          <w:sz w:val="36"/>
          <w:szCs w:val="36"/>
        </w:rPr>
        <w:t>采购执行编号：</w:t>
      </w:r>
      <w:r>
        <w:rPr>
          <w:rFonts w:hint="eastAsia" w:ascii="方正小标宋_GBK" w:hAnsi="宋体" w:eastAsia="方正小标宋_GBK"/>
          <w:sz w:val="36"/>
          <w:szCs w:val="36"/>
          <w:lang w:val="en-US" w:eastAsia="zh-CN"/>
        </w:rPr>
        <w:t>SPB22C01755</w:t>
      </w:r>
    </w:p>
    <w:p>
      <w:pPr>
        <w:spacing w:beforeAutospacing="0" w:afterAutospacing="0" w:line="500" w:lineRule="exact"/>
        <w:ind w:left="3237" w:leftChars="256" w:hanging="2520" w:hangingChars="700"/>
        <w:outlineLvl w:val="0"/>
        <w:rPr>
          <w:rFonts w:hint="eastAsia" w:ascii="方正小标宋_GBK" w:eastAsia="方正小标宋_GBK"/>
          <w:sz w:val="36"/>
          <w:szCs w:val="36"/>
        </w:rPr>
      </w:pPr>
      <w:r>
        <w:rPr>
          <w:rFonts w:hint="eastAsia" w:ascii="方正小标宋_GBK" w:hAnsi="宋体" w:eastAsia="方正小标宋_GBK"/>
          <w:sz w:val="36"/>
          <w:szCs w:val="36"/>
        </w:rPr>
        <w:t>磋商项目名称：</w:t>
      </w:r>
      <w:r>
        <w:rPr>
          <w:rFonts w:hint="eastAsia" w:ascii="方正小标宋_GBK" w:eastAsia="方正小标宋_GBK"/>
          <w:sz w:val="36"/>
          <w:szCs w:val="36"/>
        </w:rPr>
        <w:t>沙坪坝区</w:t>
      </w:r>
      <w:r>
        <w:rPr>
          <w:rFonts w:hint="eastAsia" w:ascii="方正小标宋_GBK" w:eastAsia="方正小标宋_GBK"/>
          <w:sz w:val="36"/>
          <w:szCs w:val="36"/>
          <w:lang w:eastAsia="zh-CN"/>
        </w:rPr>
        <w:t>陈家桥</w:t>
      </w:r>
      <w:r>
        <w:rPr>
          <w:rFonts w:hint="eastAsia" w:ascii="方正小标宋_GBK" w:eastAsia="方正小标宋_GBK"/>
          <w:sz w:val="36"/>
          <w:szCs w:val="36"/>
          <w:lang w:val="en-US" w:eastAsia="zh-CN"/>
        </w:rPr>
        <w:t>街道</w:t>
      </w:r>
      <w:r>
        <w:rPr>
          <w:rFonts w:hint="eastAsia" w:ascii="方正小标宋_GBK" w:eastAsia="方正小标宋_GBK"/>
          <w:sz w:val="36"/>
          <w:szCs w:val="36"/>
        </w:rPr>
        <w:t>采购</w:t>
      </w:r>
      <w:r>
        <w:rPr>
          <w:rFonts w:hint="eastAsia" w:ascii="方正小标宋_GBK" w:eastAsia="方正小标宋_GBK"/>
          <w:sz w:val="36"/>
          <w:szCs w:val="36"/>
          <w:lang w:val="en-US" w:eastAsia="zh-CN"/>
        </w:rPr>
        <w:t>公园广场绿化管护</w:t>
      </w:r>
      <w:r>
        <w:rPr>
          <w:rFonts w:hint="eastAsia" w:ascii="方正小标宋_GBK" w:eastAsia="方正小标宋_GBK"/>
          <w:sz w:val="36"/>
          <w:szCs w:val="36"/>
        </w:rPr>
        <w:t>单位</w:t>
      </w:r>
    </w:p>
    <w:p>
      <w:pPr>
        <w:spacing w:beforeAutospacing="0" w:afterAutospacing="0" w:line="700" w:lineRule="exact"/>
        <w:ind w:firstLine="1749" w:firstLineChars="486"/>
        <w:rPr>
          <w:rFonts w:hint="eastAsia" w:ascii="方正小标宋_GBK" w:hAnsi="宋体" w:eastAsia="方正小标宋_GBK"/>
          <w:sz w:val="36"/>
          <w:szCs w:val="36"/>
        </w:rPr>
      </w:pPr>
    </w:p>
    <w:p>
      <w:pPr>
        <w:spacing w:beforeAutospacing="0" w:afterAutospacing="0" w:line="700" w:lineRule="exact"/>
        <w:ind w:firstLine="1749" w:firstLineChars="486"/>
        <w:rPr>
          <w:rFonts w:hint="eastAsia" w:ascii="方正小标宋_GBK" w:hAnsi="宋体" w:eastAsia="方正小标宋_GBK"/>
          <w:sz w:val="36"/>
          <w:szCs w:val="36"/>
        </w:rPr>
      </w:pPr>
    </w:p>
    <w:p>
      <w:pPr>
        <w:spacing w:beforeAutospacing="0" w:afterAutospacing="0" w:line="700" w:lineRule="exact"/>
        <w:rPr>
          <w:rFonts w:hint="eastAsia" w:ascii="方正小标宋_GBK" w:hAnsi="宋体" w:eastAsia="方正小标宋_GBK"/>
          <w:sz w:val="36"/>
          <w:szCs w:val="36"/>
        </w:rPr>
      </w:pPr>
    </w:p>
    <w:p>
      <w:pPr>
        <w:spacing w:beforeAutospacing="0" w:afterAutospacing="0" w:line="700" w:lineRule="exact"/>
        <w:jc w:val="center"/>
        <w:rPr>
          <w:rFonts w:hint="eastAsia" w:ascii="方正小标宋_GBK" w:hAnsi="宋体" w:eastAsia="方正小标宋_GBK"/>
          <w:b/>
          <w:sz w:val="36"/>
          <w:szCs w:val="36"/>
        </w:rPr>
      </w:pPr>
    </w:p>
    <w:p>
      <w:pPr>
        <w:spacing w:beforeAutospacing="0" w:afterAutospacing="0" w:line="500" w:lineRule="exact"/>
        <w:jc w:val="both"/>
        <w:outlineLvl w:val="0"/>
        <w:rPr>
          <w:rFonts w:hint="eastAsia" w:ascii="方正小标宋_GBK" w:eastAsia="方正小标宋_GBK"/>
          <w:sz w:val="36"/>
          <w:szCs w:val="36"/>
          <w:lang w:eastAsia="zh-CN"/>
        </w:rPr>
      </w:pPr>
      <w:r>
        <w:rPr>
          <w:rFonts w:hint="eastAsia" w:ascii="方正小标宋_GBK" w:eastAsia="方正小标宋_GBK"/>
          <w:sz w:val="36"/>
          <w:szCs w:val="36"/>
        </w:rPr>
        <w:t>采</w:t>
      </w:r>
      <w:r>
        <w:rPr>
          <w:rFonts w:hint="eastAsia" w:ascii="方正小标宋_GBK" w:eastAsia="方正小标宋_GBK"/>
          <w:sz w:val="36"/>
          <w:szCs w:val="36"/>
          <w:lang w:val="en-US" w:eastAsia="zh-CN"/>
        </w:rPr>
        <w:t xml:space="preserve">   </w:t>
      </w:r>
      <w:r>
        <w:rPr>
          <w:rFonts w:hint="eastAsia" w:ascii="方正小标宋_GBK" w:eastAsia="方正小标宋_GBK"/>
          <w:sz w:val="36"/>
          <w:szCs w:val="36"/>
        </w:rPr>
        <w:t>购</w:t>
      </w:r>
      <w:r>
        <w:rPr>
          <w:rFonts w:hint="eastAsia" w:ascii="方正小标宋_GBK" w:eastAsia="方正小标宋_GBK"/>
          <w:sz w:val="36"/>
          <w:szCs w:val="36"/>
          <w:lang w:val="en-US" w:eastAsia="zh-CN"/>
        </w:rPr>
        <w:t xml:space="preserve">   </w:t>
      </w:r>
      <w:r>
        <w:rPr>
          <w:rFonts w:hint="eastAsia" w:ascii="方正小标宋_GBK" w:eastAsia="方正小标宋_GBK"/>
          <w:sz w:val="36"/>
          <w:szCs w:val="36"/>
        </w:rPr>
        <w:t>人：重庆市沙坪坝</w:t>
      </w:r>
      <w:r>
        <w:rPr>
          <w:rFonts w:hint="eastAsia" w:ascii="方正小标宋_GBK" w:eastAsia="方正小标宋_GBK"/>
          <w:sz w:val="36"/>
          <w:szCs w:val="36"/>
          <w:lang w:eastAsia="zh-CN"/>
        </w:rPr>
        <w:t>人民政府陈家桥街道办事处</w:t>
      </w:r>
    </w:p>
    <w:p>
      <w:pPr>
        <w:spacing w:beforeAutospacing="0" w:afterAutospacing="0" w:line="500" w:lineRule="exact"/>
        <w:jc w:val="both"/>
        <w:outlineLvl w:val="0"/>
        <w:rPr>
          <w:rFonts w:hint="eastAsia" w:ascii="方正小标宋_GBK" w:eastAsia="方正小标宋_GBK"/>
          <w:sz w:val="36"/>
          <w:szCs w:val="36"/>
        </w:rPr>
      </w:pPr>
      <w:r>
        <w:rPr>
          <w:rFonts w:hint="eastAsia" w:ascii="方正小标宋_GBK" w:eastAsia="方正小标宋_GBK"/>
          <w:sz w:val="36"/>
          <w:szCs w:val="36"/>
        </w:rPr>
        <w:t>采购代理机构：</w:t>
      </w:r>
      <w:r>
        <w:rPr>
          <w:rFonts w:hint="eastAsia" w:ascii="方正小标宋_GBK" w:eastAsia="方正小标宋_GBK"/>
          <w:sz w:val="36"/>
          <w:szCs w:val="36"/>
          <w:lang w:val="en-US" w:eastAsia="zh-CN"/>
        </w:rPr>
        <w:t>重庆市沙坪坝区公共资源交易中心</w:t>
      </w:r>
    </w:p>
    <w:p>
      <w:pPr>
        <w:spacing w:beforeAutospacing="0" w:afterAutospacing="0" w:line="500" w:lineRule="exact"/>
        <w:jc w:val="center"/>
        <w:outlineLvl w:val="0"/>
        <w:rPr>
          <w:rFonts w:hint="eastAsia" w:ascii="方正小标宋_GBK" w:eastAsia="方正小标宋_GBK"/>
          <w:sz w:val="36"/>
          <w:szCs w:val="36"/>
        </w:rPr>
      </w:pPr>
    </w:p>
    <w:p>
      <w:pPr>
        <w:spacing w:beforeAutospacing="0" w:afterAutospacing="0" w:line="720" w:lineRule="exact"/>
        <w:jc w:val="center"/>
        <w:outlineLvl w:val="0"/>
        <w:rPr>
          <w:rFonts w:hint="eastAsia" w:ascii="方正黑体_GBK" w:hAnsi="宋体" w:eastAsia="方正黑体_GBK"/>
          <w:sz w:val="48"/>
          <w:szCs w:val="32"/>
        </w:rPr>
      </w:pPr>
      <w:r>
        <w:rPr>
          <w:rFonts w:hint="eastAsia" w:ascii="方正小标宋_GBK" w:hAnsi="宋体" w:eastAsia="方正小标宋_GBK"/>
          <w:sz w:val="36"/>
          <w:szCs w:val="36"/>
          <w:lang w:val="en-US" w:eastAsia="zh-CN"/>
        </w:rPr>
        <w:t>2022</w:t>
      </w:r>
      <w:r>
        <w:rPr>
          <w:rFonts w:hint="eastAsia" w:ascii="方正小标宋_GBK" w:hAnsi="宋体" w:eastAsia="方正小标宋_GBK"/>
          <w:sz w:val="36"/>
          <w:szCs w:val="36"/>
        </w:rPr>
        <w:t>年</w:t>
      </w:r>
      <w:r>
        <w:rPr>
          <w:rFonts w:hint="eastAsia" w:ascii="方正小标宋_GBK" w:hAnsi="宋体" w:eastAsia="方正小标宋_GBK"/>
          <w:sz w:val="36"/>
          <w:szCs w:val="36"/>
          <w:lang w:val="en-US" w:eastAsia="zh-CN"/>
        </w:rPr>
        <w:t>12</w:t>
      </w:r>
      <w:r>
        <w:rPr>
          <w:rFonts w:hint="eastAsia" w:ascii="方正小标宋_GBK" w:hAnsi="宋体" w:eastAsia="方正小标宋_GBK"/>
          <w:sz w:val="36"/>
          <w:szCs w:val="36"/>
        </w:rPr>
        <w:t>月</w:t>
      </w:r>
    </w:p>
    <w:p>
      <w:pPr>
        <w:spacing w:beforeAutospacing="0" w:afterAutospacing="0" w:line="720" w:lineRule="exact"/>
        <w:jc w:val="center"/>
        <w:outlineLvl w:val="0"/>
        <w:rPr>
          <w:rFonts w:ascii="方正黑体_GBK" w:hAnsi="宋体" w:eastAsia="方正黑体_GBK"/>
          <w:sz w:val="48"/>
          <w:szCs w:val="32"/>
        </w:rPr>
        <w:sectPr>
          <w:headerReference r:id="rId4" w:type="first"/>
          <w:footerReference r:id="rId7" w:type="first"/>
          <w:headerReference r:id="rId3" w:type="default"/>
          <w:footerReference r:id="rId5" w:type="default"/>
          <w:footerReference r:id="rId6" w:type="even"/>
          <w:pgSz w:w="11907" w:h="16840"/>
          <w:pgMar w:top="1134" w:right="1191" w:bottom="1134" w:left="1304" w:header="851" w:footer="992" w:gutter="0"/>
          <w:pgNumType w:fmt="numberInDash" w:start="1"/>
          <w:cols w:space="720" w:num="1"/>
          <w:titlePg/>
          <w:docGrid w:linePitch="381" w:charSpace="-5735"/>
        </w:sectPr>
      </w:pPr>
    </w:p>
    <w:p>
      <w:pPr>
        <w:pStyle w:val="2"/>
        <w:spacing w:beforeAutospacing="0" w:afterAutospacing="0" w:line="360" w:lineRule="auto"/>
        <w:jc w:val="center"/>
        <w:rPr>
          <w:rFonts w:hint="eastAsia" w:ascii="方正小标宋_GBK" w:hAnsi="宋体" w:eastAsia="方正小标宋_GBK"/>
          <w:b w:val="0"/>
          <w:szCs w:val="30"/>
        </w:rPr>
      </w:pPr>
      <w:bookmarkStart w:id="0" w:name="_Toc12789052"/>
      <w:bookmarkEnd w:id="0"/>
      <w:bookmarkStart w:id="1" w:name="_Toc11641050"/>
      <w:bookmarkEnd w:id="1"/>
      <w:bookmarkStart w:id="2" w:name="_Toc76462316"/>
      <w:bookmarkEnd w:id="2"/>
      <w:bookmarkStart w:id="3" w:name="_Toc106030870"/>
      <w:bookmarkEnd w:id="3"/>
      <w:r>
        <w:rPr>
          <w:rFonts w:hint="eastAsia" w:ascii="方正小标宋_GBK" w:hAnsi="宋体" w:eastAsia="方正小标宋_GBK"/>
          <w:b w:val="0"/>
          <w:sz w:val="36"/>
          <w:szCs w:val="30"/>
        </w:rPr>
        <w:t>第一篇  采购邀请书</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重庆市沙坪坝区公共资源交易中心（以下简称：采购代理机构）接受重庆市沙坪坝区陈家桥街道（以下简称：采购人</w:t>
      </w:r>
      <w:r>
        <w:rPr>
          <w:rFonts w:hint="eastAsia" w:ascii="方正仿宋_GBK" w:hAnsi="宋体" w:eastAsia="方正仿宋_GBK"/>
          <w:sz w:val="24"/>
          <w:szCs w:val="24"/>
        </w:rPr>
        <w:t>）的</w:t>
      </w:r>
      <w:r>
        <w:rPr>
          <w:rFonts w:hint="eastAsia" w:ascii="方正仿宋_GBK" w:hAnsi="宋体" w:eastAsia="方正仿宋_GBK"/>
          <w:sz w:val="24"/>
          <w:szCs w:val="24"/>
          <w:lang w:val="en-US" w:eastAsia="zh-CN"/>
        </w:rPr>
        <w:t>委托，对沙坪坝区陈家桥街道采购公园广场绿化管护单位项目进行竞争性磋商</w:t>
      </w:r>
      <w:r>
        <w:rPr>
          <w:rFonts w:hint="eastAsia" w:ascii="方正仿宋_GBK" w:hAnsi="宋体" w:eastAsia="方正仿宋_GBK"/>
          <w:sz w:val="24"/>
          <w:szCs w:val="24"/>
        </w:rPr>
        <w:t>采购。欢迎有资格的供应商前来参与磋商。</w:t>
      </w:r>
    </w:p>
    <w:p>
      <w:pPr>
        <w:pStyle w:val="2"/>
        <w:adjustRightInd w:val="0"/>
        <w:snapToGrid w:val="0"/>
        <w:spacing w:before="0" w:beforeAutospacing="0" w:after="0" w:afterAutospacing="0" w:line="400" w:lineRule="exact"/>
        <w:ind w:firstLine="481" w:firstLineChars="200"/>
        <w:rPr>
          <w:rFonts w:ascii="方正仿宋_GBK" w:hAnsi="宋体" w:eastAsia="方正仿宋_GBK"/>
          <w:sz w:val="24"/>
        </w:rPr>
      </w:pPr>
      <w:bookmarkStart w:id="4" w:name="_Toc106030871"/>
      <w:bookmarkEnd w:id="4"/>
      <w:bookmarkStart w:id="5" w:name="_Toc76462317"/>
      <w:bookmarkEnd w:id="5"/>
      <w:bookmarkStart w:id="6" w:name="_Toc313893526"/>
      <w:bookmarkEnd w:id="6"/>
      <w:bookmarkStart w:id="7" w:name="_Toc317775175"/>
      <w:bookmarkEnd w:id="7"/>
      <w:r>
        <w:rPr>
          <w:rFonts w:hint="eastAsia" w:ascii="方正仿宋_GBK" w:hAnsi="宋体" w:eastAsia="方正仿宋_GBK"/>
          <w:sz w:val="24"/>
        </w:rPr>
        <w:t>一、竞争性磋商内容</w:t>
      </w:r>
    </w:p>
    <w:tbl>
      <w:tblPr>
        <w:tblStyle w:val="13"/>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1662"/>
        <w:gridCol w:w="993"/>
        <w:gridCol w:w="1267"/>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2849"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名称</w:t>
            </w:r>
          </w:p>
        </w:tc>
        <w:tc>
          <w:tcPr>
            <w:tcW w:w="1662"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最高限价</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993"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保证金</w:t>
            </w:r>
          </w:p>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（万元）</w:t>
            </w:r>
          </w:p>
        </w:tc>
        <w:tc>
          <w:tcPr>
            <w:tcW w:w="1267"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成交供应商数量（名）</w:t>
            </w:r>
          </w:p>
        </w:tc>
        <w:tc>
          <w:tcPr>
            <w:tcW w:w="2516" w:type="dxa"/>
            <w:tcBorders>
              <w:top w:val="single" w:color="auto" w:sz="4" w:space="0"/>
              <w:left w:val="single" w:color="auto" w:sz="4" w:space="0"/>
              <w:right w:val="single" w:color="auto" w:sz="4" w:space="0"/>
            </w:tcBorders>
            <w:vAlign w:val="center"/>
          </w:tcPr>
          <w:p>
            <w:pPr>
              <w:jc w:val="center"/>
              <w:rPr>
                <w:rFonts w:hint="eastAsia" w:ascii="方正仿宋_GBK" w:hAnsi="宋体" w:eastAsia="方正仿宋_GBK" w:cs="宋体"/>
                <w:b/>
                <w:bCs/>
                <w:kern w:val="0"/>
                <w:sz w:val="21"/>
                <w:szCs w:val="24"/>
              </w:rPr>
            </w:pPr>
            <w:r>
              <w:rPr>
                <w:rFonts w:hint="eastAsia" w:ascii="方正仿宋_GBK" w:hAnsi="宋体" w:eastAsia="方正仿宋_GBK" w:cs="宋体"/>
                <w:b/>
                <w:bCs/>
                <w:kern w:val="0"/>
                <w:sz w:val="21"/>
                <w:szCs w:val="24"/>
              </w:rPr>
              <w:t>采购标的对应的中小企业划分标准所属行业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2849"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rPr>
            </w:pPr>
            <w:r>
              <w:rPr>
                <w:rFonts w:hint="eastAsia" w:ascii="微软雅黑" w:hAnsi="微软雅黑" w:eastAsia="微软雅黑" w:cs="微软雅黑"/>
                <w:color w:val="000000" w:themeColor="text1"/>
                <w:sz w:val="21"/>
                <w:szCs w:val="21"/>
                <w14:textFill>
                  <w14:solidFill>
                    <w14:schemeClr w14:val="tx1"/>
                  </w14:solidFill>
                </w14:textFill>
              </w:rPr>
              <w:t>沙坪坝区</w:t>
            </w:r>
            <w:r>
              <w:rPr>
                <w:rFonts w:hint="eastAsia" w:ascii="微软雅黑" w:hAnsi="微软雅黑" w:eastAsia="微软雅黑" w:cs="微软雅黑"/>
                <w:color w:val="000000" w:themeColor="text1"/>
                <w:sz w:val="21"/>
                <w:szCs w:val="21"/>
                <w:lang w:eastAsia="zh-CN"/>
                <w14:textFill>
                  <w14:solidFill>
                    <w14:schemeClr w14:val="tx1"/>
                  </w14:solidFill>
                </w14:textFill>
              </w:rPr>
              <w:t>陈家桥</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街道</w:t>
            </w:r>
            <w:r>
              <w:rPr>
                <w:rFonts w:hint="eastAsia" w:ascii="微软雅黑" w:hAnsi="微软雅黑" w:eastAsia="微软雅黑" w:cs="微软雅黑"/>
                <w:color w:val="000000" w:themeColor="text1"/>
                <w:sz w:val="21"/>
                <w:szCs w:val="21"/>
                <w14:textFill>
                  <w14:solidFill>
                    <w14:schemeClr w14:val="tx1"/>
                  </w14:solidFill>
                </w14:textFill>
              </w:rPr>
              <w:t>采购</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公园广场绿化管护</w:t>
            </w:r>
            <w:r>
              <w:rPr>
                <w:rFonts w:hint="eastAsia" w:ascii="微软雅黑" w:hAnsi="微软雅黑" w:eastAsia="微软雅黑" w:cs="微软雅黑"/>
                <w:color w:val="000000" w:themeColor="text1"/>
                <w:sz w:val="21"/>
                <w:szCs w:val="21"/>
                <w14:textFill>
                  <w14:solidFill>
                    <w14:schemeClr w14:val="tx1"/>
                  </w14:solidFill>
                </w14:textFill>
              </w:rPr>
              <w:t>单位</w:t>
            </w:r>
          </w:p>
        </w:tc>
        <w:tc>
          <w:tcPr>
            <w:tcW w:w="1662" w:type="dxa"/>
            <w:tcBorders>
              <w:top w:val="single" w:color="auto" w:sz="4" w:space="0"/>
              <w:left w:val="single" w:color="auto" w:sz="4" w:space="0"/>
              <w:right w:val="single" w:color="auto" w:sz="4" w:space="0"/>
            </w:tcBorders>
            <w:vAlign w:val="top"/>
          </w:tcPr>
          <w:p>
            <w:pPr>
              <w:widowControl/>
              <w:jc w:val="center"/>
              <w:rPr>
                <w:rFonts w:hint="eastAsia" w:ascii="方正仿宋_GBK" w:hAnsi="宋体" w:eastAsia="方正仿宋_GBK" w:cs="宋体"/>
                <w:kern w:val="0"/>
                <w:sz w:val="21"/>
                <w:szCs w:val="24"/>
                <w:lang w:val="en-US" w:eastAsia="zh-CN"/>
              </w:rPr>
            </w:pPr>
          </w:p>
          <w:p>
            <w:pPr>
              <w:widowControl/>
              <w:jc w:val="center"/>
              <w:rPr>
                <w:rFonts w:hint="default" w:ascii="方正仿宋_GBK" w:hAnsi="宋体" w:eastAsia="方正仿宋_GBK" w:cs="宋体"/>
                <w:kern w:val="0"/>
                <w:sz w:val="21"/>
                <w:szCs w:val="24"/>
                <w:lang w:val="en-US" w:eastAsia="zh-CN"/>
              </w:rPr>
            </w:pPr>
            <w:r>
              <w:rPr>
                <w:rFonts w:hint="default" w:ascii="方正仿宋_GBK" w:hAnsi="宋体" w:eastAsia="方正仿宋_GBK" w:cs="宋体"/>
                <w:kern w:val="0"/>
                <w:sz w:val="21"/>
                <w:szCs w:val="24"/>
                <w:lang w:val="en-US" w:eastAsia="zh-CN"/>
              </w:rPr>
              <w:t>67.2</w:t>
            </w:r>
          </w:p>
        </w:tc>
        <w:tc>
          <w:tcPr>
            <w:tcW w:w="993" w:type="dxa"/>
            <w:tcBorders>
              <w:top w:val="single" w:color="auto" w:sz="4" w:space="0"/>
              <w:left w:val="single" w:color="auto" w:sz="4" w:space="0"/>
              <w:right w:val="single" w:color="auto" w:sz="4" w:space="0"/>
            </w:tcBorders>
            <w:vAlign w:val="top"/>
          </w:tcPr>
          <w:p>
            <w:pPr>
              <w:widowControl/>
              <w:jc w:val="center"/>
              <w:rPr>
                <w:rFonts w:hint="eastAsia" w:ascii="方正仿宋_GBK" w:hAnsi="宋体" w:eastAsia="方正仿宋_GBK" w:cs="宋体"/>
                <w:kern w:val="0"/>
                <w:sz w:val="21"/>
                <w:szCs w:val="24"/>
              </w:rPr>
            </w:pPr>
          </w:p>
          <w:p>
            <w:pPr>
              <w:widowControl/>
              <w:jc w:val="center"/>
              <w:rPr>
                <w:rFonts w:hint="default" w:ascii="方正仿宋_GBK" w:hAnsi="宋体" w:eastAsia="方正仿宋_GBK" w:cs="宋体"/>
                <w:kern w:val="0"/>
                <w:sz w:val="21"/>
                <w:szCs w:val="24"/>
                <w:lang w:val="en-US" w:eastAsia="zh-CN"/>
              </w:rPr>
            </w:pPr>
            <w:r>
              <w:rPr>
                <w:rFonts w:hint="eastAsia" w:ascii="方正仿宋_GBK" w:hAnsi="宋体" w:eastAsia="方正仿宋_GBK" w:cs="宋体"/>
                <w:kern w:val="0"/>
                <w:sz w:val="21"/>
                <w:szCs w:val="24"/>
                <w:lang w:val="en-US" w:eastAsia="zh-CN"/>
              </w:rPr>
              <w:t>1.344</w:t>
            </w:r>
          </w:p>
        </w:tc>
        <w:tc>
          <w:tcPr>
            <w:tcW w:w="1267" w:type="dxa"/>
            <w:tcBorders>
              <w:top w:val="single" w:color="auto" w:sz="4" w:space="0"/>
              <w:left w:val="single" w:color="auto" w:sz="4" w:space="0"/>
              <w:right w:val="single" w:color="auto" w:sz="4" w:space="0"/>
            </w:tcBorders>
            <w:vAlign w:val="center"/>
          </w:tcPr>
          <w:p>
            <w:pPr>
              <w:widowControl/>
              <w:jc w:val="center"/>
              <w:rPr>
                <w:rFonts w:hint="eastAsia" w:ascii="方正仿宋_GBK" w:hAnsi="宋体" w:eastAsia="方正仿宋_GBK" w:cs="宋体"/>
                <w:kern w:val="0"/>
                <w:sz w:val="21"/>
                <w:szCs w:val="24"/>
                <w:lang w:val="en-US" w:eastAsia="zh-CN"/>
              </w:rPr>
            </w:pPr>
            <w:r>
              <w:rPr>
                <w:rFonts w:hint="eastAsia" w:ascii="方正仿宋_GBK" w:hAnsi="宋体" w:eastAsia="方正仿宋_GBK" w:cs="宋体"/>
                <w:kern w:val="0"/>
                <w:sz w:val="21"/>
                <w:szCs w:val="24"/>
                <w:lang w:val="en-US" w:eastAsia="zh-CN"/>
              </w:rPr>
              <w:t>1</w:t>
            </w:r>
          </w:p>
        </w:tc>
        <w:tc>
          <w:tcPr>
            <w:tcW w:w="2516" w:type="dxa"/>
            <w:tcBorders>
              <w:top w:val="single" w:color="auto" w:sz="4" w:space="0"/>
              <w:left w:val="single" w:color="auto" w:sz="4" w:space="0"/>
              <w:right w:val="single" w:color="auto" w:sz="4" w:space="0"/>
            </w:tcBorders>
            <w:vAlign w:val="center"/>
          </w:tcPr>
          <w:p>
            <w:pPr>
              <w:spacing w:beforeAutospacing="0" w:afterAutospacing="0" w:line="400" w:lineRule="exact"/>
              <w:rPr>
                <w:rFonts w:hint="eastAsia" w:ascii="方正仿宋_GBK" w:hAnsi="仿宋" w:eastAsia="方正仿宋_GBK"/>
                <w:sz w:val="24"/>
                <w:szCs w:val="24"/>
                <w:lang w:val="en-US" w:eastAsia="zh-CN"/>
              </w:rPr>
            </w:pPr>
            <w:r>
              <w:rPr>
                <w:rFonts w:hint="eastAsia" w:ascii="方正仿宋_GBK" w:hAnsi="仿宋" w:eastAsia="方正仿宋_GBK"/>
                <w:sz w:val="24"/>
                <w:szCs w:val="24"/>
                <w:lang w:eastAsia="zh-CN"/>
              </w:rPr>
              <w:t>市政园林绿化</w:t>
            </w:r>
          </w:p>
          <w:p>
            <w:pPr>
              <w:jc w:val="center"/>
              <w:rPr>
                <w:rFonts w:hint="eastAsia" w:ascii="方正仿宋_GBK" w:hAnsi="宋体" w:eastAsia="方正仿宋_GBK"/>
                <w:b/>
                <w:sz w:val="21"/>
                <w:szCs w:val="21"/>
                <w:lang w:val="en-US" w:eastAsia="zh-CN"/>
              </w:rPr>
            </w:pPr>
          </w:p>
        </w:tc>
      </w:tr>
    </w:tbl>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8" w:name="_Toc106030872"/>
      <w:bookmarkStart w:id="9" w:name="_Toc76462318"/>
      <w:bookmarkStart w:id="10" w:name="_Toc373860293"/>
      <w:r>
        <w:rPr>
          <w:rFonts w:hint="eastAsia" w:ascii="方正仿宋_GBK" w:hAnsi="宋体" w:eastAsia="方正仿宋_GBK"/>
          <w:sz w:val="24"/>
          <w:szCs w:val="24"/>
          <w:lang w:val="en-US" w:eastAsia="zh-CN"/>
        </w:rPr>
        <w:t>注：供应商可同时参加一个或多个分包的磋商，但须分别制作响应文件（有分包时）</w:t>
      </w:r>
    </w:p>
    <w:bookmarkEnd w:id="8"/>
    <w:bookmarkEnd w:id="9"/>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r>
        <w:rPr>
          <w:rFonts w:hint="eastAsia" w:ascii="方正仿宋_GBK" w:hAnsi="宋体" w:eastAsia="方正仿宋_GBK"/>
          <w:sz w:val="24"/>
        </w:rPr>
        <w:t>二、资金来源</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仿宋" w:eastAsia="方正仿宋_GBK"/>
          <w:sz w:val="24"/>
          <w:szCs w:val="24"/>
        </w:rPr>
        <w:t>财政预算资金，预算金额</w:t>
      </w:r>
      <w:r>
        <w:rPr>
          <w:rFonts w:hint="eastAsia" w:ascii="方正仿宋_GBK" w:hAnsi="仿宋" w:eastAsia="方正仿宋_GBK"/>
          <w:sz w:val="24"/>
          <w:szCs w:val="24"/>
          <w:lang w:eastAsia="zh-CN"/>
        </w:rPr>
        <w:t>为</w:t>
      </w:r>
      <w:r>
        <w:rPr>
          <w:rFonts w:hint="default" w:ascii="方正仿宋_GBK" w:hAnsi="宋体" w:eastAsia="方正仿宋_GBK" w:cs="宋体"/>
          <w:kern w:val="0"/>
          <w:sz w:val="21"/>
          <w:szCs w:val="24"/>
          <w:lang w:val="en-US" w:eastAsia="zh-CN"/>
        </w:rPr>
        <w:t>67.2</w:t>
      </w:r>
      <w:r>
        <w:rPr>
          <w:rFonts w:hint="eastAsia" w:ascii="方正仿宋_GBK" w:hAnsi="仿宋" w:eastAsia="方正仿宋_GBK"/>
          <w:sz w:val="24"/>
          <w:szCs w:val="24"/>
        </w:rPr>
        <w:t>万元</w:t>
      </w:r>
      <w:r>
        <w:rPr>
          <w:rFonts w:hint="eastAsia" w:ascii="方正仿宋_GBK" w:hAnsi="宋体" w:eastAsia="方正仿宋_GBK"/>
          <w:sz w:val="24"/>
          <w:szCs w:val="24"/>
        </w:rPr>
        <w:t>。</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11" w:name="_Toc76462319"/>
      <w:bookmarkEnd w:id="11"/>
      <w:bookmarkStart w:id="12" w:name="_Toc106030873"/>
      <w:bookmarkEnd w:id="12"/>
      <w:r>
        <w:rPr>
          <w:rFonts w:hint="eastAsia" w:ascii="方正仿宋_GBK" w:hAnsi="宋体" w:eastAsia="方正仿宋_GBK"/>
          <w:sz w:val="24"/>
        </w:rPr>
        <w:t>三、供应商资格条件</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（一）满足《中华人民共和国政府采购法》第二十二条规定；</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（二）落实政府采购政策需满足的资格要求：</w:t>
      </w:r>
      <w:r>
        <w:rPr>
          <w:rFonts w:hint="eastAsia" w:ascii="方正仿宋_GBK" w:hAnsi="宋体" w:eastAsia="方正仿宋_GBK"/>
          <w:sz w:val="24"/>
          <w:szCs w:val="24"/>
          <w:lang w:val="en-US" w:eastAsia="zh-CN"/>
        </w:rPr>
        <w:t>本项目</w:t>
      </w:r>
      <w:r>
        <w:rPr>
          <w:rFonts w:hint="eastAsia" w:ascii="方正仿宋_GBK" w:hAnsi="宋体" w:eastAsia="方正仿宋_GBK"/>
          <w:sz w:val="24"/>
          <w:szCs w:val="24"/>
        </w:rPr>
        <w:t>专门面向中小企业采购</w:t>
      </w:r>
      <w:r>
        <w:rPr>
          <w:rFonts w:hint="eastAsia" w:ascii="方正仿宋_GBK" w:hAnsi="宋体" w:eastAsia="方正仿宋_GBK"/>
          <w:sz w:val="24"/>
          <w:szCs w:val="24"/>
          <w:lang w:eastAsia="zh-CN"/>
        </w:rPr>
        <w:t>。</w:t>
      </w:r>
    </w:p>
    <w:p>
      <w:pPr>
        <w:numPr>
          <w:ilvl w:val="0"/>
          <w:numId w:val="0"/>
        </w:num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三</w:t>
      </w:r>
      <w:r>
        <w:rPr>
          <w:rFonts w:hint="eastAsia" w:ascii="方正仿宋_GBK" w:hAnsi="宋体" w:eastAsia="方正仿宋_GBK"/>
          <w:sz w:val="24"/>
          <w:szCs w:val="24"/>
          <w:lang w:eastAsia="zh-CN"/>
        </w:rPr>
        <w:t>）</w:t>
      </w:r>
      <w:r>
        <w:rPr>
          <w:rFonts w:hint="eastAsia" w:ascii="方正仿宋_GBK" w:hAnsi="宋体" w:eastAsia="方正仿宋_GBK"/>
          <w:sz w:val="24"/>
          <w:szCs w:val="24"/>
        </w:rPr>
        <w:t>本项目的特定资格要求：</w:t>
      </w:r>
      <w:r>
        <w:rPr>
          <w:rFonts w:hint="eastAsia" w:ascii="方正仿宋_GBK" w:hAnsi="宋体" w:eastAsia="方正仿宋_GBK"/>
          <w:sz w:val="24"/>
          <w:szCs w:val="24"/>
          <w:lang w:val="en-US" w:eastAsia="zh-CN"/>
        </w:rPr>
        <w:t>已按规定缴纳保证金的证明材料。</w:t>
      </w:r>
    </w:p>
    <w:bookmarkEnd w:id="10"/>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13" w:name="_Toc76462320"/>
      <w:bookmarkEnd w:id="13"/>
      <w:bookmarkStart w:id="14" w:name="_Toc106030874"/>
      <w:bookmarkEnd w:id="14"/>
      <w:r>
        <w:rPr>
          <w:rFonts w:hint="eastAsia" w:ascii="方正仿宋_GBK" w:hAnsi="宋体" w:eastAsia="方正仿宋_GBK"/>
          <w:sz w:val="24"/>
        </w:rPr>
        <w:t>四、磋商有关说明</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（一）供应商应通过重庆市政府采购网（</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HYPERLINK "http://www.cqgp.gov.cn" </w:instrText>
      </w:r>
      <w:r>
        <w:rPr>
          <w:rFonts w:hint="eastAsia" w:ascii="方正仿宋_GBK" w:hAnsi="宋体" w:eastAsia="方正仿宋_GBK"/>
          <w:sz w:val="24"/>
          <w:szCs w:val="24"/>
        </w:rPr>
        <w:fldChar w:fldCharType="separate"/>
      </w:r>
      <w:r>
        <w:rPr>
          <w:rStyle w:val="17"/>
          <w:rFonts w:hint="eastAsia" w:ascii="方正仿宋_GBK" w:hAnsi="宋体" w:eastAsia="方正仿宋_GBK"/>
          <w:color w:val="auto"/>
          <w:szCs w:val="24"/>
        </w:rPr>
        <w:t>www.ccgp-chongqing.gov.cn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）登记加入“重庆市政府采购供应商库”。</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（二）凡有意参加磋商的供应商，请在重庆市政府采购网上下载本项目竞争性磋商文件以及图纸、</w:t>
      </w:r>
      <w:r>
        <w:rPr>
          <w:rFonts w:hint="eastAsia" w:ascii="方正仿宋_GBK" w:hAnsi="宋体" w:eastAsia="方正仿宋_GBK"/>
          <w:sz w:val="24"/>
          <w:szCs w:val="24"/>
          <w:lang w:val="en-US" w:eastAsia="zh-CN"/>
        </w:rPr>
        <w:t>附件、补遗、</w:t>
      </w:r>
      <w:r>
        <w:rPr>
          <w:rFonts w:hint="eastAsia" w:ascii="方正仿宋_GBK" w:hAnsi="宋体" w:eastAsia="方正仿宋_GBK"/>
          <w:sz w:val="24"/>
          <w:szCs w:val="24"/>
        </w:rPr>
        <w:t>澄清等磋商前公布的所有项目资料，无论供应商下载与否，均视为已知晓所有磋商实质性要求内容。</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（三）竞争性磋商公告期限：自采购公告发布之日起</w:t>
      </w:r>
      <w:r>
        <w:rPr>
          <w:rFonts w:hint="eastAsia" w:ascii="方正仿宋_GBK" w:hAnsi="宋体" w:eastAsia="方正仿宋_GBK"/>
          <w:sz w:val="24"/>
          <w:szCs w:val="24"/>
          <w:lang w:val="en-US" w:eastAsia="zh-CN"/>
        </w:rPr>
        <w:t>五</w:t>
      </w:r>
      <w:r>
        <w:rPr>
          <w:rFonts w:hint="eastAsia" w:ascii="方正仿宋_GBK" w:hAnsi="宋体" w:eastAsia="方正仿宋_GBK"/>
          <w:sz w:val="24"/>
          <w:szCs w:val="24"/>
        </w:rPr>
        <w:t>个工作日。</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（四）竞争性磋商文件发售期限： </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1.竞争性磋商文件发售期：</w:t>
      </w:r>
      <w:r>
        <w:rPr>
          <w:rFonts w:hint="eastAsia" w:ascii="方正仿宋_GBK" w:hAnsi="宋体" w:eastAsia="方正仿宋_GBK"/>
          <w:color w:val="FF0000"/>
          <w:sz w:val="24"/>
          <w:szCs w:val="24"/>
          <w:lang w:val="en-US" w:eastAsia="zh-CN"/>
        </w:rPr>
        <w:t>2022</w:t>
      </w:r>
      <w:r>
        <w:rPr>
          <w:rFonts w:hint="eastAsia" w:ascii="方正仿宋_GBK" w:hAnsi="宋体" w:eastAsia="方正仿宋_GBK"/>
          <w:color w:val="FF0000"/>
          <w:sz w:val="24"/>
          <w:szCs w:val="24"/>
        </w:rPr>
        <w:t>年</w:t>
      </w:r>
      <w:r>
        <w:rPr>
          <w:rFonts w:hint="eastAsia" w:ascii="方正仿宋_GBK" w:hAnsi="宋体" w:eastAsia="方正仿宋_GBK"/>
          <w:color w:val="FF0000"/>
          <w:sz w:val="24"/>
          <w:szCs w:val="24"/>
          <w:lang w:val="en-US" w:eastAsia="zh-CN"/>
        </w:rPr>
        <w:t>12</w:t>
      </w:r>
      <w:r>
        <w:rPr>
          <w:rFonts w:hint="eastAsia" w:ascii="方正仿宋_GBK" w:hAnsi="宋体" w:eastAsia="方正仿宋_GBK"/>
          <w:color w:val="FF0000"/>
          <w:sz w:val="24"/>
          <w:szCs w:val="24"/>
        </w:rPr>
        <w:t>月</w:t>
      </w:r>
      <w:r>
        <w:rPr>
          <w:rFonts w:hint="eastAsia" w:ascii="方正仿宋_GBK" w:hAnsi="宋体" w:eastAsia="方正仿宋_GBK"/>
          <w:color w:val="FF0000"/>
          <w:sz w:val="24"/>
          <w:szCs w:val="24"/>
          <w:lang w:val="en-US" w:eastAsia="zh-CN"/>
        </w:rPr>
        <w:t>28</w:t>
      </w:r>
      <w:r>
        <w:rPr>
          <w:rFonts w:hint="eastAsia" w:ascii="方正仿宋_GBK" w:hAnsi="宋体" w:eastAsia="方正仿宋_GBK"/>
          <w:sz w:val="24"/>
          <w:szCs w:val="24"/>
        </w:rPr>
        <w:t>日</w:t>
      </w:r>
      <w:r>
        <w:rPr>
          <w:rFonts w:hint="eastAsia" w:ascii="方正仿宋_GBK" w:hAnsi="宋体" w:eastAsia="方正仿宋_GBK"/>
          <w:sz w:val="24"/>
          <w:szCs w:val="24"/>
          <w:lang w:val="en-US" w:eastAsia="zh-CN"/>
        </w:rPr>
        <w:t>起五个工作日</w:t>
      </w:r>
      <w:r>
        <w:rPr>
          <w:rFonts w:hint="eastAsia" w:ascii="方正仿宋_GBK" w:hAnsi="宋体" w:eastAsia="方正仿宋_GBK"/>
          <w:sz w:val="24"/>
          <w:szCs w:val="24"/>
        </w:rPr>
        <w:t>。</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2.报名方式：</w:t>
      </w:r>
      <w:r>
        <w:rPr>
          <w:rFonts w:hint="eastAsia" w:ascii="方正仿宋_GBK" w:hAnsi="宋体" w:eastAsia="方正仿宋_GBK"/>
          <w:sz w:val="24"/>
          <w:szCs w:val="24"/>
          <w:lang w:val="en-US" w:eastAsia="zh-CN"/>
        </w:rPr>
        <w:t>本项目无须报名。</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3.竞争性磋商文件售价：人民币</w:t>
      </w:r>
      <w:r>
        <w:rPr>
          <w:rFonts w:hint="eastAsia" w:ascii="方正仿宋_GBK" w:hAnsi="宋体" w:eastAsia="方正仿宋_GBK"/>
          <w:sz w:val="24"/>
          <w:szCs w:val="24"/>
          <w:lang w:val="en-US" w:eastAsia="zh-CN"/>
        </w:rPr>
        <w:t>0</w:t>
      </w:r>
      <w:r>
        <w:rPr>
          <w:rFonts w:hint="eastAsia" w:ascii="方正仿宋_GBK" w:hAnsi="宋体" w:eastAsia="方正仿宋_GBK"/>
          <w:sz w:val="24"/>
          <w:szCs w:val="24"/>
        </w:rPr>
        <w:t>元/包。</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（五）递交响应文件地点：</w:t>
      </w:r>
      <w:r>
        <w:rPr>
          <w:rFonts w:hint="eastAsia" w:ascii="方正仿宋_GBK" w:hAnsi="宋体" w:eastAsia="方正仿宋_GBK"/>
          <w:color w:val="000000"/>
          <w:sz w:val="24"/>
          <w:szCs w:val="24"/>
        </w:rPr>
        <w:t>重庆市沙坪坝区公共资源交易中心</w:t>
      </w:r>
      <w:r>
        <w:rPr>
          <w:rFonts w:hint="eastAsia" w:ascii="方正仿宋_GBK" w:hAnsi="宋体" w:eastAsia="方正仿宋_GBK"/>
          <w:color w:val="000000"/>
          <w:sz w:val="24"/>
          <w:szCs w:val="24"/>
          <w:lang w:eastAsia="zh-CN"/>
        </w:rPr>
        <w:t>（</w:t>
      </w:r>
      <w:r>
        <w:rPr>
          <w:rFonts w:hint="eastAsia" w:ascii="方正仿宋_GBK" w:hAnsi="宋体" w:eastAsia="方正仿宋_GBK"/>
          <w:color w:val="000000"/>
          <w:sz w:val="24"/>
          <w:szCs w:val="24"/>
        </w:rPr>
        <w:t>重庆市沙坪坝区沙中路</w:t>
      </w:r>
      <w:r>
        <w:rPr>
          <w:rFonts w:hint="eastAsia" w:ascii="方正仿宋_GBK" w:hAnsi="宋体" w:eastAsia="方正仿宋_GBK"/>
          <w:color w:val="000000"/>
          <w:sz w:val="24"/>
          <w:szCs w:val="24"/>
          <w:lang w:val="en-US" w:eastAsia="zh-CN"/>
        </w:rPr>
        <w:t>6</w:t>
      </w:r>
      <w:r>
        <w:rPr>
          <w:rFonts w:hint="eastAsia" w:ascii="方正仿宋_GBK" w:hAnsi="宋体" w:eastAsia="方正仿宋_GBK"/>
          <w:color w:val="000000"/>
          <w:sz w:val="24"/>
          <w:szCs w:val="24"/>
        </w:rPr>
        <w:t>号</w:t>
      </w:r>
      <w:r>
        <w:rPr>
          <w:rFonts w:hint="eastAsia" w:ascii="方正仿宋_GBK" w:hAnsi="宋体" w:eastAsia="方正仿宋_GBK"/>
          <w:color w:val="000000"/>
          <w:sz w:val="24"/>
          <w:szCs w:val="24"/>
          <w:lang w:eastAsia="zh-CN"/>
        </w:rPr>
        <w:t>附</w:t>
      </w:r>
      <w:r>
        <w:rPr>
          <w:rFonts w:hint="eastAsia" w:ascii="方正仿宋_GBK" w:hAnsi="宋体" w:eastAsia="方正仿宋_GBK"/>
          <w:color w:val="000000"/>
          <w:sz w:val="24"/>
          <w:szCs w:val="24"/>
          <w:lang w:val="en-US" w:eastAsia="zh-CN"/>
        </w:rPr>
        <w:t>6号）</w:t>
      </w:r>
      <w:r>
        <w:rPr>
          <w:rFonts w:hint="eastAsia" w:ascii="方正仿宋_GBK" w:hAnsi="宋体" w:eastAsia="方正仿宋_GBK"/>
          <w:color w:val="000000"/>
          <w:sz w:val="24"/>
          <w:szCs w:val="24"/>
        </w:rPr>
        <w:t>。</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（六）响应文件递交截止时间：</w:t>
      </w:r>
      <w:r>
        <w:rPr>
          <w:rFonts w:hint="eastAsia" w:ascii="方正仿宋_GBK" w:hAnsi="宋体" w:eastAsia="方正仿宋_GBK"/>
          <w:color w:val="FF0000"/>
          <w:sz w:val="24"/>
          <w:szCs w:val="24"/>
        </w:rPr>
        <w:t>202</w:t>
      </w:r>
      <w:r>
        <w:rPr>
          <w:rFonts w:hint="eastAsia" w:ascii="方正仿宋_GBK" w:hAnsi="宋体" w:eastAsia="方正仿宋_GBK"/>
          <w:color w:val="FF0000"/>
          <w:sz w:val="24"/>
          <w:szCs w:val="24"/>
          <w:lang w:val="en-US" w:eastAsia="zh-CN"/>
        </w:rPr>
        <w:t>3</w:t>
      </w:r>
      <w:r>
        <w:rPr>
          <w:rFonts w:hint="eastAsia" w:ascii="方正仿宋_GBK" w:hAnsi="宋体" w:eastAsia="方正仿宋_GBK"/>
          <w:color w:val="FF0000"/>
          <w:sz w:val="24"/>
          <w:szCs w:val="24"/>
        </w:rPr>
        <w:t>年</w:t>
      </w:r>
      <w:r>
        <w:rPr>
          <w:rFonts w:hint="eastAsia" w:ascii="方正仿宋_GBK" w:hAnsi="宋体" w:eastAsia="方正仿宋_GBK"/>
          <w:color w:val="FF0000"/>
          <w:sz w:val="24"/>
          <w:szCs w:val="24"/>
          <w:lang w:val="en-US" w:eastAsia="zh-CN"/>
        </w:rPr>
        <w:t>1</w:t>
      </w:r>
      <w:r>
        <w:rPr>
          <w:rFonts w:hint="eastAsia" w:ascii="方正仿宋_GBK" w:hAnsi="宋体" w:eastAsia="方正仿宋_GBK"/>
          <w:color w:val="FF0000"/>
          <w:sz w:val="24"/>
          <w:szCs w:val="24"/>
        </w:rPr>
        <w:t>月</w:t>
      </w:r>
      <w:r>
        <w:rPr>
          <w:rFonts w:hint="eastAsia" w:ascii="方正仿宋_GBK" w:hAnsi="宋体" w:eastAsia="方正仿宋_GBK"/>
          <w:color w:val="FF0000"/>
          <w:sz w:val="24"/>
          <w:szCs w:val="24"/>
          <w:lang w:val="en-US" w:eastAsia="zh-CN"/>
        </w:rPr>
        <w:t>10</w:t>
      </w:r>
      <w:r>
        <w:rPr>
          <w:rFonts w:hint="eastAsia" w:ascii="方正仿宋_GBK" w:hAnsi="宋体" w:eastAsia="方正仿宋_GBK"/>
          <w:sz w:val="24"/>
          <w:szCs w:val="24"/>
        </w:rPr>
        <w:t>日北京时间</w:t>
      </w:r>
      <w:r>
        <w:rPr>
          <w:rFonts w:hint="eastAsia" w:ascii="方正仿宋_GBK" w:hAnsi="宋体" w:eastAsia="方正仿宋_GBK"/>
          <w:sz w:val="24"/>
          <w:szCs w:val="24"/>
          <w:lang w:val="en-US" w:eastAsia="zh-CN"/>
        </w:rPr>
        <w:t>10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00</w:t>
      </w:r>
      <w:r>
        <w:rPr>
          <w:rFonts w:hint="eastAsia" w:ascii="方正仿宋_GBK" w:hAnsi="宋体" w:eastAsia="方正仿宋_GBK"/>
          <w:sz w:val="24"/>
          <w:szCs w:val="24"/>
        </w:rPr>
        <w:t>（以本项目开标室门口</w:t>
      </w:r>
      <w:r>
        <w:rPr>
          <w:rFonts w:hint="eastAsia" w:ascii="方正仿宋_GBK" w:hAnsi="宋体" w:eastAsia="方正仿宋_GBK"/>
          <w:sz w:val="24"/>
          <w:szCs w:val="24"/>
          <w:lang w:val="en-US" w:eastAsia="zh-CN"/>
        </w:rPr>
        <w:t>显示屏</w:t>
      </w:r>
      <w:r>
        <w:rPr>
          <w:rFonts w:hint="eastAsia" w:ascii="方正仿宋_GBK" w:hAnsi="宋体" w:eastAsia="方正仿宋_GBK"/>
          <w:sz w:val="24"/>
          <w:szCs w:val="24"/>
        </w:rPr>
        <w:t>时间为准）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（七）磋商开始时间：202</w:t>
      </w:r>
      <w:r>
        <w:rPr>
          <w:rFonts w:hint="eastAsia" w:ascii="方正仿宋_GBK" w:hAnsi="宋体" w:eastAsia="方正仿宋_GBK"/>
          <w:sz w:val="24"/>
          <w:szCs w:val="24"/>
          <w:lang w:val="en-US" w:eastAsia="zh-CN"/>
        </w:rPr>
        <w:t>3</w:t>
      </w:r>
      <w:r>
        <w:rPr>
          <w:rFonts w:hint="eastAsia" w:ascii="方正仿宋_GBK" w:hAnsi="宋体" w:eastAsia="方正仿宋_GBK"/>
          <w:sz w:val="24"/>
          <w:szCs w:val="24"/>
        </w:rPr>
        <w:t>年</w:t>
      </w:r>
      <w:r>
        <w:rPr>
          <w:rFonts w:hint="eastAsia" w:ascii="方正仿宋_GBK" w:hAnsi="宋体" w:eastAsia="方正仿宋_GBK"/>
          <w:color w:val="FF0000"/>
          <w:sz w:val="24"/>
          <w:szCs w:val="24"/>
          <w:lang w:val="en-US" w:eastAsia="zh-CN"/>
        </w:rPr>
        <w:t>1</w:t>
      </w:r>
      <w:r>
        <w:rPr>
          <w:rFonts w:hint="eastAsia" w:ascii="方正仿宋_GBK" w:hAnsi="宋体" w:eastAsia="方正仿宋_GBK"/>
          <w:color w:val="FF0000"/>
          <w:sz w:val="24"/>
          <w:szCs w:val="24"/>
        </w:rPr>
        <w:t>月</w:t>
      </w:r>
      <w:r>
        <w:rPr>
          <w:rFonts w:hint="eastAsia" w:ascii="方正仿宋_GBK" w:hAnsi="宋体" w:eastAsia="方正仿宋_GBK"/>
          <w:color w:val="FF0000"/>
          <w:sz w:val="24"/>
          <w:szCs w:val="24"/>
          <w:lang w:val="en-US" w:eastAsia="zh-CN"/>
        </w:rPr>
        <w:t>10</w:t>
      </w:r>
      <w:r>
        <w:rPr>
          <w:rFonts w:hint="eastAsia" w:ascii="方正仿宋_GBK" w:hAnsi="宋体" w:eastAsia="方正仿宋_GBK"/>
          <w:sz w:val="24"/>
          <w:szCs w:val="24"/>
        </w:rPr>
        <w:t>日北京时间</w:t>
      </w:r>
      <w:r>
        <w:rPr>
          <w:rFonts w:hint="eastAsia" w:ascii="方正仿宋_GBK" w:hAnsi="宋体" w:eastAsia="方正仿宋_GBK"/>
          <w:sz w:val="24"/>
          <w:szCs w:val="24"/>
          <w:lang w:val="en-US" w:eastAsia="zh-CN"/>
        </w:rPr>
        <w:t>10</w:t>
      </w:r>
      <w:r>
        <w:rPr>
          <w:rFonts w:hint="eastAsia" w:ascii="方正仿宋_GBK" w:hAnsi="宋体" w:eastAsia="方正仿宋_GBK"/>
          <w:sz w:val="24"/>
          <w:szCs w:val="24"/>
        </w:rPr>
        <w:t>:</w:t>
      </w:r>
      <w:r>
        <w:rPr>
          <w:rFonts w:hint="eastAsia" w:ascii="方正仿宋_GBK" w:hAnsi="宋体" w:eastAsia="方正仿宋_GBK"/>
          <w:sz w:val="24"/>
          <w:szCs w:val="24"/>
          <w:lang w:val="en-US" w:eastAsia="zh-CN"/>
        </w:rPr>
        <w:t>00</w:t>
      </w:r>
      <w:r>
        <w:rPr>
          <w:rFonts w:hint="eastAsia" w:ascii="方正仿宋_GBK" w:hAnsi="宋体" w:eastAsia="方正仿宋_GBK"/>
          <w:sz w:val="24"/>
          <w:szCs w:val="24"/>
        </w:rPr>
        <w:t>（以本项目开标室门口</w:t>
      </w:r>
      <w:r>
        <w:rPr>
          <w:rFonts w:hint="eastAsia" w:ascii="方正仿宋_GBK" w:hAnsi="宋体" w:eastAsia="方正仿宋_GBK"/>
          <w:sz w:val="24"/>
          <w:szCs w:val="24"/>
          <w:lang w:val="en-US" w:eastAsia="zh-CN"/>
        </w:rPr>
        <w:t>显示屏</w:t>
      </w:r>
      <w:r>
        <w:rPr>
          <w:rFonts w:hint="eastAsia" w:ascii="方正仿宋_GBK" w:hAnsi="宋体" w:eastAsia="方正仿宋_GBK"/>
          <w:sz w:val="24"/>
          <w:szCs w:val="24"/>
        </w:rPr>
        <w:t>时间为准）</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15" w:name="_Toc106034774"/>
      <w:bookmarkEnd w:id="15"/>
      <w:bookmarkStart w:id="16" w:name="_Toc525047161"/>
      <w:bookmarkEnd w:id="16"/>
      <w:bookmarkStart w:id="17" w:name="_Toc521053053"/>
      <w:bookmarkEnd w:id="17"/>
      <w:bookmarkStart w:id="18" w:name="_Toc11956"/>
      <w:bookmarkEnd w:id="18"/>
      <w:bookmarkStart w:id="19" w:name="_Toc4638"/>
      <w:bookmarkEnd w:id="19"/>
      <w:bookmarkStart w:id="20" w:name="_Toc6178"/>
      <w:bookmarkEnd w:id="20"/>
      <w:bookmarkStart w:id="21" w:name="_Toc65660334"/>
      <w:bookmarkEnd w:id="21"/>
      <w:bookmarkStart w:id="22" w:name="_Toc76462321"/>
      <w:bookmarkStart w:id="23" w:name="_Toc480466698"/>
      <w:bookmarkStart w:id="24" w:name="_Toc479668114"/>
      <w:bookmarkStart w:id="25" w:name="_Toc106030875"/>
      <w:r>
        <w:rPr>
          <w:rFonts w:hint="eastAsia" w:ascii="方正仿宋_GBK" w:hAnsi="宋体" w:eastAsia="方正仿宋_GBK"/>
          <w:sz w:val="24"/>
        </w:rPr>
        <w:t>五、保证金</w:t>
      </w:r>
    </w:p>
    <w:p>
      <w:pPr>
        <w:snapToGrid w:val="0"/>
        <w:spacing w:beforeAutospacing="0" w:afterAutospacing="0"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（一）缴纳保证金方式</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default" w:ascii="方正仿宋_GBK" w:hAnsi="宋体" w:eastAsia="方正仿宋_GBK"/>
          <w:sz w:val="24"/>
          <w:szCs w:val="24"/>
        </w:rPr>
        <w:t>方式1：转账（若</w:t>
      </w:r>
      <w:r>
        <w:rPr>
          <w:rFonts w:hint="eastAsia" w:ascii="方正仿宋_GBK" w:hAnsi="宋体" w:eastAsia="方正仿宋_GBK"/>
          <w:sz w:val="24"/>
          <w:szCs w:val="24"/>
          <w:lang w:val="en-US" w:eastAsia="zh-CN"/>
        </w:rPr>
        <w:t>供应商</w:t>
      </w:r>
      <w:r>
        <w:rPr>
          <w:rFonts w:hint="default" w:ascii="方正仿宋_GBK" w:hAnsi="宋体" w:eastAsia="方正仿宋_GBK"/>
          <w:sz w:val="24"/>
          <w:szCs w:val="24"/>
        </w:rPr>
        <w:t>选择此方式，须执行本规定）</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1.1供应商</w:t>
      </w:r>
      <w:r>
        <w:rPr>
          <w:rFonts w:hint="default" w:ascii="方正仿宋_GBK" w:hAnsi="宋体" w:eastAsia="方正仿宋_GBK"/>
          <w:sz w:val="24"/>
          <w:szCs w:val="24"/>
        </w:rPr>
        <w:t>必须于</w:t>
      </w:r>
      <w:r>
        <w:rPr>
          <w:rFonts w:hint="eastAsia" w:ascii="方正仿宋_GBK" w:hAnsi="宋体" w:eastAsia="方正仿宋_GBK"/>
          <w:sz w:val="24"/>
          <w:szCs w:val="24"/>
          <w:lang w:val="en-US" w:eastAsia="zh-CN"/>
        </w:rPr>
        <w:t>2023</w:t>
      </w:r>
      <w:r>
        <w:rPr>
          <w:rFonts w:hint="default" w:ascii="方正仿宋_GBK" w:hAnsi="宋体" w:eastAsia="方正仿宋_GBK"/>
          <w:sz w:val="24"/>
          <w:szCs w:val="24"/>
        </w:rPr>
        <w:t>年</w:t>
      </w:r>
      <w:r>
        <w:rPr>
          <w:rFonts w:hint="eastAsia" w:ascii="方正仿宋_GBK" w:hAnsi="宋体" w:eastAsia="方正仿宋_GBK"/>
          <w:color w:val="0000FF"/>
          <w:sz w:val="24"/>
          <w:szCs w:val="24"/>
          <w:lang w:val="en-US" w:eastAsia="zh-CN"/>
        </w:rPr>
        <w:t>1</w:t>
      </w:r>
      <w:r>
        <w:rPr>
          <w:rFonts w:hint="default" w:ascii="方正仿宋_GBK" w:hAnsi="宋体" w:eastAsia="方正仿宋_GBK"/>
          <w:color w:val="0000FF"/>
          <w:sz w:val="24"/>
          <w:szCs w:val="24"/>
        </w:rPr>
        <w:t>月</w:t>
      </w:r>
      <w:r>
        <w:rPr>
          <w:rFonts w:hint="eastAsia" w:ascii="方正仿宋_GBK" w:hAnsi="宋体" w:eastAsia="方正仿宋_GBK"/>
          <w:color w:val="0000FF"/>
          <w:sz w:val="24"/>
          <w:szCs w:val="24"/>
          <w:lang w:val="en-US" w:eastAsia="zh-CN"/>
        </w:rPr>
        <w:t>9</w:t>
      </w:r>
      <w:r>
        <w:rPr>
          <w:rFonts w:hint="default" w:ascii="方正仿宋_GBK" w:hAnsi="宋体" w:eastAsia="方正仿宋_GBK"/>
          <w:sz w:val="24"/>
          <w:szCs w:val="24"/>
        </w:rPr>
        <w:t>日北京时间17:00′00″前将投标保证金</w:t>
      </w:r>
      <w:r>
        <w:rPr>
          <w:rFonts w:hint="eastAsia" w:ascii="方正仿宋_GBK" w:hAnsi="宋体" w:eastAsia="方正仿宋_GBK"/>
          <w:sz w:val="24"/>
          <w:szCs w:val="24"/>
          <w:lang w:val="en-US" w:eastAsia="zh-CN"/>
        </w:rPr>
        <w:t>以非现金形式</w:t>
      </w:r>
      <w:r>
        <w:rPr>
          <w:rFonts w:hint="default" w:ascii="方正仿宋_GBK" w:hAnsi="宋体" w:eastAsia="方正仿宋_GBK"/>
          <w:sz w:val="24"/>
          <w:szCs w:val="24"/>
        </w:rPr>
        <w:t>从本单位账户转入重庆市沙坪坝区公共资源交易中心指定的保证金账户。</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1.2</w:t>
      </w:r>
      <w:r>
        <w:rPr>
          <w:rFonts w:hint="default" w:ascii="方正仿宋_GBK" w:hAnsi="宋体" w:eastAsia="方正仿宋_GBK"/>
          <w:sz w:val="24"/>
          <w:szCs w:val="24"/>
        </w:rPr>
        <w:t>保证金应按</w:t>
      </w:r>
      <w:r>
        <w:rPr>
          <w:rFonts w:hint="eastAsia" w:ascii="方正仿宋_GBK" w:hAnsi="宋体" w:eastAsia="方正仿宋_GBK"/>
          <w:sz w:val="24"/>
          <w:szCs w:val="24"/>
          <w:lang w:val="en-US" w:eastAsia="zh-CN"/>
        </w:rPr>
        <w:t>招标文件</w:t>
      </w:r>
      <w:r>
        <w:rPr>
          <w:rFonts w:hint="default" w:ascii="方正仿宋_GBK" w:hAnsi="宋体" w:eastAsia="方正仿宋_GBK"/>
          <w:sz w:val="24"/>
          <w:szCs w:val="24"/>
        </w:rPr>
        <w:t>规定的方式和金额缴纳;有分包的应按各分包对应的缴纳保证金专户信息（由母账号及子账号组成）缴纳;供应商应按本次采购项目公告提供的专户信息（由母账号及子账号组成）及保证金金额一次性足额缴纳保证金,否则将认定为无效</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default" w:ascii="方正仿宋_GBK" w:hAnsi="宋体" w:eastAsia="方正仿宋_GBK"/>
          <w:sz w:val="24"/>
          <w:szCs w:val="24"/>
        </w:rPr>
        <w:t>注：投标人须自行考虑转账时间风险，因银行等原因造成的保证金到账确认时间延迟，</w:t>
      </w:r>
      <w:r>
        <w:rPr>
          <w:rFonts w:hint="eastAsia" w:ascii="方正仿宋_GBK" w:hAnsi="宋体" w:eastAsia="方正仿宋_GBK"/>
          <w:sz w:val="24"/>
          <w:szCs w:val="24"/>
          <w:lang w:val="en-US" w:eastAsia="zh-CN"/>
        </w:rPr>
        <w:t>重庆市</w:t>
      </w:r>
      <w:r>
        <w:rPr>
          <w:rFonts w:hint="default" w:ascii="方正仿宋_GBK" w:hAnsi="宋体" w:eastAsia="方正仿宋_GBK"/>
          <w:sz w:val="24"/>
          <w:szCs w:val="24"/>
        </w:rPr>
        <w:t>沙坪坝区公共资源交易中心不承担任何责任。</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1.3</w:t>
      </w:r>
      <w:r>
        <w:rPr>
          <w:rFonts w:hint="default" w:ascii="方正仿宋_GBK" w:hAnsi="宋体" w:eastAsia="方正仿宋_GBK"/>
          <w:sz w:val="24"/>
          <w:szCs w:val="24"/>
        </w:rPr>
        <w:t>保证金退还方式</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1.3.1</w:t>
      </w:r>
      <w:r>
        <w:rPr>
          <w:rFonts w:hint="default" w:ascii="方正仿宋_GBK" w:hAnsi="宋体" w:eastAsia="方正仿宋_GBK"/>
          <w:sz w:val="24"/>
          <w:szCs w:val="24"/>
        </w:rPr>
        <w:t>《成交通知书》发出后无息退还未成交供应商的保证金，在采购合同签订后无息退还成交供应商的保证金。</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default" w:ascii="方正仿宋_GBK" w:hAnsi="宋体" w:eastAsia="方正仿宋_GBK"/>
          <w:sz w:val="24"/>
          <w:szCs w:val="24"/>
        </w:rPr>
        <w:t>方式2：电子投标保函（若供应商选择此方式，须执行本规定）</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2.1</w:t>
      </w:r>
      <w:r>
        <w:rPr>
          <w:rFonts w:hint="default" w:ascii="方正仿宋_GBK" w:hAnsi="宋体" w:eastAsia="方正仿宋_GBK"/>
          <w:sz w:val="24"/>
          <w:szCs w:val="24"/>
        </w:rPr>
        <w:t>电子投标保函交纳形式及要求</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供应商</w:t>
      </w:r>
      <w:r>
        <w:rPr>
          <w:rFonts w:hint="default" w:ascii="方正仿宋_GBK" w:hAnsi="宋体" w:eastAsia="方正仿宋_GBK"/>
          <w:sz w:val="24"/>
          <w:szCs w:val="24"/>
        </w:rPr>
        <w:t>在</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文件递交截止时间前通过金融服务支撑平台向金融机构申请开具电子投标保函，电子投标保函应至少体现如下内容：</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2.1.1</w:t>
      </w:r>
      <w:r>
        <w:rPr>
          <w:rFonts w:hint="default" w:ascii="方正仿宋_GBK" w:hAnsi="宋体" w:eastAsia="方正仿宋_GBK"/>
          <w:sz w:val="24"/>
          <w:szCs w:val="24"/>
        </w:rPr>
        <w:t>担保项目必须为本项目。</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2.1.2</w:t>
      </w:r>
      <w:r>
        <w:rPr>
          <w:rFonts w:hint="default" w:ascii="方正仿宋_GBK" w:hAnsi="宋体" w:eastAsia="方正仿宋_GBK"/>
          <w:sz w:val="24"/>
          <w:szCs w:val="24"/>
        </w:rPr>
        <w:t>受益人必须为本项目采购人。</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2.1.3</w:t>
      </w:r>
      <w:r>
        <w:rPr>
          <w:rFonts w:hint="default" w:ascii="方正仿宋_GBK" w:hAnsi="宋体" w:eastAsia="方正仿宋_GBK"/>
          <w:sz w:val="24"/>
          <w:szCs w:val="24"/>
        </w:rPr>
        <w:t>保函担保金额必须满足本项目</w:t>
      </w:r>
      <w:r>
        <w:rPr>
          <w:rFonts w:hint="eastAsia" w:ascii="方正仿宋_GBK" w:hAnsi="宋体" w:eastAsia="方正仿宋_GBK"/>
          <w:sz w:val="24"/>
          <w:szCs w:val="24"/>
          <w:lang w:val="en-US" w:eastAsia="zh-CN"/>
        </w:rPr>
        <w:t>招标</w:t>
      </w:r>
      <w:r>
        <w:rPr>
          <w:rFonts w:hint="default" w:ascii="方正仿宋_GBK" w:hAnsi="宋体" w:eastAsia="方正仿宋_GBK"/>
          <w:sz w:val="24"/>
          <w:szCs w:val="24"/>
        </w:rPr>
        <w:t>文件要求：详见本篇“</w:t>
      </w:r>
      <w:r>
        <w:rPr>
          <w:rFonts w:hint="eastAsia" w:ascii="方正仿宋_GBK" w:hAnsi="宋体" w:eastAsia="方正仿宋_GBK"/>
          <w:sz w:val="24"/>
          <w:szCs w:val="24"/>
          <w:lang w:val="en-US" w:eastAsia="zh-CN"/>
        </w:rPr>
        <w:t>一</w:t>
      </w:r>
      <w:r>
        <w:rPr>
          <w:rFonts w:hint="default" w:ascii="方正仿宋_GBK" w:hAnsi="宋体" w:eastAsia="方正仿宋_GBK"/>
          <w:sz w:val="24"/>
          <w:szCs w:val="24"/>
        </w:rPr>
        <w:t>、</w:t>
      </w:r>
      <w:r>
        <w:rPr>
          <w:rFonts w:hint="eastAsia" w:ascii="方正仿宋_GBK" w:hAnsi="宋体" w:eastAsia="方正仿宋_GBK"/>
          <w:sz w:val="24"/>
          <w:szCs w:val="24"/>
        </w:rPr>
        <w:t>招标项目内容</w:t>
      </w:r>
      <w:r>
        <w:rPr>
          <w:rFonts w:hint="default" w:ascii="方正仿宋_GBK" w:hAnsi="宋体" w:eastAsia="方正仿宋_GBK"/>
          <w:sz w:val="24"/>
          <w:szCs w:val="24"/>
        </w:rPr>
        <w:t>”。</w:t>
      </w:r>
    </w:p>
    <w:p>
      <w:pPr>
        <w:snapToGrid w:val="0"/>
        <w:spacing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2.1.4</w:t>
      </w:r>
      <w:r>
        <w:rPr>
          <w:rFonts w:hint="default" w:ascii="方正仿宋_GBK" w:hAnsi="宋体" w:eastAsia="方正仿宋_GBK"/>
          <w:color w:val="0000FF"/>
          <w:sz w:val="24"/>
          <w:szCs w:val="24"/>
        </w:rPr>
        <w:t>保函生效时间必须在</w:t>
      </w:r>
      <w:r>
        <w:rPr>
          <w:rFonts w:hint="eastAsia" w:ascii="方正仿宋_GBK" w:hAnsi="宋体" w:eastAsia="方正仿宋_GBK"/>
          <w:color w:val="0000FF"/>
          <w:sz w:val="24"/>
          <w:szCs w:val="24"/>
        </w:rPr>
        <w:t>提交响应文件</w:t>
      </w:r>
      <w:r>
        <w:rPr>
          <w:rFonts w:hint="default" w:ascii="方正仿宋_GBK" w:hAnsi="宋体" w:eastAsia="方正仿宋_GBK"/>
          <w:color w:val="0000FF"/>
          <w:sz w:val="24"/>
          <w:szCs w:val="24"/>
        </w:rPr>
        <w:t>截止时间前，有效期限必须至少包含</w:t>
      </w:r>
      <w:r>
        <w:rPr>
          <w:rFonts w:hint="eastAsia" w:ascii="方正仿宋_GBK" w:hAnsi="宋体" w:eastAsia="方正仿宋_GBK"/>
          <w:color w:val="0000FF"/>
          <w:sz w:val="24"/>
          <w:szCs w:val="24"/>
          <w:lang w:val="en-US" w:eastAsia="zh-CN"/>
        </w:rPr>
        <w:t>至</w:t>
      </w:r>
      <w:r>
        <w:rPr>
          <w:rFonts w:hint="default" w:ascii="方正仿宋_GBK" w:hAnsi="宋体" w:eastAsia="方正仿宋_GBK"/>
          <w:color w:val="0000FF"/>
          <w:sz w:val="24"/>
          <w:szCs w:val="24"/>
        </w:rPr>
        <w:t>整个</w:t>
      </w:r>
      <w:r>
        <w:rPr>
          <w:rFonts w:hint="eastAsia" w:ascii="方正仿宋_GBK" w:hAnsi="宋体" w:eastAsia="方正仿宋_GBK"/>
          <w:color w:val="0000FF"/>
          <w:sz w:val="24"/>
          <w:szCs w:val="24"/>
          <w:lang w:val="en-US" w:eastAsia="zh-CN"/>
        </w:rPr>
        <w:t>投标</w:t>
      </w:r>
      <w:r>
        <w:rPr>
          <w:rFonts w:hint="default" w:ascii="方正仿宋_GBK" w:hAnsi="宋体" w:eastAsia="方正仿宋_GBK"/>
          <w:color w:val="0000FF"/>
          <w:sz w:val="24"/>
          <w:szCs w:val="24"/>
        </w:rPr>
        <w:t>有效期</w:t>
      </w:r>
      <w:r>
        <w:rPr>
          <w:rFonts w:hint="eastAsia" w:ascii="方正仿宋_GBK" w:hAnsi="宋体" w:eastAsia="方正仿宋_GBK"/>
          <w:color w:val="0000FF"/>
          <w:sz w:val="24"/>
          <w:szCs w:val="24"/>
          <w:lang w:val="en-US" w:eastAsia="zh-CN"/>
        </w:rPr>
        <w:t>结束后30日</w:t>
      </w:r>
      <w:r>
        <w:rPr>
          <w:rFonts w:hint="default" w:ascii="方正仿宋_GBK" w:hAnsi="宋体" w:eastAsia="方正仿宋_GBK"/>
          <w:color w:val="0000FF"/>
          <w:sz w:val="24"/>
          <w:szCs w:val="24"/>
        </w:rPr>
        <w:t>。否则，投标保函无效，</w:t>
      </w:r>
      <w:r>
        <w:rPr>
          <w:rFonts w:hint="eastAsia" w:ascii="方正仿宋_GBK" w:hAnsi="宋体" w:eastAsia="方正仿宋_GBK"/>
          <w:color w:val="0000FF"/>
          <w:sz w:val="24"/>
          <w:szCs w:val="24"/>
          <w:lang w:val="en-US" w:eastAsia="zh-CN"/>
        </w:rPr>
        <w:t>判定为不符合本项目资格要求</w:t>
      </w:r>
      <w:r>
        <w:rPr>
          <w:rFonts w:hint="default" w:ascii="方正仿宋_GBK" w:hAnsi="宋体" w:eastAsia="方正仿宋_GBK"/>
          <w:color w:val="0000FF"/>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2.2</w:t>
      </w:r>
      <w:r>
        <w:rPr>
          <w:rFonts w:hint="default" w:ascii="方正仿宋_GBK" w:hAnsi="宋体" w:eastAsia="方正仿宋_GBK"/>
          <w:sz w:val="24"/>
          <w:szCs w:val="24"/>
        </w:rPr>
        <w:t>投标保函有效性</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default" w:ascii="方正仿宋_GBK" w:hAnsi="宋体" w:eastAsia="方正仿宋_GBK"/>
          <w:sz w:val="24"/>
          <w:szCs w:val="24"/>
        </w:rPr>
        <w:t>电子投标保函的有效性以</w:t>
      </w:r>
      <w:r>
        <w:rPr>
          <w:rFonts w:hint="eastAsia" w:ascii="方正仿宋_GBK" w:hAnsi="宋体" w:eastAsia="方正仿宋_GBK"/>
          <w:sz w:val="24"/>
          <w:szCs w:val="24"/>
          <w:lang w:val="en-US" w:eastAsia="zh-CN"/>
        </w:rPr>
        <w:t>重庆市</w:t>
      </w:r>
      <w:r>
        <w:rPr>
          <w:rFonts w:hint="default" w:ascii="方正仿宋_GBK" w:hAnsi="宋体" w:eastAsia="方正仿宋_GBK"/>
          <w:sz w:val="24"/>
          <w:szCs w:val="24"/>
        </w:rPr>
        <w:t>沙坪坝区公共资源交易中心开标现场提交的投标保函缴纳情况的信息为准。</w:t>
      </w:r>
    </w:p>
    <w:p>
      <w:pPr>
        <w:snapToGrid w:val="0"/>
        <w:spacing w:beforeAutospacing="0" w:afterAutospacing="0" w:line="40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lang w:val="en-US" w:eastAsia="zh-CN"/>
        </w:rPr>
        <w:t>2.3</w:t>
      </w:r>
      <w:r>
        <w:rPr>
          <w:rFonts w:hint="default" w:ascii="方正仿宋_GBK" w:hAnsi="宋体" w:eastAsia="方正仿宋_GBK"/>
          <w:sz w:val="24"/>
          <w:szCs w:val="24"/>
        </w:rPr>
        <w:t>若供应商为联合体，则由联合体牵头人提供投标保函。</w:t>
      </w:r>
    </w:p>
    <w:p>
      <w:pPr>
        <w:snapToGrid w:val="0"/>
        <w:spacing w:beforeAutospacing="0" w:afterAutospacing="0"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2.4技术咨询电话：023-65360409</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default" w:ascii="方正仿宋_GBK" w:hAnsi="宋体" w:eastAsia="方正仿宋_GBK"/>
          <w:sz w:val="24"/>
          <w:szCs w:val="24"/>
        </w:rPr>
        <w:t>方式3：纸质投标保函（若</w:t>
      </w:r>
      <w:r>
        <w:rPr>
          <w:rFonts w:hint="eastAsia" w:ascii="方正仿宋_GBK" w:hAnsi="宋体" w:eastAsia="方正仿宋_GBK"/>
          <w:sz w:val="24"/>
          <w:szCs w:val="24"/>
          <w:lang w:val="en-US" w:eastAsia="zh-CN"/>
        </w:rPr>
        <w:t>供应商</w:t>
      </w:r>
      <w:r>
        <w:rPr>
          <w:rFonts w:hint="default" w:ascii="方正仿宋_GBK" w:hAnsi="宋体" w:eastAsia="方正仿宋_GBK"/>
          <w:sz w:val="24"/>
          <w:szCs w:val="24"/>
        </w:rPr>
        <w:t>选择此方式，须执行本规定）</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纸质投标保函交纳形式及要求：</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3.1.1</w:t>
      </w:r>
      <w:r>
        <w:rPr>
          <w:rFonts w:hint="default" w:ascii="方正仿宋_GBK" w:hAnsi="宋体" w:eastAsia="方正仿宋_GBK"/>
          <w:sz w:val="24"/>
          <w:szCs w:val="24"/>
        </w:rPr>
        <w:t>缴纳形式：投标人提供不可撤销且见索即付的金融机构或担保机构保函。</w:t>
      </w:r>
    </w:p>
    <w:p>
      <w:pPr>
        <w:snapToGrid w:val="0"/>
        <w:spacing w:beforeAutospacing="0" w:afterAutospacing="0" w:line="400" w:lineRule="exact"/>
        <w:ind w:firstLine="480" w:firstLineChars="200"/>
        <w:rPr>
          <w:rFonts w:hint="eastAsia" w:ascii="方正仿宋_GBK" w:hAnsi="宋体" w:eastAsia="方正仿宋_GBK"/>
          <w:sz w:val="24"/>
          <w:szCs w:val="24"/>
        </w:rPr>
      </w:pPr>
      <w:bookmarkStart w:id="26" w:name="_Hlk73026662"/>
      <w:bookmarkEnd w:id="26"/>
      <w:r>
        <w:rPr>
          <w:rFonts w:hint="eastAsia" w:ascii="方正仿宋_GBK" w:hAnsi="宋体" w:eastAsia="方正仿宋_GBK"/>
          <w:sz w:val="24"/>
          <w:szCs w:val="24"/>
          <w:lang w:val="en-US" w:eastAsia="zh-CN"/>
        </w:rPr>
        <w:t>3.1.2</w:t>
      </w:r>
      <w:r>
        <w:rPr>
          <w:rFonts w:hint="default" w:ascii="方正仿宋_GBK" w:hAnsi="宋体" w:eastAsia="方正仿宋_GBK"/>
          <w:sz w:val="24"/>
          <w:szCs w:val="24"/>
        </w:rPr>
        <w:t>具体要求：投标人须在</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文件</w:t>
      </w:r>
      <w:r>
        <w:rPr>
          <w:rFonts w:hint="eastAsia" w:ascii="方正仿宋_GBK" w:hAnsi="宋体" w:eastAsia="方正仿宋_GBK"/>
          <w:sz w:val="24"/>
          <w:szCs w:val="24"/>
          <w:lang w:val="en-US" w:eastAsia="zh-CN"/>
        </w:rPr>
        <w:t>的“资格文件”</w:t>
      </w:r>
      <w:r>
        <w:rPr>
          <w:rFonts w:hint="default" w:ascii="方正仿宋_GBK" w:hAnsi="宋体" w:eastAsia="方正仿宋_GBK"/>
          <w:sz w:val="24"/>
          <w:szCs w:val="24"/>
        </w:rPr>
        <w:t>中提供开具的纸质投标保函正本复制件，纸质投标保函正本原件应当于</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文件提交截止时间前在开标现场递交，由采购代理机构保管。纸质投标保函应至少体现如下内容：</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2.1担保项目必须为本项目。</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2.2受益人必须为本项目采购人。</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2.3保函担保金额必须满足本项目</w:t>
      </w:r>
      <w:r>
        <w:rPr>
          <w:rFonts w:hint="eastAsia" w:ascii="方正仿宋_GBK" w:hAnsi="宋体" w:eastAsia="方正仿宋_GBK"/>
          <w:sz w:val="24"/>
          <w:szCs w:val="24"/>
          <w:lang w:val="en-US" w:eastAsia="zh-CN"/>
        </w:rPr>
        <w:t>招标文件</w:t>
      </w:r>
      <w:r>
        <w:rPr>
          <w:rFonts w:hint="default" w:ascii="方正仿宋_GBK" w:hAnsi="宋体" w:eastAsia="方正仿宋_GBK"/>
          <w:sz w:val="24"/>
          <w:szCs w:val="24"/>
        </w:rPr>
        <w:t>要求。</w:t>
      </w:r>
    </w:p>
    <w:p>
      <w:pPr>
        <w:snapToGrid w:val="0"/>
        <w:spacing w:line="400" w:lineRule="exact"/>
        <w:ind w:firstLine="480" w:firstLineChars="200"/>
        <w:rPr>
          <w:rFonts w:hint="eastAsia" w:ascii="方正仿宋_GBK" w:hAnsi="宋体" w:eastAsia="方正仿宋_GBK"/>
          <w:color w:val="0000FF"/>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2.4</w:t>
      </w:r>
      <w:r>
        <w:rPr>
          <w:rFonts w:hint="default" w:ascii="方正仿宋_GBK" w:hAnsi="宋体" w:eastAsia="方正仿宋_GBK"/>
          <w:color w:val="0000FF"/>
          <w:sz w:val="24"/>
          <w:szCs w:val="24"/>
        </w:rPr>
        <w:t>保函生效时间必须在</w:t>
      </w:r>
      <w:r>
        <w:rPr>
          <w:rFonts w:hint="eastAsia" w:ascii="方正仿宋_GBK" w:hAnsi="宋体" w:eastAsia="方正仿宋_GBK"/>
          <w:color w:val="0000FF"/>
          <w:sz w:val="24"/>
          <w:szCs w:val="24"/>
          <w:lang w:val="en-US" w:eastAsia="zh-CN"/>
        </w:rPr>
        <w:t>响应</w:t>
      </w:r>
      <w:r>
        <w:rPr>
          <w:rFonts w:hint="default" w:ascii="方正仿宋_GBK" w:hAnsi="宋体" w:eastAsia="方正仿宋_GBK"/>
          <w:color w:val="0000FF"/>
          <w:sz w:val="24"/>
          <w:szCs w:val="24"/>
        </w:rPr>
        <w:t>文件提交截止时间前，有效期限必须至少包含</w:t>
      </w:r>
      <w:r>
        <w:rPr>
          <w:rFonts w:hint="eastAsia" w:ascii="方正仿宋_GBK" w:hAnsi="宋体" w:eastAsia="方正仿宋_GBK"/>
          <w:color w:val="0000FF"/>
          <w:sz w:val="24"/>
          <w:szCs w:val="24"/>
          <w:lang w:val="en-US" w:eastAsia="zh-CN"/>
        </w:rPr>
        <w:t>至</w:t>
      </w:r>
      <w:r>
        <w:rPr>
          <w:rFonts w:hint="default" w:ascii="方正仿宋_GBK" w:hAnsi="宋体" w:eastAsia="方正仿宋_GBK"/>
          <w:color w:val="0000FF"/>
          <w:sz w:val="24"/>
          <w:szCs w:val="24"/>
        </w:rPr>
        <w:t>整个投标有效期</w:t>
      </w:r>
      <w:r>
        <w:rPr>
          <w:rFonts w:hint="eastAsia" w:ascii="方正仿宋_GBK" w:hAnsi="宋体" w:eastAsia="方正仿宋_GBK"/>
          <w:color w:val="0000FF"/>
          <w:sz w:val="24"/>
          <w:szCs w:val="24"/>
          <w:lang w:val="en-US" w:eastAsia="zh-CN"/>
        </w:rPr>
        <w:t>结束后30日</w:t>
      </w:r>
      <w:r>
        <w:rPr>
          <w:rFonts w:hint="default" w:ascii="方正仿宋_GBK" w:hAnsi="宋体" w:eastAsia="方正仿宋_GBK"/>
          <w:color w:val="0000FF"/>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w:t>
      </w:r>
      <w:r>
        <w:rPr>
          <w:rFonts w:hint="default" w:ascii="方正仿宋_GBK" w:hAnsi="宋体" w:eastAsia="方正仿宋_GBK"/>
          <w:sz w:val="24"/>
          <w:szCs w:val="24"/>
        </w:rPr>
        <w:t>2.5保函须不可撤销且见索即付。</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3.2</w:t>
      </w:r>
      <w:r>
        <w:rPr>
          <w:rFonts w:hint="default" w:ascii="方正仿宋_GBK" w:hAnsi="宋体" w:eastAsia="方正仿宋_GBK"/>
          <w:sz w:val="24"/>
          <w:szCs w:val="24"/>
        </w:rPr>
        <w:t>若投标截止时间延期，则纸质投标保函递交的截止时间和投标截止时间保持一致。</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3.3</w:t>
      </w:r>
      <w:r>
        <w:rPr>
          <w:rFonts w:hint="default" w:ascii="方正仿宋_GBK" w:hAnsi="宋体" w:eastAsia="方正仿宋_GBK"/>
          <w:sz w:val="24"/>
          <w:szCs w:val="24"/>
        </w:rPr>
        <w:t>采购代理机构展示纸质投标保函方式保证金的交纳情况，并对异常情况进行记录。</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3.4资格审查</w:t>
      </w:r>
      <w:r>
        <w:rPr>
          <w:rFonts w:hint="default" w:ascii="方正仿宋_GBK" w:hAnsi="宋体" w:eastAsia="方正仿宋_GBK"/>
          <w:sz w:val="24"/>
          <w:szCs w:val="24"/>
        </w:rPr>
        <w:t>委员会负责对保函内容进行形式审查，不满足上述要求的纸质投标保函无效。</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3.5</w:t>
      </w:r>
      <w:r>
        <w:rPr>
          <w:rFonts w:hint="default" w:ascii="方正仿宋_GBK" w:hAnsi="宋体" w:eastAsia="方正仿宋_GBK"/>
          <w:sz w:val="24"/>
          <w:szCs w:val="24"/>
        </w:rPr>
        <w:t>以纸质投标保函形式担保的投标保证金的金额：详见本篇“</w:t>
      </w:r>
      <w:r>
        <w:rPr>
          <w:rFonts w:hint="eastAsia" w:ascii="方正仿宋_GBK" w:hAnsi="宋体" w:eastAsia="方正仿宋_GBK"/>
          <w:sz w:val="24"/>
          <w:szCs w:val="24"/>
          <w:lang w:val="en-US" w:eastAsia="zh-CN"/>
        </w:rPr>
        <w:t>一</w:t>
      </w:r>
      <w:r>
        <w:rPr>
          <w:rFonts w:hint="default" w:ascii="方正仿宋_GBK" w:hAnsi="宋体" w:eastAsia="方正仿宋_GBK"/>
          <w:sz w:val="24"/>
          <w:szCs w:val="24"/>
        </w:rPr>
        <w:t>、</w:t>
      </w:r>
      <w:r>
        <w:rPr>
          <w:rFonts w:hint="eastAsia" w:ascii="方正仿宋_GBK" w:hAnsi="宋体" w:eastAsia="方正仿宋_GBK"/>
          <w:sz w:val="24"/>
          <w:szCs w:val="24"/>
        </w:rPr>
        <w:t>招标项目内容</w:t>
      </w:r>
      <w:r>
        <w:rPr>
          <w:rFonts w:hint="default" w:ascii="方正仿宋_GBK" w:hAnsi="宋体" w:eastAsia="方正仿宋_GBK"/>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bookmarkStart w:id="27" w:name="_Hlk73027452"/>
      <w:bookmarkEnd w:id="27"/>
      <w:bookmarkStart w:id="28" w:name="_Hlk73027084"/>
      <w:bookmarkEnd w:id="28"/>
      <w:r>
        <w:rPr>
          <w:rFonts w:hint="eastAsia" w:ascii="方正仿宋_GBK" w:hAnsi="宋体" w:eastAsia="方正仿宋_GBK"/>
          <w:sz w:val="24"/>
          <w:szCs w:val="24"/>
          <w:lang w:val="en-US" w:eastAsia="zh-CN"/>
        </w:rPr>
        <w:t>3.6</w:t>
      </w:r>
      <w:r>
        <w:rPr>
          <w:rFonts w:hint="default" w:ascii="方正仿宋_GBK" w:hAnsi="宋体" w:eastAsia="方正仿宋_GBK"/>
          <w:sz w:val="24"/>
          <w:szCs w:val="24"/>
        </w:rPr>
        <w:t>投标人须确保其递交的纸质投标保函能在重庆市核验真伪，并在</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文件</w:t>
      </w:r>
      <w:r>
        <w:rPr>
          <w:rFonts w:hint="eastAsia" w:ascii="方正仿宋_GBK" w:hAnsi="宋体" w:eastAsia="方正仿宋_GBK"/>
          <w:sz w:val="24"/>
          <w:szCs w:val="24"/>
          <w:lang w:val="en-US" w:eastAsia="zh-CN"/>
        </w:rPr>
        <w:t>的</w:t>
      </w:r>
      <w:r>
        <w:rPr>
          <w:rFonts w:hint="default" w:ascii="方正仿宋_GBK" w:hAnsi="宋体" w:eastAsia="方正仿宋_GBK"/>
          <w:sz w:val="24"/>
          <w:szCs w:val="24"/>
        </w:rPr>
        <w:t>“</w:t>
      </w:r>
      <w:r>
        <w:rPr>
          <w:rFonts w:hint="eastAsia" w:ascii="方正仿宋_GBK" w:hAnsi="宋体" w:eastAsia="方正仿宋_GBK"/>
          <w:sz w:val="24"/>
          <w:szCs w:val="24"/>
          <w:lang w:val="en-US" w:eastAsia="zh-CN"/>
        </w:rPr>
        <w:t>资格文件</w:t>
      </w:r>
      <w:r>
        <w:rPr>
          <w:rFonts w:hint="default" w:ascii="方正仿宋_GBK" w:hAnsi="宋体" w:eastAsia="方正仿宋_GBK"/>
          <w:sz w:val="24"/>
          <w:szCs w:val="24"/>
        </w:rPr>
        <w:t>”中提供纸质投标保函的核验地点、方式和联系人，否则该纸质投标保函视为无效。</w:t>
      </w:r>
    </w:p>
    <w:p>
      <w:pPr>
        <w:snapToGrid w:val="0"/>
        <w:spacing w:beforeAutospacing="0" w:afterAutospacing="0" w:line="400" w:lineRule="exact"/>
        <w:ind w:firstLine="480" w:firstLineChars="200"/>
        <w:rPr>
          <w:rFonts w:hint="eastAsia" w:ascii="方正仿宋_GBK" w:hAnsi="宋体" w:eastAsia="方正仿宋_GBK"/>
          <w:sz w:val="24"/>
          <w:szCs w:val="24"/>
        </w:rPr>
      </w:pPr>
      <w:bookmarkStart w:id="29" w:name="_Hlk73027326"/>
      <w:bookmarkEnd w:id="29"/>
      <w:r>
        <w:rPr>
          <w:rFonts w:hint="eastAsia" w:ascii="方正仿宋_GBK" w:hAnsi="宋体" w:eastAsia="方正仿宋_GBK"/>
          <w:sz w:val="24"/>
          <w:szCs w:val="24"/>
          <w:lang w:val="en-US" w:eastAsia="zh-CN"/>
        </w:rPr>
        <w:t>3.7</w:t>
      </w:r>
      <w:r>
        <w:rPr>
          <w:rFonts w:hint="default" w:ascii="方正仿宋_GBK" w:hAnsi="宋体" w:eastAsia="方正仿宋_GBK"/>
          <w:sz w:val="24"/>
          <w:szCs w:val="24"/>
        </w:rPr>
        <w:t>投标人在开标现场递交的纸质投标保函原件应与</w:t>
      </w:r>
      <w:r>
        <w:rPr>
          <w:rFonts w:hint="eastAsia" w:ascii="方正仿宋_GBK" w:hAnsi="宋体" w:eastAsia="方正仿宋_GBK"/>
          <w:sz w:val="24"/>
          <w:szCs w:val="24"/>
          <w:lang w:val="en-US" w:eastAsia="zh-CN"/>
        </w:rPr>
        <w:t>投标</w:t>
      </w:r>
      <w:r>
        <w:rPr>
          <w:rFonts w:hint="default" w:ascii="方正仿宋_GBK" w:hAnsi="宋体" w:eastAsia="方正仿宋_GBK"/>
          <w:sz w:val="24"/>
          <w:szCs w:val="24"/>
        </w:rPr>
        <w:t>文件中提供的纸质投标保函扫描件一致，否则</w:t>
      </w:r>
      <w:r>
        <w:rPr>
          <w:rFonts w:hint="eastAsia" w:ascii="方正仿宋_GBK" w:hAnsi="宋体" w:eastAsia="方正仿宋_GBK"/>
          <w:sz w:val="24"/>
          <w:szCs w:val="24"/>
          <w:lang w:val="en-US" w:eastAsia="zh-CN"/>
        </w:rPr>
        <w:t>判定为不符合本项目资格要求</w:t>
      </w:r>
      <w:r>
        <w:rPr>
          <w:rFonts w:hint="default" w:ascii="方正仿宋_GBK" w:hAnsi="宋体" w:eastAsia="方正仿宋_GBK"/>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3.8</w:t>
      </w:r>
      <w:r>
        <w:rPr>
          <w:rFonts w:hint="default" w:ascii="方正仿宋_GBK" w:hAnsi="宋体" w:eastAsia="方正仿宋_GBK"/>
          <w:sz w:val="24"/>
          <w:szCs w:val="24"/>
        </w:rPr>
        <w:t>在发出中标通知书前，采购人应当对投标人（至少中标候选人或中标人）的纸质投标保函开展核验。采购人按照投标人提供的核验地点、方式和联系人等信息无法对该纸质投标保函进行核验的，或发现投标人递交的纸质投标保函弄虚作假的，对已取得中标候选人资格或中标资格的投标人，取消中标候选人资格或中标资格，给采购人造成损失的，投标人依法承担赔偿责任。采购人对纸质投标保函无法核验的，应当报行政监管部门依法依规处理；对纸质投标保函弄虚作假的，应当报行政监管部门和公安机关依法依规处理。</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3.9</w:t>
      </w:r>
      <w:r>
        <w:rPr>
          <w:rFonts w:hint="default" w:ascii="方正仿宋_GBK" w:hAnsi="宋体" w:eastAsia="方正仿宋_GBK"/>
          <w:sz w:val="24"/>
          <w:szCs w:val="24"/>
        </w:rPr>
        <w:t>若投标人为联合体，则由联合体牵头人提供纸质投标保函。</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3.10</w:t>
      </w:r>
      <w:r>
        <w:rPr>
          <w:rFonts w:hint="default" w:ascii="方正仿宋_GBK" w:hAnsi="宋体" w:eastAsia="方正仿宋_GBK"/>
          <w:sz w:val="24"/>
          <w:szCs w:val="24"/>
        </w:rPr>
        <w:t>纸质投标保函的退还、注销</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3.10.1</w:t>
      </w:r>
      <w:r>
        <w:rPr>
          <w:rFonts w:hint="default" w:ascii="方正仿宋_GBK" w:hAnsi="宋体" w:eastAsia="方正仿宋_GBK"/>
          <w:sz w:val="24"/>
          <w:szCs w:val="24"/>
        </w:rPr>
        <w:t>采购人应当在法定时间内确定中标人，采购代理机构向中标人发出中标通知书，同时向除中标人以外的其他投标人退还纸质投标保函正本并书面通知担保人本项目准予提前注销纸质投标保函。具体注销事宜由投标人负责办理。</w:t>
      </w:r>
    </w:p>
    <w:p>
      <w:pPr>
        <w:snapToGrid w:val="0"/>
        <w:spacing w:beforeAutospacing="0" w:afterAutospacing="0" w:line="400" w:lineRule="exact"/>
        <w:ind w:firstLine="480" w:firstLineChars="200"/>
        <w:rPr>
          <w:rFonts w:hint="default" w:ascii="方正仿宋_GBK" w:hAnsi="宋体" w:eastAsia="方正仿宋_GBK"/>
          <w:sz w:val="24"/>
          <w:szCs w:val="24"/>
        </w:rPr>
      </w:pPr>
      <w:r>
        <w:rPr>
          <w:rFonts w:hint="eastAsia" w:ascii="方正仿宋_GBK" w:hAnsi="宋体" w:eastAsia="方正仿宋_GBK"/>
          <w:sz w:val="24"/>
          <w:szCs w:val="24"/>
          <w:lang w:val="en-US" w:eastAsia="zh-CN"/>
        </w:rPr>
        <w:t>3.10.2</w:t>
      </w:r>
      <w:r>
        <w:rPr>
          <w:rFonts w:hint="default" w:ascii="方正仿宋_GBK" w:hAnsi="宋体" w:eastAsia="方正仿宋_GBK"/>
          <w:sz w:val="24"/>
          <w:szCs w:val="24"/>
        </w:rPr>
        <w:t>采购人应在法定时间内和中标人签订合同，并同时书面通知担保人向中标人注销纸质投标保函。具体注销事宜由投标人负责办理。</w:t>
      </w:r>
    </w:p>
    <w:p>
      <w:pPr>
        <w:snapToGrid w:val="0"/>
        <w:spacing w:beforeAutospacing="0" w:afterAutospacing="0" w:line="400" w:lineRule="exact"/>
        <w:ind w:firstLine="480" w:firstLineChars="200"/>
        <w:rPr>
          <w:rFonts w:hint="eastAsia" w:ascii="方正仿宋_GBK" w:hAnsi="宋体" w:eastAsia="方正仿宋_GBK"/>
          <w:color w:val="auto"/>
          <w:sz w:val="24"/>
          <w:szCs w:val="24"/>
          <w:lang w:val="en-US" w:eastAsia="zh-CN"/>
        </w:rPr>
      </w:pPr>
      <w:r>
        <w:rPr>
          <w:rFonts w:hint="eastAsia" w:ascii="方正仿宋_GBK" w:hAnsi="宋体" w:eastAsia="方正仿宋_GBK"/>
          <w:sz w:val="24"/>
          <w:szCs w:val="24"/>
          <w:lang w:val="en-US" w:eastAsia="zh-CN"/>
        </w:rPr>
        <w:t>（二）</w:t>
      </w:r>
      <w:r>
        <w:rPr>
          <w:rFonts w:hint="eastAsia" w:ascii="方正仿宋_GBK" w:hAnsi="宋体" w:eastAsia="方正仿宋_GBK"/>
          <w:color w:val="auto"/>
          <w:sz w:val="24"/>
          <w:szCs w:val="24"/>
          <w:lang w:val="en-US" w:eastAsia="zh-CN"/>
        </w:rPr>
        <w:t>履约保证金</w:t>
      </w:r>
    </w:p>
    <w:p>
      <w:pPr>
        <w:snapToGrid w:val="0"/>
        <w:spacing w:beforeAutospacing="0" w:afterAutospacing="0" w:line="400" w:lineRule="exact"/>
        <w:ind w:firstLine="480" w:firstLineChars="200"/>
        <w:rPr>
          <w:rFonts w:hint="eastAsia" w:ascii="方正仿宋_GBK" w:hAnsi="宋体" w:eastAsia="方正仿宋_GBK"/>
          <w:color w:val="auto"/>
          <w:sz w:val="24"/>
          <w:szCs w:val="24"/>
        </w:rPr>
      </w:pPr>
      <w:r>
        <w:rPr>
          <w:rFonts w:hint="eastAsia" w:ascii="方正仿宋_GBK" w:hAnsi="宋体" w:eastAsia="方正仿宋_GBK"/>
          <w:color w:val="auto"/>
          <w:sz w:val="24"/>
          <w:szCs w:val="24"/>
          <w:lang w:val="en-US" w:eastAsia="zh-CN"/>
        </w:rPr>
        <w:t>采购人要求成交供应商提交履约保证金的，成交供应商应在签订合同前将履约保证金以非现金形式提交至采购人指定账户，履约保证金的金额不超过成交金额的10%。</w:t>
      </w:r>
    </w:p>
    <w:bookmarkEnd w:id="22"/>
    <w:bookmarkEnd w:id="23"/>
    <w:bookmarkEnd w:id="24"/>
    <w:bookmarkEnd w:id="25"/>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r>
        <w:rPr>
          <w:rFonts w:hint="eastAsia" w:ascii="方正仿宋_GBK" w:hAnsi="宋体" w:eastAsia="方正仿宋_GBK"/>
          <w:sz w:val="24"/>
        </w:rPr>
        <w:t>采购项目需落实的政府采购政策</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（二）按照财政部、工业和信息化部关于印发《政府采购促进中小企业发展管理办法》的通知（财库〔2020〕46号）的规定，落实促进中小企业发展政策。</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（三）按照《财政部、司法部关于政府采购支持监狱企业发展有关问题的通知》（财库〔2014〕68号）的规定，落实支持监狱企业发展政策。</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（四）按照《三部门联合发布关于促进残疾人就业政府采购政策的通知》（财库〔2017〕 141号）的规定，落实支持残疾人福利性单位发展政策。</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30" w:name="_Toc106030876"/>
      <w:bookmarkEnd w:id="30"/>
      <w:bookmarkStart w:id="31" w:name="_Toc76462322"/>
      <w:bookmarkEnd w:id="31"/>
      <w:bookmarkStart w:id="32" w:name="_Toc480466699"/>
      <w:bookmarkEnd w:id="32"/>
      <w:r>
        <w:rPr>
          <w:rFonts w:hint="eastAsia" w:ascii="方正仿宋_GBK" w:hAnsi="宋体" w:eastAsia="方正仿宋_GBK"/>
          <w:sz w:val="24"/>
        </w:rPr>
        <w:t>六、其它有关规定</w:t>
      </w:r>
    </w:p>
    <w:p>
      <w:pPr>
        <w:snapToGrid w:val="0"/>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（一）单位负责人为同一人或者存在直接控股、管理关系的不同供应商，</w:t>
      </w:r>
      <w:r>
        <w:rPr>
          <w:rFonts w:ascii="方正仿宋_GBK" w:hAnsi="宋体" w:eastAsia="方正仿宋_GBK"/>
          <w:sz w:val="24"/>
          <w:szCs w:val="24"/>
        </w:rPr>
        <w:t>不得参加同一合同项</w:t>
      </w:r>
      <w:r>
        <w:rPr>
          <w:rFonts w:hint="eastAsia" w:ascii="方正仿宋_GBK" w:hAnsi="宋体" w:eastAsia="方正仿宋_GBK"/>
          <w:sz w:val="24"/>
          <w:szCs w:val="24"/>
        </w:rPr>
        <w:t>（包）</w:t>
      </w:r>
      <w:r>
        <w:rPr>
          <w:rFonts w:ascii="方正仿宋_GBK" w:hAnsi="宋体" w:eastAsia="方正仿宋_GBK"/>
          <w:sz w:val="24"/>
          <w:szCs w:val="24"/>
        </w:rPr>
        <w:t>下的政府采购活动</w:t>
      </w:r>
      <w:r>
        <w:rPr>
          <w:rFonts w:hint="eastAsia" w:ascii="方正仿宋_GBK" w:hAnsi="宋体" w:eastAsia="方正仿宋_GBK"/>
          <w:sz w:val="24"/>
          <w:szCs w:val="24"/>
        </w:rPr>
        <w:t>，否则均为无效响应。</w:t>
      </w:r>
    </w:p>
    <w:p>
      <w:pPr>
        <w:snapToGrid w:val="0"/>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（二）为采购项目提供整体设计、规范编制或者项目管理、监理、检测等服务的供应商，不得再</w:t>
      </w:r>
      <w:r>
        <w:rPr>
          <w:rFonts w:ascii="方正仿宋_GBK" w:hAnsi="宋体" w:eastAsia="方正仿宋_GBK"/>
          <w:sz w:val="24"/>
          <w:szCs w:val="24"/>
        </w:rPr>
        <w:t>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（三）本项目的澄清文件（如果有）一律在重庆市政府采购网（www.ccgp-chongqing.gov.cn）上发布，请各供应商注意下载；无论供应商下载与否，均视同供应商已知晓本项目澄清文件（如果有）的内容。</w:t>
      </w:r>
    </w:p>
    <w:p>
      <w:pPr>
        <w:snapToGrid w:val="0"/>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（四）超过响应文件截止时间递交的响应文件，恕不接收。</w:t>
      </w:r>
    </w:p>
    <w:p>
      <w:pPr>
        <w:snapToGrid w:val="0"/>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（五）磋商费用：无论磋商结果如何，供应商参与本项目磋商的所有费用均应由供应商自行承担。</w:t>
      </w:r>
    </w:p>
    <w:p>
      <w:pPr>
        <w:snapToGrid w:val="0"/>
        <w:spacing w:beforeAutospacing="0" w:afterAutospacing="0" w:line="400" w:lineRule="exact"/>
        <w:ind w:firstLine="361" w:firstLineChars="15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（六）本项目不接受联合体参与磋商，否则按无效处理。</w:t>
      </w:r>
    </w:p>
    <w:p>
      <w:pPr>
        <w:snapToGrid w:val="0"/>
        <w:spacing w:beforeAutospacing="0" w:afterAutospacing="0" w:line="400" w:lineRule="exact"/>
        <w:ind w:firstLine="361" w:firstLineChars="150"/>
        <w:rPr>
          <w:rFonts w:hint="eastAsia" w:ascii="方正仿宋_GBK" w:hAnsi="宋体" w:eastAsia="方正仿宋_GBK" w:cs="Times New Roman"/>
          <w:b/>
          <w:kern w:val="2"/>
          <w:sz w:val="24"/>
          <w:szCs w:val="22"/>
          <w:lang w:val="en-US" w:eastAsia="zh-CN" w:bidi="ar-SA"/>
        </w:rPr>
      </w:pPr>
      <w:r>
        <w:rPr>
          <w:rFonts w:hint="eastAsia" w:ascii="方正仿宋_GBK" w:hAnsi="宋体" w:eastAsia="方正仿宋_GBK" w:cs="Times New Roman"/>
          <w:b/>
          <w:kern w:val="2"/>
          <w:sz w:val="24"/>
          <w:szCs w:val="22"/>
          <w:lang w:val="en-US" w:eastAsia="zh-CN" w:bidi="ar-SA"/>
        </w:rPr>
        <w:t>（七）本项目不接受合同分包，否则按无效处理。</w:t>
      </w:r>
    </w:p>
    <w:p>
      <w:pPr>
        <w:snapToGrid w:val="0"/>
        <w:spacing w:beforeAutospacing="0" w:afterAutospacing="0" w:line="400" w:lineRule="exact"/>
        <w:ind w:firstLine="360" w:firstLineChars="150"/>
        <w:rPr>
          <w:rFonts w:hint="eastAsia" w:ascii="方正仿宋_GBK" w:hAnsi="宋体" w:eastAsia="方正仿宋_GBK"/>
          <w:sz w:val="24"/>
          <w:szCs w:val="24"/>
        </w:rPr>
      </w:pPr>
      <w:bookmarkStart w:id="33" w:name="_Toc480466700"/>
      <w:r>
        <w:rPr>
          <w:rFonts w:hint="eastAsia" w:ascii="方正仿宋_GBK" w:hAnsi="宋体" w:eastAsia="方正仿宋_GBK"/>
          <w:sz w:val="24"/>
          <w:szCs w:val="24"/>
        </w:rPr>
        <w:t>（八）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bookmarkEnd w:id="33"/>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34" w:name="_Toc106030877"/>
      <w:bookmarkEnd w:id="34"/>
      <w:bookmarkStart w:id="35" w:name="_Toc76462323"/>
      <w:bookmarkEnd w:id="35"/>
      <w:r>
        <w:rPr>
          <w:rFonts w:hint="eastAsia" w:ascii="方正仿宋_GBK" w:hAnsi="宋体" w:eastAsia="方正仿宋_GBK"/>
          <w:sz w:val="24"/>
        </w:rPr>
        <w:t>七、联系方式</w:t>
      </w:r>
    </w:p>
    <w:p>
      <w:pPr>
        <w:snapToGrid w:val="0"/>
        <w:spacing w:beforeAutospacing="0" w:afterAutospacing="0" w:line="400" w:lineRule="exact"/>
        <w:ind w:firstLine="480" w:firstLineChars="200"/>
        <w:outlineLvl w:val="2"/>
        <w:rPr>
          <w:rFonts w:hint="eastAsia" w:ascii="方正仿宋_GBK" w:hAnsi="宋体" w:eastAsia="方正仿宋_GBK"/>
          <w:sz w:val="24"/>
          <w:szCs w:val="24"/>
          <w:lang w:eastAsia="zh-CN"/>
        </w:rPr>
      </w:pPr>
      <w:r>
        <w:rPr>
          <w:rFonts w:hint="eastAsia" w:ascii="方正仿宋_GBK" w:hAnsi="宋体" w:eastAsia="方正仿宋_GBK"/>
          <w:sz w:val="24"/>
          <w:szCs w:val="24"/>
        </w:rPr>
        <w:t>（一）采购人：重庆市沙坪坝</w:t>
      </w:r>
      <w:r>
        <w:rPr>
          <w:rFonts w:hint="eastAsia" w:ascii="方正仿宋_GBK" w:hAnsi="宋体" w:eastAsia="方正仿宋_GBK"/>
          <w:sz w:val="24"/>
          <w:szCs w:val="24"/>
          <w:lang w:eastAsia="zh-CN"/>
        </w:rPr>
        <w:t>陈家桥街道办事处</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联系人：</w:t>
      </w:r>
      <w:r>
        <w:rPr>
          <w:rFonts w:hint="eastAsia" w:ascii="方正仿宋_GBK" w:hAnsi="宋体" w:eastAsia="方正仿宋_GBK"/>
          <w:sz w:val="24"/>
          <w:szCs w:val="24"/>
          <w:lang w:val="en-US" w:eastAsia="zh-CN"/>
        </w:rPr>
        <w:t>谭老师</w:t>
      </w:r>
      <w:r>
        <w:rPr>
          <w:rFonts w:hint="eastAsia" w:ascii="方正仿宋_GBK" w:hAnsi="宋体" w:eastAsia="方正仿宋_GBK"/>
          <w:sz w:val="24"/>
          <w:szCs w:val="24"/>
        </w:rPr>
        <w:t xml:space="preserve">  </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：13677635539</w:t>
      </w:r>
      <w:r>
        <w:rPr>
          <w:rFonts w:hint="eastAsia" w:ascii="方正仿宋_GBK" w:hAnsi="宋体" w:eastAsia="方正仿宋_GBK"/>
          <w:sz w:val="24"/>
          <w:szCs w:val="24"/>
        </w:rPr>
        <w:t>地  址：</w:t>
      </w:r>
      <w:r>
        <w:rPr>
          <w:rFonts w:hint="eastAsia" w:ascii="方正仿宋_GBK" w:hAnsi="宋体" w:eastAsia="方正仿宋_GBK"/>
          <w:sz w:val="24"/>
          <w:szCs w:val="24"/>
          <w:lang w:val="en-US" w:eastAsia="zh-CN"/>
        </w:rPr>
        <w:t>重庆市沙坪坝区陈家桥街道办事处</w:t>
      </w:r>
    </w:p>
    <w:p>
      <w:pPr>
        <w:snapToGrid w:val="0"/>
        <w:spacing w:beforeAutospacing="0" w:afterAutospacing="0" w:line="400" w:lineRule="exact"/>
        <w:ind w:firstLine="480" w:firstLineChars="200"/>
        <w:outlineLvl w:val="2"/>
        <w:rPr>
          <w:rFonts w:hint="eastAsia" w:ascii="方正仿宋_GBK" w:hAnsi="宋体" w:eastAsia="方正仿宋_GBK"/>
          <w:sz w:val="24"/>
          <w:szCs w:val="24"/>
        </w:rPr>
      </w:pPr>
      <w:r>
        <w:rPr>
          <w:rFonts w:hint="eastAsia" w:ascii="方正仿宋_GBK" w:hAnsi="宋体" w:eastAsia="方正仿宋_GBK"/>
          <w:sz w:val="24"/>
          <w:szCs w:val="24"/>
        </w:rPr>
        <w:t>（二）采购代理机构：</w:t>
      </w:r>
      <w:r>
        <w:rPr>
          <w:rFonts w:hint="eastAsia" w:ascii="方正仿宋_GBK" w:hAnsi="宋体" w:eastAsia="方正仿宋_GBK"/>
          <w:color w:val="000000"/>
          <w:sz w:val="24"/>
          <w:szCs w:val="24"/>
        </w:rPr>
        <w:t>重庆市沙坪坝区公共资源交易中心</w:t>
      </w:r>
    </w:p>
    <w:p>
      <w:pPr>
        <w:snapToGrid w:val="0"/>
        <w:spacing w:beforeAutospacing="0" w:afterAutospacing="0"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rPr>
        <w:t>联系人：</w:t>
      </w:r>
      <w:r>
        <w:rPr>
          <w:rFonts w:hint="eastAsia" w:ascii="方正仿宋_GBK" w:hAnsi="宋体" w:eastAsia="方正仿宋_GBK"/>
          <w:sz w:val="24"/>
          <w:szCs w:val="24"/>
          <w:lang w:eastAsia="zh-CN"/>
        </w:rPr>
        <w:t>尹老师</w:t>
      </w:r>
    </w:p>
    <w:p>
      <w:pPr>
        <w:snapToGrid w:val="0"/>
        <w:spacing w:beforeAutospacing="0" w:afterAutospacing="0" w:line="400" w:lineRule="exact"/>
        <w:ind w:firstLine="480" w:firstLineChars="200"/>
        <w:rPr>
          <w:rFonts w:hint="default" w:ascii="方正仿宋_GBK" w:hAnsi="宋体" w:eastAsia="方正仿宋_GBK"/>
          <w:sz w:val="24"/>
          <w:szCs w:val="24"/>
          <w:lang w:val="en-US" w:eastAsia="zh-CN"/>
        </w:rPr>
      </w:pPr>
      <w:r>
        <w:rPr>
          <w:rFonts w:hint="eastAsia" w:ascii="方正仿宋_GBK" w:hAnsi="宋体" w:eastAsia="方正仿宋_GBK"/>
          <w:sz w:val="24"/>
          <w:szCs w:val="24"/>
        </w:rPr>
        <w:t>电  话：</w:t>
      </w:r>
      <w:r>
        <w:rPr>
          <w:rFonts w:hint="eastAsia" w:ascii="方正仿宋_GBK" w:hAnsi="宋体" w:eastAsia="方正仿宋_GBK"/>
          <w:sz w:val="24"/>
          <w:szCs w:val="24"/>
          <w:lang w:val="en-US" w:eastAsia="zh-CN"/>
        </w:rPr>
        <w:t>65360407</w:t>
      </w:r>
    </w:p>
    <w:p>
      <w:pPr>
        <w:snapToGrid w:val="0"/>
        <w:spacing w:beforeAutospacing="0" w:afterAutospacing="0" w:line="400" w:lineRule="exact"/>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质疑联系人：周老师</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联系电话</w:t>
      </w:r>
      <w:r>
        <w:rPr>
          <w:rFonts w:hint="eastAsia" w:ascii="方正仿宋_GBK" w:hAnsi="宋体" w:eastAsia="方正仿宋_GBK"/>
          <w:sz w:val="24"/>
          <w:szCs w:val="24"/>
        </w:rPr>
        <w:t>：023-</w:t>
      </w:r>
      <w:r>
        <w:rPr>
          <w:rFonts w:hint="eastAsia" w:ascii="方正仿宋_GBK" w:hAnsi="宋体" w:eastAsia="方正仿宋_GBK"/>
          <w:sz w:val="24"/>
          <w:szCs w:val="24"/>
          <w:lang w:val="en-US" w:eastAsia="zh-CN"/>
        </w:rPr>
        <w:t>81151009</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地  址：</w:t>
      </w:r>
      <w:r>
        <w:rPr>
          <w:rFonts w:hint="eastAsia" w:ascii="方正仿宋_GBK" w:hAnsi="宋体" w:eastAsia="方正仿宋_GBK"/>
          <w:color w:val="000000"/>
          <w:sz w:val="24"/>
          <w:szCs w:val="24"/>
        </w:rPr>
        <w:t>重庆市沙坪坝区沙中路</w:t>
      </w:r>
      <w:r>
        <w:rPr>
          <w:rFonts w:hint="eastAsia" w:ascii="方正仿宋_GBK" w:hAnsi="宋体" w:eastAsia="方正仿宋_GBK"/>
          <w:color w:val="000000"/>
          <w:sz w:val="24"/>
          <w:szCs w:val="24"/>
          <w:lang w:val="en-US" w:eastAsia="zh-CN"/>
        </w:rPr>
        <w:t>6</w:t>
      </w:r>
      <w:r>
        <w:rPr>
          <w:rFonts w:hint="eastAsia" w:ascii="方正仿宋_GBK" w:hAnsi="宋体" w:eastAsia="方正仿宋_GBK"/>
          <w:color w:val="000000"/>
          <w:sz w:val="24"/>
          <w:szCs w:val="24"/>
        </w:rPr>
        <w:t>号</w:t>
      </w:r>
      <w:r>
        <w:rPr>
          <w:rFonts w:hint="eastAsia" w:ascii="方正仿宋_GBK" w:hAnsi="宋体" w:eastAsia="方正仿宋_GBK"/>
          <w:color w:val="000000"/>
          <w:sz w:val="24"/>
          <w:szCs w:val="24"/>
          <w:lang w:eastAsia="zh-CN"/>
        </w:rPr>
        <w:t>附</w:t>
      </w:r>
      <w:r>
        <w:rPr>
          <w:rFonts w:hint="eastAsia" w:ascii="方正仿宋_GBK" w:hAnsi="宋体" w:eastAsia="方正仿宋_GBK"/>
          <w:color w:val="000000"/>
          <w:sz w:val="24"/>
          <w:szCs w:val="24"/>
          <w:lang w:val="en-US" w:eastAsia="zh-CN"/>
        </w:rPr>
        <w:t>6号</w:t>
      </w:r>
    </w:p>
    <w:p>
      <w:pPr>
        <w:snapToGrid w:val="0"/>
        <w:spacing w:beforeAutospacing="0" w:afterAutospacing="0" w:line="400" w:lineRule="exact"/>
        <w:ind w:firstLine="480" w:firstLineChars="200"/>
        <w:rPr>
          <w:rFonts w:hint="eastAsia" w:ascii="方正仿宋_GBK" w:hAnsi="宋体" w:eastAsia="方正仿宋_GBK"/>
          <w:sz w:val="24"/>
          <w:szCs w:val="24"/>
        </w:rPr>
      </w:pPr>
    </w:p>
    <w:p>
      <w:pPr>
        <w:snapToGrid w:val="0"/>
        <w:spacing w:beforeAutospacing="0" w:afterAutospacing="0" w:line="400" w:lineRule="exact"/>
        <w:ind w:firstLine="481" w:firstLineChars="200"/>
        <w:rPr>
          <w:rFonts w:hint="eastAsia" w:ascii="宋体" w:hAnsi="宋体"/>
          <w:b/>
          <w:sz w:val="24"/>
          <w:szCs w:val="24"/>
        </w:rPr>
        <w:sectPr>
          <w:pgSz w:w="11907" w:h="16840"/>
          <w:pgMar w:top="1134" w:right="1418" w:bottom="1134" w:left="1418" w:header="964" w:footer="992" w:gutter="0"/>
          <w:pgNumType w:fmt="numberInDash"/>
          <w:cols w:space="720" w:num="1"/>
          <w:docGrid w:linePitch="312" w:charSpace="0"/>
        </w:sectPr>
      </w:pPr>
    </w:p>
    <w:p>
      <w:pPr>
        <w:pStyle w:val="2"/>
        <w:spacing w:before="0" w:beforeAutospacing="0" w:after="0" w:afterAutospacing="0" w:line="360" w:lineRule="auto"/>
        <w:jc w:val="center"/>
        <w:rPr>
          <w:rFonts w:hint="eastAsia" w:ascii="方正小标宋_GBK" w:hAnsi="宋体" w:eastAsia="方正小标宋_GBK"/>
          <w:b w:val="0"/>
          <w:sz w:val="30"/>
          <w:szCs w:val="30"/>
        </w:rPr>
      </w:pPr>
      <w:bookmarkStart w:id="36" w:name="_Toc76462324"/>
      <w:bookmarkEnd w:id="36"/>
      <w:bookmarkStart w:id="37" w:name="_Toc106030878"/>
      <w:bookmarkEnd w:id="37"/>
      <w:r>
        <w:rPr>
          <w:rFonts w:hint="eastAsia" w:ascii="方正小标宋_GBK" w:hAnsi="宋体" w:eastAsia="方正小标宋_GBK"/>
          <w:b w:val="0"/>
          <w:sz w:val="36"/>
          <w:szCs w:val="30"/>
        </w:rPr>
        <w:t>第二篇  项目服务需求</w:t>
      </w:r>
    </w:p>
    <w:p>
      <w:pPr>
        <w:spacing w:beforeAutospacing="0" w:afterAutospacing="0" w:line="400" w:lineRule="exact"/>
        <w:ind w:firstLine="480" w:firstLineChars="200"/>
        <w:rPr>
          <w:rFonts w:hint="eastAsia" w:ascii="方正仿宋_GBK" w:hAnsi="宋体" w:eastAsia="方正仿宋_GBK"/>
          <w:sz w:val="24"/>
          <w:szCs w:val="24"/>
        </w:rPr>
      </w:pPr>
      <w:bookmarkStart w:id="38" w:name="_Toc76462325"/>
      <w:bookmarkStart w:id="39" w:name="_Toc12789058"/>
      <w:r>
        <w:rPr>
          <w:rFonts w:hint="eastAsia" w:ascii="方正仿宋_GBK" w:hAnsi="宋体" w:eastAsia="方正仿宋_GBK"/>
          <w:sz w:val="24"/>
          <w:szCs w:val="24"/>
        </w:rPr>
        <w:t>“※”标注的服务需求为符合性审查中的实质性要求，响应文件若不满足按无效响应处理。</w:t>
      </w:r>
    </w:p>
    <w:bookmarkEnd w:id="38"/>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40" w:name="_Toc106030879"/>
      <w:bookmarkEnd w:id="40"/>
      <w:r>
        <w:rPr>
          <w:rFonts w:hint="eastAsia" w:ascii="方正仿宋_GBK" w:hAnsi="宋体" w:eastAsia="方正仿宋_GBK"/>
          <w:sz w:val="24"/>
          <w:szCs w:val="24"/>
        </w:rPr>
        <w:t>※</w:t>
      </w:r>
      <w:r>
        <w:rPr>
          <w:rFonts w:hint="eastAsia" w:ascii="方正仿宋_GBK" w:hAnsi="宋体" w:eastAsia="方正仿宋_GBK"/>
          <w:sz w:val="24"/>
        </w:rPr>
        <w:t>一、项目基本概况介绍</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2642"/>
        <w:gridCol w:w="4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802" w:type="dxa"/>
            <w:vAlign w:val="center"/>
          </w:tcPr>
          <w:p>
            <w:pPr>
              <w:jc w:val="center"/>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名称</w:t>
            </w:r>
          </w:p>
        </w:tc>
        <w:tc>
          <w:tcPr>
            <w:tcW w:w="2642" w:type="dxa"/>
            <w:vAlign w:val="center"/>
          </w:tcPr>
          <w:p>
            <w:pPr>
              <w:jc w:val="center"/>
              <w:rPr>
                <w:rFonts w:hint="eastAsia" w:ascii="方正仿宋_GBK" w:hAnsi="宋体" w:eastAsia="方正仿宋_GBK"/>
                <w:sz w:val="24"/>
                <w:szCs w:val="24"/>
                <w:lang w:val="zh-CN" w:eastAsia="zh-CN"/>
              </w:rPr>
            </w:pPr>
            <w:r>
              <w:rPr>
                <w:rFonts w:hint="eastAsia" w:ascii="方正仿宋_GBK" w:hAnsi="宋体" w:eastAsia="方正仿宋_GBK"/>
                <w:sz w:val="24"/>
                <w:szCs w:val="24"/>
                <w:lang w:val="zh-CN" w:eastAsia="zh-CN"/>
              </w:rPr>
              <w:t>成交供应商数量（名）</w:t>
            </w:r>
          </w:p>
        </w:tc>
        <w:tc>
          <w:tcPr>
            <w:tcW w:w="4184" w:type="dxa"/>
            <w:vAlign w:val="center"/>
          </w:tcPr>
          <w:p>
            <w:pPr>
              <w:jc w:val="center"/>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802" w:type="dxa"/>
            <w:vAlign w:val="top"/>
          </w:tcPr>
          <w:p>
            <w:pPr>
              <w:jc w:val="center"/>
              <w:rPr>
                <w:rFonts w:hint="eastAsia" w:ascii="方正仿宋_GBK" w:hAnsi="宋体" w:eastAsia="方正仿宋_GBK"/>
                <w:sz w:val="24"/>
                <w:szCs w:val="24"/>
                <w:lang w:val="zh-CN" w:eastAsia="zh-CN"/>
              </w:rPr>
            </w:pPr>
            <w:r>
              <w:rPr>
                <w:rFonts w:hint="eastAsia" w:ascii="微软雅黑" w:hAnsi="微软雅黑" w:eastAsia="微软雅黑" w:cs="微软雅黑"/>
                <w:color w:val="000000" w:themeColor="text1"/>
                <w:sz w:val="21"/>
                <w:szCs w:val="21"/>
                <w14:textFill>
                  <w14:solidFill>
                    <w14:schemeClr w14:val="tx1"/>
                  </w14:solidFill>
                </w14:textFill>
              </w:rPr>
              <w:t>沙坪坝区</w:t>
            </w:r>
            <w:r>
              <w:rPr>
                <w:rFonts w:hint="eastAsia" w:ascii="微软雅黑" w:hAnsi="微软雅黑" w:eastAsia="微软雅黑" w:cs="微软雅黑"/>
                <w:color w:val="000000" w:themeColor="text1"/>
                <w:sz w:val="21"/>
                <w:szCs w:val="21"/>
                <w:lang w:eastAsia="zh-CN"/>
                <w14:textFill>
                  <w14:solidFill>
                    <w14:schemeClr w14:val="tx1"/>
                  </w14:solidFill>
                </w14:textFill>
              </w:rPr>
              <w:t>陈家桥</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街道</w:t>
            </w:r>
            <w:r>
              <w:rPr>
                <w:rFonts w:hint="eastAsia" w:ascii="微软雅黑" w:hAnsi="微软雅黑" w:eastAsia="微软雅黑" w:cs="微软雅黑"/>
                <w:color w:val="000000" w:themeColor="text1"/>
                <w:sz w:val="21"/>
                <w:szCs w:val="21"/>
                <w14:textFill>
                  <w14:solidFill>
                    <w14:schemeClr w14:val="tx1"/>
                  </w14:solidFill>
                </w14:textFill>
              </w:rPr>
              <w:t>采购</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公园广场绿化管护</w:t>
            </w:r>
            <w:r>
              <w:rPr>
                <w:rFonts w:hint="eastAsia" w:ascii="微软雅黑" w:hAnsi="微软雅黑" w:eastAsia="微软雅黑" w:cs="微软雅黑"/>
                <w:color w:val="000000" w:themeColor="text1"/>
                <w:sz w:val="21"/>
                <w:szCs w:val="21"/>
                <w14:textFill>
                  <w14:solidFill>
                    <w14:schemeClr w14:val="tx1"/>
                  </w14:solidFill>
                </w14:textFill>
              </w:rPr>
              <w:t>单位</w:t>
            </w:r>
          </w:p>
        </w:tc>
        <w:tc>
          <w:tcPr>
            <w:tcW w:w="2642" w:type="dxa"/>
            <w:vAlign w:val="center"/>
          </w:tcPr>
          <w:p>
            <w:pPr>
              <w:jc w:val="center"/>
              <w:rPr>
                <w:rFonts w:hint="eastAsia" w:ascii="方正仿宋_GBK" w:hAnsi="宋体" w:eastAsia="方正仿宋_GBK"/>
                <w:sz w:val="24"/>
                <w:szCs w:val="24"/>
                <w:lang w:val="zh-CN" w:eastAsia="zh-CN"/>
              </w:rPr>
            </w:pPr>
            <w:r>
              <w:rPr>
                <w:rFonts w:hint="eastAsia" w:ascii="方正仿宋_GBK" w:hAnsi="宋体" w:eastAsia="方正仿宋_GBK"/>
                <w:sz w:val="24"/>
                <w:szCs w:val="24"/>
                <w:lang w:val="en-US" w:eastAsia="zh-CN"/>
              </w:rPr>
              <w:t>1</w:t>
            </w:r>
          </w:p>
        </w:tc>
        <w:tc>
          <w:tcPr>
            <w:tcW w:w="4184" w:type="dxa"/>
            <w:vAlign w:val="center"/>
          </w:tcPr>
          <w:p>
            <w:pPr>
              <w:jc w:val="center"/>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合同签订后至2023年12月31日止</w:t>
            </w:r>
          </w:p>
        </w:tc>
      </w:tr>
    </w:tbl>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41" w:name="_Toc106030880"/>
      <w:bookmarkEnd w:id="41"/>
      <w:r>
        <w:rPr>
          <w:rFonts w:hint="eastAsia" w:ascii="方正仿宋_GBK" w:hAnsi="宋体" w:eastAsia="方正仿宋_GBK"/>
          <w:sz w:val="24"/>
          <w:szCs w:val="24"/>
        </w:rPr>
        <w:t>※</w:t>
      </w:r>
      <w:r>
        <w:rPr>
          <w:rFonts w:hint="eastAsia" w:ascii="方正仿宋_GBK" w:hAnsi="宋体" w:eastAsia="方正仿宋_GBK"/>
          <w:sz w:val="24"/>
        </w:rPr>
        <w:t>二、项目基本情况</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eastAsia="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作业区域面积：</w:t>
      </w:r>
      <w:r>
        <w:rPr>
          <w:rFonts w:hint="eastAsia" w:ascii="微软雅黑" w:hAnsi="微软雅黑" w:eastAsia="微软雅黑" w:cs="微软雅黑"/>
          <w:bCs/>
          <w:color w:val="000000" w:themeColor="text1"/>
          <w:kern w:val="2"/>
          <w:sz w:val="24"/>
          <w:szCs w:val="24"/>
          <w:lang w:val="zh-CN" w:eastAsia="zh-CN" w:bidi="ar-SA"/>
          <w14:textFill>
            <w14:solidFill>
              <w14:schemeClr w14:val="tx1"/>
            </w14:solidFill>
          </w14:textFill>
        </w:rPr>
        <w:t>虎电公园、学林公园、桥东公园、桥南公园、学府广场、体育广场等区域，总面积</w:t>
      </w:r>
      <w:r>
        <w:rPr>
          <w:rFonts w:hint="eastAsia" w:ascii="微软雅黑" w:hAnsi="微软雅黑" w:eastAsia="微软雅黑" w:cs="微软雅黑"/>
          <w:bCs/>
          <w:color w:val="000000" w:themeColor="text1"/>
          <w:kern w:val="2"/>
          <w:sz w:val="24"/>
          <w:szCs w:val="24"/>
          <w:lang w:val="en-US" w:eastAsia="zh-CN" w:bidi="ar-SA"/>
          <w14:textFill>
            <w14:solidFill>
              <w14:schemeClr w14:val="tx1"/>
            </w14:solidFill>
          </w14:textFill>
        </w:rPr>
        <w:t>91535㎡。</w:t>
      </w:r>
    </w:p>
    <w:p>
      <w:pPr>
        <w:ind w:firstLine="481"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三、项目服务标准</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eastAsia="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（一）服务</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要求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Cs/>
          <w:color w:val="000000" w:themeColor="text1"/>
          <w:sz w:val="24"/>
          <w:szCs w:val="24"/>
          <w:lang w:val="zh-CN"/>
          <w14:textFill>
            <w14:solidFill>
              <w14:schemeClr w14:val="tx1"/>
            </w14:solidFill>
          </w14:textFill>
        </w:rPr>
        <w:t>1</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园林植物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 乔木</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树冠完整美观，分支点合适，基本无枯枝败叶。主侧枝分布匀称形成最佳的叶镶嵌效果，内膛枝不乱。叶片大小、颜色正常，常绿乔木基本无黄叶，落叶乔木应及时清理落叶。开花乔木花朵繁茂色泽艳丽。不同品种乔木的生物习性得到展现。</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应依据园林绿化功能的需要和设计的要求，充分考虑乔木与生长环境的关系，调整树形，均衡树势。每年必须根据树龄及生长势强弱进行修剪，调整乔木的通风、透光，促使乔木的生长。乔木的修剪应以自然树形为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C</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孤植乔木应形态突出，树形完美，树冠饱满，符合观赏要求；树穴覆盖完整。</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D</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古树、大树、名树和珍稀树应有档案和养护技术措施并按计划实施养护，效果良好。</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（2）行道树</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冠形完整，无缺株，应保持线路上乔木的整体形态和植物层次（含器皿栽种），绿地内无枯死株。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修枝及时，排危修枝不得超出24小时，补栽及清理现场不得超出48小时，与架空线间距基本合理，长势旺盛，树圈内无积水，树圈完好率90%以上。</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C</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行道树中乔木的修剪，除应按一般乔木要求操作外，还应注意以下规定：</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行道树的树型、冠幅、分枝点高度及冠下缘线应基本一致，高度应符合行道树的有关标准。</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树木与架空线有矛盾时，应修剪树枝，使其与架空线保持安全距离。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交通路口和指示牌的树冠应符合交通管理部门的有关规定。</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路灯和变压设备附近的树枝应与其保留出足够的安全距离。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(3) 灌木</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树冠完整不缺向，枝叶茂密，生长健壮，叶色正常。花灌木株形丰满，正常开花，着花率高，开花繁茂，花色艳丽。色块灌木丰满，无残缺株，色块分明，层次突出，线条清晰流畅。自然式灌木无论片植、孤植、丛植和线性栽植均应在疏密、品种、高低错落及群体、线性、株及丛的整体与个体形态体现设计意图。</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灌木的修剪应以自然树形为主。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C</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木本花卉修剪：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当年生枝条开花的，在休眠期修剪。为控制树形及高度，对生长健壮的枝条因树制宜的短截，促发新枝。</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1年多次开花的，花落后应及时剪去残花，促使再次开花。</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隔年生枝条开花的，休眠期因树适当整形修剪。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多年生枝条开花，应注意培育和保护老枝。</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(4) 一、二年生草本花卉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花朵分布均匀，花朵大小和数量正常，生长健壮，符合该品种的特点。维护株形并及时剪除残花、枯叶、残株。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(5) 多年生宿根、球根花卉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生长健壮，叶色、冠幅正常，花朵大小、色泽正常，花后休眠期按品种科学处理。</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(6) 草坪、草地</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草种纯。草坪生长茂盛，叶色正常，平坦整洁，修剪后无残留草屑，剪口无明显撕裂现象。基本无秃斑、枯草层、杂草，覆盖度达95%以上。及时更换补植被破坏或其他原因引起死亡的草坪草。草地无大型、恶性、缠绕性杂草；无明显影响景观面貌的杂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(7) 地被植物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单植地被</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无死株，群体景观效果好，季相变化明显。生长茂盛，覆盖率为90%以上，无空秃。无大型、恶性、缠绕性杂草；无明显影响景观面貌的杂草。有害生物受害率控制在10%以下。</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混植地被</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无死株和残存枯花。生长茂盛，符合生态要求，覆盖率为90%以上，无空秃。无大型、恶性、缠绕性杂草；无明显影响景观面貌的杂草。有害生物受害率控制在10%以下。</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(8) 水生植物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植株生长健壮，保持形态特征，观花观果植株正常开花结果，观花观叶期长。无杂草，水质清澈无异味，水面种植范围内无漂浮杂物。水面深度与其生长的水生植物保持最佳高度。</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(9) 藤蔓植物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根据其形态特征及生长习性，合理立架建栅，满足功能合乎要求。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藤蔓植物修剪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吸附类藤木，应在生长期或休眠期剪去未能吸附墙体而下垂的枝条。</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缠绕、依附类藤木，根据生长势进行修剪，可适当疏剪过密枝条，清除枯死枝。</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生长于棚架的藤木，休眠期应疏剪影响通风透光的过密枝条，清除枯死枝。</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(10) 整形植物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A.</w:t>
      </w:r>
      <w:r>
        <w:rPr>
          <w:rFonts w:hint="eastAsia" w:ascii="微软雅黑" w:hAnsi="微软雅黑" w:eastAsia="微软雅黑" w:cs="微软雅黑"/>
          <w:bCs/>
          <w:color w:val="000000" w:themeColor="text1"/>
          <w:sz w:val="24"/>
          <w:szCs w:val="24"/>
          <w:lang w:val="zh-CN"/>
          <w14:textFill>
            <w14:solidFill>
              <w14:schemeClr w14:val="tx1"/>
            </w14:solidFill>
          </w14:textFill>
        </w:rPr>
        <w:t>模纹图案植物轮廓清晰，色彩、层次明快，整齐美观，全株枝叶丰满，满足设计要求。无残缺植株。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B.</w:t>
      </w:r>
      <w:r>
        <w:rPr>
          <w:rFonts w:hint="eastAsia" w:ascii="微软雅黑" w:hAnsi="微软雅黑" w:eastAsia="微软雅黑" w:cs="微软雅黑"/>
          <w:bCs/>
          <w:color w:val="000000" w:themeColor="text1"/>
          <w:sz w:val="24"/>
          <w:szCs w:val="24"/>
          <w:lang w:val="zh-CN"/>
          <w14:textFill>
            <w14:solidFill>
              <w14:schemeClr w14:val="tx1"/>
            </w14:solidFill>
          </w14:textFill>
        </w:rPr>
        <w:t>自然式整形植物根据其形态特征及植物生理特性进行养护，其景观效果满足设计要求。枝叶茂密，生长健壮，形体美观，基本无亮角、缺株。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C.</w:t>
      </w:r>
      <w:r>
        <w:rPr>
          <w:rFonts w:hint="eastAsia" w:ascii="微软雅黑" w:hAnsi="微软雅黑" w:eastAsia="微软雅黑" w:cs="微软雅黑"/>
          <w:bCs/>
          <w:color w:val="000000" w:themeColor="text1"/>
          <w:sz w:val="24"/>
          <w:szCs w:val="24"/>
          <w:lang w:val="zh-CN"/>
          <w14:textFill>
            <w14:solidFill>
              <w14:schemeClr w14:val="tx1"/>
            </w14:solidFill>
          </w14:textFill>
        </w:rPr>
        <w:t xml:space="preserve">绿篱植物轮廓清楚，线条整齐，顶面平整，高度一致，整齐美观。开花植物开花期一致，修剪保持自然丰满。不露空缺、不露枝干、不露捆扎物。无缺株，无枯枝残花。 </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D.</w:t>
      </w:r>
      <w:r>
        <w:rPr>
          <w:rFonts w:hint="eastAsia" w:ascii="微软雅黑" w:hAnsi="微软雅黑" w:eastAsia="微软雅黑" w:cs="微软雅黑"/>
          <w:bCs/>
          <w:color w:val="000000" w:themeColor="text1"/>
          <w:sz w:val="24"/>
          <w:szCs w:val="24"/>
          <w:lang w:val="zh-CN"/>
          <w14:textFill>
            <w14:solidFill>
              <w14:schemeClr w14:val="tx1"/>
            </w14:solidFill>
          </w14:textFill>
        </w:rPr>
        <w:t xml:space="preserve"> 造型植物枝叶茂密，生长健壮，形体美观，轮廓清楚。表面平整、圆滑。不露空缺、不露枝干、不露捆扎物。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(11) 花坛、花带</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植物生长健壮，蓬径饱满，株高基本相等，色彩艳丽，层次分明，图案清晰。不露土，植株无缺株倒伏，基本无枯枝残花。开花期一致，确保重大节日有花。与草坪交界处应边缘清晰，线条流畅美观。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(12) 花境</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植株生长正常，枝叶茂盛，不露土。高低错落有序，季相变化明显，基本无枯枝残花。花卉色彩鲜艳，观赏期长，观花花卉适时开花，观叶植物叶色正常。无明显有害生物危害，植物受害率控制在10%以下；无大型、恶性、缠绕性杂草；无影响景观面貌的杂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(13) 盆栽植物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容器完整清洁，容器外形、规格、色彩与植株协调。植株生长正常、健壮、枝叶繁茂、适时开花，无枯枝残花。叶片清洁。基本无有害生物危害症状，无杂草。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(14) 园林护坡植物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草本类园林护坡植物养护管理参照草坪和多年生宿根花卉的养护管理要求。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木本类园林护坡植物还应注意以下规定：</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灌木类园林护坡植物的修剪应根据其生长特点，适当重剪，使其树冠增加。</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藤蔓类园林护坡植物的修剪：悬垂类园林护坡植物应注意剪除影响美观的多余枝条；吸附类园林植物应及时剪除未能吸附墙体的枝条。</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(15) 立交桥、高架桥等构筑物下园林植物</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草本类园林植物养护管理参照草坪和多年生宿根花卉的养护管理要求。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木本类园林植物养护管理参照灌木的养护管理要求。</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C</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根据需要适时定期浇水。</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（16）古树名木</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A</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保持古树及周围环境的清洁。</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B</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加强古树的病虫害防治工作。</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C</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因地制宜地设置围栏保护古树。</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D</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在古树根系分布范围内，严禁厨房或厕所等有污染气体、液体的设施和排放污水的渗沟；</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E</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严禁在树下设置临时设施、堆放污染古树根系、土壤的物品。</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F</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严禁在树体上钉钉子、绕铁丝、挂杂物或作为施工的支撑点。</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G</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严禁攀折、刮蹭和刻划树皮等伤害古树的行为。</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H</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有纪念意义和特殊观赏价值的古树，应保留其原貌，对枯枝采取防腐处理。需修剪的应制定修剪方案，报主管部门批准。古树树体上的伤疤或空洞应及时填充修补，防止进水。</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I</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古树树体及大枝有倾倒、劈裂或折断的可能时，应及时采取加固或支撑等保护措施。</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J</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对高大树体必须安装避雷装置，以防雷击。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K</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古树复壮事先应制定严格的方案，报请主管部门审查，经批准后方可实施。</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2</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有害生物的防治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（1）防治园林植物有害生物应贯彻“预防为主，综合防治”的方针</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（2）无明显虫屎、虫网，园林树木有蛀干害虫为害的株树不超过1%，园林树木的主干、主枝无明显的虫卵，每株虫食叶片不超过10％。</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（3）及时清理带病虫的落叶、杂草等，消灭病源、虫源，防止病、虫、草、鼠扩散、蔓延。</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3.</w:t>
      </w:r>
      <w:r>
        <w:rPr>
          <w:rFonts w:hint="eastAsia" w:ascii="微软雅黑" w:hAnsi="微软雅黑" w:eastAsia="微软雅黑" w:cs="微软雅黑"/>
          <w:bCs/>
          <w:color w:val="000000" w:themeColor="text1"/>
          <w:sz w:val="24"/>
          <w:szCs w:val="24"/>
          <w:lang w:val="zh-CN"/>
          <w14:textFill>
            <w14:solidFill>
              <w14:schemeClr w14:val="tx1"/>
            </w14:solidFill>
          </w14:textFill>
        </w:rPr>
        <w:t>园林设施完整、安全，维护及时。</w:t>
      </w:r>
    </w:p>
    <w:p>
      <w:pPr>
        <w:adjustRightInd w:val="0"/>
        <w:snapToGrid w:val="0"/>
        <w:spacing w:beforeAutospacing="0" w:afterAutospacing="0"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lang w:val="zh-CN"/>
          <w14:textFill>
            <w14:solidFill>
              <w14:schemeClr w14:val="tx1"/>
            </w14:solidFill>
          </w14:textFill>
        </w:rPr>
        <w:t>4</w:t>
      </w:r>
      <w:r>
        <w:rPr>
          <w:rFonts w:hint="eastAsia" w:ascii="微软雅黑" w:hAnsi="微软雅黑" w:eastAsia="微软雅黑" w:cs="微软雅黑"/>
          <w:bCs/>
          <w:color w:val="000000" w:themeColor="text1"/>
          <w:sz w:val="24"/>
          <w:szCs w:val="24"/>
          <w14:textFill>
            <w14:solidFill>
              <w14:schemeClr w14:val="tx1"/>
            </w14:solidFill>
          </w14:textFill>
        </w:rPr>
        <w:t>.</w:t>
      </w:r>
      <w:r>
        <w:rPr>
          <w:rFonts w:hint="eastAsia" w:ascii="微软雅黑" w:hAnsi="微软雅黑" w:eastAsia="微软雅黑" w:cs="微软雅黑"/>
          <w:bCs/>
          <w:color w:val="000000" w:themeColor="text1"/>
          <w:sz w:val="24"/>
          <w:szCs w:val="24"/>
          <w:lang w:val="zh-CN"/>
          <w14:textFill>
            <w14:solidFill>
              <w14:schemeClr w14:val="tx1"/>
            </w14:solidFill>
          </w14:textFill>
        </w:rPr>
        <w:t>绿地内环境整洁，无堆物、堆料，无明显杂草、植物残渣、落叶清理及时，无垃圾。</w:t>
      </w:r>
    </w:p>
    <w:p>
      <w:pPr>
        <w:adjustRightInd w:val="0"/>
        <w:snapToGrid w:val="0"/>
        <w:spacing w:beforeAutospacing="0" w:afterAutospacing="0" w:line="500" w:lineRule="exact"/>
        <w:ind w:firstLine="480" w:firstLineChars="200"/>
        <w:rPr>
          <w:rFonts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（二）作业标准</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1.</w:t>
      </w:r>
      <w:r>
        <w:rPr>
          <w:rFonts w:hint="eastAsia" w:ascii="微软雅黑" w:hAnsi="微软雅黑" w:eastAsia="微软雅黑" w:cs="微软雅黑"/>
          <w:bCs/>
          <w:color w:val="000000" w:themeColor="text1"/>
          <w:sz w:val="24"/>
          <w:szCs w:val="24"/>
          <w:lang w:val="zh-CN"/>
          <w14:textFill>
            <w14:solidFill>
              <w14:schemeClr w14:val="tx1"/>
            </w14:solidFill>
          </w14:textFill>
        </w:rPr>
        <w:t>常规公园广场管护</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（1）设施设备：</w:t>
      </w:r>
      <w:r>
        <w:rPr>
          <w:rFonts w:hint="eastAsia" w:ascii="微软雅黑" w:hAnsi="微软雅黑" w:eastAsia="微软雅黑" w:cs="微软雅黑"/>
          <w:bCs/>
          <w:color w:val="000000" w:themeColor="text1"/>
          <w:sz w:val="24"/>
          <w:szCs w:val="24"/>
          <w14:textFill>
            <w14:solidFill>
              <w14:schemeClr w14:val="tx1"/>
            </w14:solidFill>
          </w14:textFill>
        </w:rPr>
        <w:t>健身</w:t>
      </w:r>
      <w:r>
        <w:rPr>
          <w:rFonts w:hint="eastAsia" w:ascii="微软雅黑" w:hAnsi="微软雅黑" w:eastAsia="微软雅黑" w:cs="微软雅黑"/>
          <w:bCs/>
          <w:color w:val="000000" w:themeColor="text1"/>
          <w:sz w:val="24"/>
          <w:szCs w:val="24"/>
          <w:lang w:eastAsia="zh-CN"/>
          <w14:textFill>
            <w14:solidFill>
              <w14:schemeClr w14:val="tx1"/>
            </w14:solidFill>
          </w14:textFill>
        </w:rPr>
        <w:t>器材、</w:t>
      </w:r>
      <w:r>
        <w:rPr>
          <w:rFonts w:hint="eastAsia" w:ascii="微软雅黑" w:hAnsi="微软雅黑" w:eastAsia="微软雅黑" w:cs="微软雅黑"/>
          <w:bCs/>
          <w:color w:val="000000" w:themeColor="text1"/>
          <w:sz w:val="24"/>
          <w:szCs w:val="24"/>
          <w14:textFill>
            <w14:solidFill>
              <w14:schemeClr w14:val="tx1"/>
            </w14:solidFill>
          </w14:textFill>
        </w:rPr>
        <w:t>护栏</w:t>
      </w: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环卫设施等的</w:t>
      </w:r>
      <w:r>
        <w:rPr>
          <w:rFonts w:hint="eastAsia" w:ascii="微软雅黑" w:hAnsi="微软雅黑" w:eastAsia="微软雅黑" w:cs="微软雅黑"/>
          <w:bCs/>
          <w:color w:val="000000" w:themeColor="text1"/>
          <w:sz w:val="24"/>
          <w:szCs w:val="24"/>
          <w:lang w:eastAsia="zh-CN"/>
          <w14:textFill>
            <w14:solidFill>
              <w14:schemeClr w14:val="tx1"/>
            </w14:solidFill>
          </w14:textFill>
        </w:rPr>
        <w:t>管理维修与清洁卫生；</w:t>
      </w:r>
      <w:r>
        <w:rPr>
          <w:rFonts w:hint="eastAsia" w:ascii="微软雅黑" w:hAnsi="微软雅黑" w:eastAsia="微软雅黑" w:cs="微软雅黑"/>
          <w:bCs/>
          <w:color w:val="000000" w:themeColor="text1"/>
          <w:sz w:val="24"/>
          <w:szCs w:val="24"/>
          <w14:textFill>
            <w14:solidFill>
              <w14:schemeClr w14:val="tx1"/>
            </w14:solidFill>
          </w14:textFill>
        </w:rPr>
        <w:t>廊灯</w:t>
      </w:r>
      <w:r>
        <w:rPr>
          <w:rFonts w:hint="eastAsia" w:ascii="微软雅黑" w:hAnsi="微软雅黑" w:eastAsia="微软雅黑" w:cs="微软雅黑"/>
          <w:bCs/>
          <w:color w:val="000000" w:themeColor="text1"/>
          <w:sz w:val="24"/>
          <w:szCs w:val="24"/>
          <w:lang w:eastAsia="zh-CN"/>
          <w14:textFill>
            <w14:solidFill>
              <w14:schemeClr w14:val="tx1"/>
            </w14:solidFill>
          </w14:textFill>
        </w:rPr>
        <w:t>、景观灯及线路管理维修；</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地面、管道、水沟、座椅等管理维修。</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eastAsia="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（2）辖区道路、绿地、</w:t>
      </w:r>
      <w:r>
        <w:rPr>
          <w:rFonts w:hint="eastAsia" w:ascii="微软雅黑" w:hAnsi="微软雅黑" w:eastAsia="微软雅黑" w:cs="微软雅黑"/>
          <w:bCs/>
          <w:color w:val="000000" w:themeColor="text1"/>
          <w:sz w:val="24"/>
          <w:szCs w:val="24"/>
          <w14:textFill>
            <w14:solidFill>
              <w14:schemeClr w14:val="tx1"/>
            </w14:solidFill>
          </w14:textFill>
        </w:rPr>
        <w:t>水池、沙池</w:t>
      </w:r>
      <w:r>
        <w:rPr>
          <w:rFonts w:hint="eastAsia" w:ascii="微软雅黑" w:hAnsi="微软雅黑" w:eastAsia="微软雅黑" w:cs="微软雅黑"/>
          <w:bCs/>
          <w:color w:val="000000" w:themeColor="text1"/>
          <w:sz w:val="24"/>
          <w:szCs w:val="24"/>
          <w:lang w:eastAsia="zh-CN"/>
          <w14:textFill>
            <w14:solidFill>
              <w14:schemeClr w14:val="tx1"/>
            </w14:solidFill>
          </w14:textFill>
        </w:rPr>
        <w:t>等区域</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的清扫保洁 </w:t>
      </w: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14:textFill>
            <w14:solidFill>
              <w14:schemeClr w14:val="tx1"/>
            </w14:solidFill>
          </w14:textFill>
        </w:rPr>
        <w:t>垃圾收集、清运</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bCs/>
          <w:color w:val="000000" w:themeColor="text1"/>
          <w:sz w:val="24"/>
          <w:szCs w:val="24"/>
          <w:lang w:eastAsia="zh-CN"/>
          <w14:textFill>
            <w14:solidFill>
              <w14:schemeClr w14:val="tx1"/>
            </w14:solidFill>
          </w14:textFill>
        </w:rPr>
        <w:t>）绿化</w:t>
      </w:r>
      <w:r>
        <w:rPr>
          <w:rFonts w:hint="eastAsia" w:ascii="微软雅黑" w:hAnsi="微软雅黑" w:eastAsia="微软雅黑" w:cs="微软雅黑"/>
          <w:bCs/>
          <w:color w:val="000000" w:themeColor="text1"/>
          <w:sz w:val="24"/>
          <w:szCs w:val="24"/>
          <w14:textFill>
            <w14:solidFill>
              <w14:schemeClr w14:val="tx1"/>
            </w14:solidFill>
          </w14:textFill>
        </w:rPr>
        <w:t>植被、花坛、草坪、灌木、乔木等绿化植物（含</w:t>
      </w:r>
      <w:r>
        <w:rPr>
          <w:rFonts w:hint="eastAsia" w:ascii="微软雅黑" w:hAnsi="微软雅黑" w:eastAsia="微软雅黑" w:cs="微软雅黑"/>
          <w:bCs/>
          <w:color w:val="000000" w:themeColor="text1"/>
          <w:sz w:val="24"/>
          <w:szCs w:val="24"/>
          <w:lang w:eastAsia="zh-CN"/>
          <w14:textFill>
            <w14:solidFill>
              <w14:schemeClr w14:val="tx1"/>
            </w14:solidFill>
          </w14:textFill>
        </w:rPr>
        <w:t>修剪、整形</w:t>
      </w:r>
      <w:r>
        <w:rPr>
          <w:rFonts w:hint="eastAsia" w:ascii="微软雅黑" w:hAnsi="微软雅黑" w:eastAsia="微软雅黑" w:cs="微软雅黑"/>
          <w:bCs/>
          <w:color w:val="000000" w:themeColor="text1"/>
          <w:sz w:val="24"/>
          <w:szCs w:val="24"/>
          <w14:textFill>
            <w14:solidFill>
              <w14:schemeClr w14:val="tx1"/>
            </w14:solidFill>
          </w14:textFill>
        </w:rPr>
        <w:t>、施肥、</w:t>
      </w:r>
      <w:r>
        <w:rPr>
          <w:rFonts w:hint="eastAsia" w:ascii="微软雅黑" w:hAnsi="微软雅黑" w:eastAsia="微软雅黑" w:cs="微软雅黑"/>
          <w:bCs/>
          <w:color w:val="000000" w:themeColor="text1"/>
          <w:sz w:val="24"/>
          <w:szCs w:val="24"/>
          <w:lang w:eastAsia="zh-CN"/>
          <w14:textFill>
            <w14:solidFill>
              <w14:schemeClr w14:val="tx1"/>
            </w14:solidFill>
          </w14:textFill>
        </w:rPr>
        <w:t>打药、</w:t>
      </w:r>
      <w:r>
        <w:rPr>
          <w:rFonts w:hint="eastAsia" w:ascii="微软雅黑" w:hAnsi="微软雅黑" w:eastAsia="微软雅黑" w:cs="微软雅黑"/>
          <w:bCs/>
          <w:color w:val="000000" w:themeColor="text1"/>
          <w:sz w:val="24"/>
          <w:szCs w:val="24"/>
          <w14:textFill>
            <w14:solidFill>
              <w14:schemeClr w14:val="tx1"/>
            </w14:solidFill>
          </w14:textFill>
        </w:rPr>
        <w:t>浇水</w:t>
      </w:r>
      <w:r>
        <w:rPr>
          <w:rFonts w:hint="eastAsia" w:ascii="微软雅黑" w:hAnsi="微软雅黑" w:eastAsia="微软雅黑" w:cs="微软雅黑"/>
          <w:bCs/>
          <w:color w:val="000000" w:themeColor="text1"/>
          <w:sz w:val="24"/>
          <w:szCs w:val="24"/>
          <w:lang w:eastAsia="zh-CN"/>
          <w14:textFill>
            <w14:solidFill>
              <w14:schemeClr w14:val="tx1"/>
            </w14:solidFill>
          </w14:textFill>
        </w:rPr>
        <w:t>、除草、补栽</w:t>
      </w:r>
      <w:r>
        <w:rPr>
          <w:rFonts w:hint="eastAsia" w:ascii="微软雅黑" w:hAnsi="微软雅黑" w:eastAsia="微软雅黑" w:cs="微软雅黑"/>
          <w:bCs/>
          <w:color w:val="000000" w:themeColor="text1"/>
          <w:sz w:val="24"/>
          <w:szCs w:val="24"/>
          <w14:textFill>
            <w14:solidFill>
              <w14:schemeClr w14:val="tx1"/>
            </w14:solidFill>
          </w14:textFill>
        </w:rPr>
        <w:t>等）的养护与管理</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 </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（4）</w:t>
      </w:r>
      <w:r>
        <w:rPr>
          <w:rFonts w:hint="eastAsia" w:ascii="微软雅黑" w:hAnsi="微软雅黑" w:eastAsia="微软雅黑" w:cs="微软雅黑"/>
          <w:bCs/>
          <w:color w:val="000000" w:themeColor="text1"/>
          <w:sz w:val="24"/>
          <w:szCs w:val="24"/>
          <w14:textFill>
            <w14:solidFill>
              <w14:schemeClr w14:val="tx1"/>
            </w14:solidFill>
          </w14:textFill>
        </w:rPr>
        <w:t>公共秩序管理</w:t>
      </w:r>
      <w:r>
        <w:rPr>
          <w:rFonts w:hint="eastAsia" w:ascii="微软雅黑" w:hAnsi="微软雅黑" w:eastAsia="微软雅黑" w:cs="微软雅黑"/>
          <w:bCs/>
          <w:color w:val="000000" w:themeColor="text1"/>
          <w:sz w:val="24"/>
          <w:szCs w:val="24"/>
          <w:lang w:eastAsia="zh-CN"/>
          <w14:textFill>
            <w14:solidFill>
              <w14:schemeClr w14:val="tx1"/>
            </w14:solidFill>
          </w14:textFill>
        </w:rPr>
        <w:t>【不能有</w:t>
      </w:r>
      <w:r>
        <w:rPr>
          <w:rFonts w:hint="eastAsia" w:ascii="微软雅黑" w:hAnsi="微软雅黑" w:eastAsia="微软雅黑" w:cs="微软雅黑"/>
          <w:bCs/>
          <w:color w:val="000000" w:themeColor="text1"/>
          <w:sz w:val="24"/>
          <w:szCs w:val="24"/>
          <w14:textFill>
            <w14:solidFill>
              <w14:schemeClr w14:val="tx1"/>
            </w14:solidFill>
          </w14:textFill>
        </w:rPr>
        <w:t>商贩贩卖、</w:t>
      </w:r>
      <w:r>
        <w:rPr>
          <w:rFonts w:hint="eastAsia" w:ascii="微软雅黑" w:hAnsi="微软雅黑" w:eastAsia="微软雅黑" w:cs="微软雅黑"/>
          <w:bCs/>
          <w:color w:val="000000" w:themeColor="text1"/>
          <w:sz w:val="24"/>
          <w:szCs w:val="24"/>
          <w:lang w:eastAsia="zh-CN"/>
          <w14:textFill>
            <w14:solidFill>
              <w14:schemeClr w14:val="tx1"/>
            </w14:solidFill>
          </w14:textFill>
        </w:rPr>
        <w:t>车辆停放、商业宣传活动等】</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bCs/>
          <w:color w:val="000000" w:themeColor="text1"/>
          <w:sz w:val="24"/>
          <w:szCs w:val="24"/>
          <w:lang w:eastAsia="zh-CN"/>
          <w14:textFill>
            <w14:solidFill>
              <w14:schemeClr w14:val="tx1"/>
            </w14:solidFill>
          </w14:textFill>
        </w:rPr>
        <w:t>）辖区</w:t>
      </w:r>
      <w:r>
        <w:rPr>
          <w:rFonts w:hint="eastAsia" w:ascii="微软雅黑" w:hAnsi="微软雅黑" w:eastAsia="微软雅黑" w:cs="微软雅黑"/>
          <w:bCs/>
          <w:color w:val="000000" w:themeColor="text1"/>
          <w:sz w:val="24"/>
          <w:szCs w:val="24"/>
          <w14:textFill>
            <w14:solidFill>
              <w14:schemeClr w14:val="tx1"/>
            </w14:solidFill>
          </w14:textFill>
        </w:rPr>
        <w:t>安全</w:t>
      </w:r>
      <w:r>
        <w:rPr>
          <w:rFonts w:hint="eastAsia" w:ascii="微软雅黑" w:hAnsi="微软雅黑" w:eastAsia="微软雅黑" w:cs="微软雅黑"/>
          <w:bCs/>
          <w:color w:val="000000" w:themeColor="text1"/>
          <w:sz w:val="24"/>
          <w:szCs w:val="24"/>
          <w:lang w:eastAsia="zh-CN"/>
          <w14:textFill>
            <w14:solidFill>
              <w14:schemeClr w14:val="tx1"/>
            </w14:solidFill>
          </w14:textFill>
        </w:rPr>
        <w:t>管理</w:t>
      </w:r>
      <w:r>
        <w:rPr>
          <w:rFonts w:hint="eastAsia" w:ascii="微软雅黑" w:hAnsi="微软雅黑" w:eastAsia="微软雅黑" w:cs="微软雅黑"/>
          <w:bCs/>
          <w:color w:val="000000" w:themeColor="text1"/>
          <w:sz w:val="24"/>
          <w:szCs w:val="24"/>
          <w14:textFill>
            <w14:solidFill>
              <w14:schemeClr w14:val="tx1"/>
            </w14:solidFill>
          </w14:textFill>
        </w:rPr>
        <w:t>和服务</w:t>
      </w: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lang w:eastAsia="zh-CN"/>
          <w14:textFill>
            <w14:solidFill>
              <w14:schemeClr w14:val="tx1"/>
            </w14:solidFill>
          </w14:textFill>
        </w:rPr>
        <w:sym w:font="Wingdings" w:char="F081"/>
      </w:r>
      <w:r>
        <w:rPr>
          <w:rFonts w:hint="eastAsia" w:ascii="微软雅黑" w:hAnsi="微软雅黑" w:eastAsia="微软雅黑" w:cs="微软雅黑"/>
          <w:bCs/>
          <w:color w:val="000000" w:themeColor="text1"/>
          <w:sz w:val="24"/>
          <w:szCs w:val="24"/>
          <w:lang w:eastAsia="zh-CN"/>
          <w14:textFill>
            <w14:solidFill>
              <w14:schemeClr w14:val="tx1"/>
            </w14:solidFill>
          </w14:textFill>
        </w:rPr>
        <w:t>定期进行安全排查并及时处理存在的安全隐患</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 ；</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sym w:font="Wingdings" w:char="F082"/>
      </w:r>
      <w:r>
        <w:rPr>
          <w:rFonts w:hint="eastAsia" w:ascii="微软雅黑" w:hAnsi="微软雅黑" w:eastAsia="微软雅黑" w:cs="微软雅黑"/>
          <w:bCs/>
          <w:color w:val="000000" w:themeColor="text1"/>
          <w:sz w:val="24"/>
          <w:szCs w:val="24"/>
          <w:lang w:eastAsia="zh-CN"/>
          <w14:textFill>
            <w14:solidFill>
              <w14:schemeClr w14:val="tx1"/>
            </w14:solidFill>
          </w14:textFill>
        </w:rPr>
        <w:t>负责</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LED设备的播放；</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sym w:font="Wingdings" w:char="F083"/>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街道交付给学府广场演出设施设备的管理：桌椅、塑料凳、地胶、合唱凳、桁架等；④配合做好街道、社区组织的公益宣传、文体等活动（舞台搭建、地胶铺设、搬运桌椅等）。</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eastAsia="zh-CN"/>
          <w14:textFill>
            <w14:solidFill>
              <w14:schemeClr w14:val="tx1"/>
            </w14:solidFill>
          </w14:textFill>
        </w:rPr>
        <w:t>（</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6）廊灯、景观灯照明时间随季节进行合理调整。</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2.绿化植物管护</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（1）</w:t>
      </w:r>
      <w:r>
        <w:rPr>
          <w:rFonts w:hint="eastAsia" w:ascii="微软雅黑" w:hAnsi="微软雅黑" w:eastAsia="微软雅黑" w:cs="微软雅黑"/>
          <w:bCs/>
          <w:color w:val="000000" w:themeColor="text1"/>
          <w:sz w:val="24"/>
          <w:szCs w:val="24"/>
          <w:lang w:val="zh-CN"/>
          <w14:textFill>
            <w14:solidFill>
              <w14:schemeClr w14:val="tx1"/>
            </w14:solidFill>
          </w14:textFill>
        </w:rPr>
        <w:t>乔木的施肥、修枝整形、浇水、扶正、除杂、降尘</w:t>
      </w:r>
      <w:r>
        <w:rPr>
          <w:rFonts w:hint="eastAsia" w:ascii="微软雅黑" w:hAnsi="微软雅黑" w:eastAsia="微软雅黑" w:cs="微软雅黑"/>
          <w:bCs/>
          <w:color w:val="000000" w:themeColor="text1"/>
          <w:sz w:val="24"/>
          <w:szCs w:val="24"/>
          <w14:textFill>
            <w14:solidFill>
              <w14:schemeClr w14:val="tx1"/>
            </w14:solidFill>
          </w14:textFill>
        </w:rPr>
        <w:t>。</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（2）</w:t>
      </w:r>
      <w:r>
        <w:rPr>
          <w:rFonts w:hint="eastAsia" w:ascii="微软雅黑" w:hAnsi="微软雅黑" w:eastAsia="微软雅黑" w:cs="微软雅黑"/>
          <w:bCs/>
          <w:color w:val="000000" w:themeColor="text1"/>
          <w:sz w:val="24"/>
          <w:szCs w:val="24"/>
          <w:lang w:val="zh-CN"/>
          <w14:textFill>
            <w14:solidFill>
              <w14:schemeClr w14:val="tx1"/>
            </w14:solidFill>
          </w14:textFill>
        </w:rPr>
        <w:t>整形灌木的整形修剪、平面绿篱、浇水、中耕除草、施肥、除杂、清洗。</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（3）</w:t>
      </w:r>
      <w:r>
        <w:rPr>
          <w:rFonts w:hint="eastAsia" w:ascii="微软雅黑" w:hAnsi="微软雅黑" w:eastAsia="微软雅黑" w:cs="微软雅黑"/>
          <w:bCs/>
          <w:color w:val="000000" w:themeColor="text1"/>
          <w:sz w:val="24"/>
          <w:szCs w:val="24"/>
          <w:lang w:val="zh-CN"/>
          <w14:textFill>
            <w14:solidFill>
              <w14:schemeClr w14:val="tx1"/>
            </w14:solidFill>
          </w14:textFill>
        </w:rPr>
        <w:t>自然灌木的修剪、浇水、中耕除草、施肥、除杂、清洗</w:t>
      </w:r>
      <w:r>
        <w:rPr>
          <w:rFonts w:hint="eastAsia" w:ascii="微软雅黑" w:hAnsi="微软雅黑" w:eastAsia="微软雅黑" w:cs="微软雅黑"/>
          <w:bCs/>
          <w:color w:val="000000" w:themeColor="text1"/>
          <w:sz w:val="24"/>
          <w:szCs w:val="24"/>
          <w14:textFill>
            <w14:solidFill>
              <w14:schemeClr w14:val="tx1"/>
            </w14:solidFill>
          </w14:textFill>
        </w:rPr>
        <w:t>。</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（4）</w:t>
      </w:r>
      <w:r>
        <w:rPr>
          <w:rFonts w:hint="eastAsia" w:ascii="微软雅黑" w:hAnsi="微软雅黑" w:eastAsia="微软雅黑" w:cs="微软雅黑"/>
          <w:bCs/>
          <w:color w:val="000000" w:themeColor="text1"/>
          <w:sz w:val="24"/>
          <w:szCs w:val="24"/>
          <w:lang w:val="zh-CN"/>
          <w14:textFill>
            <w14:solidFill>
              <w14:schemeClr w14:val="tx1"/>
            </w14:solidFill>
          </w14:textFill>
        </w:rPr>
        <w:t>地被植物的地被梳理、浇水、中耕除草、施肥、清洗</w:t>
      </w:r>
      <w:r>
        <w:rPr>
          <w:rFonts w:hint="eastAsia" w:ascii="微软雅黑" w:hAnsi="微软雅黑" w:eastAsia="微软雅黑" w:cs="微软雅黑"/>
          <w:bCs/>
          <w:color w:val="000000" w:themeColor="text1"/>
          <w:sz w:val="24"/>
          <w:szCs w:val="24"/>
          <w14:textFill>
            <w14:solidFill>
              <w14:schemeClr w14:val="tx1"/>
            </w14:solidFill>
          </w14:textFill>
        </w:rPr>
        <w:t>。</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14:textFill>
            <w14:solidFill>
              <w14:schemeClr w14:val="tx1"/>
            </w14:solidFill>
          </w14:textFill>
        </w:rPr>
        <w:t>（5）</w:t>
      </w:r>
      <w:r>
        <w:rPr>
          <w:rFonts w:hint="eastAsia" w:ascii="微软雅黑" w:hAnsi="微软雅黑" w:eastAsia="微软雅黑" w:cs="微软雅黑"/>
          <w:bCs/>
          <w:color w:val="000000" w:themeColor="text1"/>
          <w:sz w:val="24"/>
          <w:szCs w:val="24"/>
          <w:lang w:val="zh-CN"/>
          <w14:textFill>
            <w14:solidFill>
              <w14:schemeClr w14:val="tx1"/>
            </w14:solidFill>
          </w14:textFill>
        </w:rPr>
        <w:t>草坪的杂草清理、修剪、施肥、浇水、除杂、清洗；</w:t>
      </w:r>
      <w:r>
        <w:rPr>
          <w:rFonts w:hint="eastAsia" w:ascii="微软雅黑" w:hAnsi="微软雅黑" w:eastAsia="微软雅黑" w:cs="微软雅黑"/>
          <w:bCs/>
          <w:color w:val="000000" w:themeColor="text1"/>
          <w:sz w:val="24"/>
          <w:szCs w:val="24"/>
          <w14:textFill>
            <w14:solidFill>
              <w14:schemeClr w14:val="tx1"/>
            </w14:solidFill>
          </w14:textFill>
        </w:rPr>
        <w:t>裸土、行道树补栽。</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auto"/>
          <w:sz w:val="24"/>
          <w:szCs w:val="24"/>
        </w:rPr>
      </w:pPr>
      <w:r>
        <w:rPr>
          <w:rFonts w:hint="eastAsia" w:ascii="微软雅黑" w:hAnsi="微软雅黑" w:eastAsia="微软雅黑" w:cs="微软雅黑"/>
          <w:bCs/>
          <w:color w:val="000000" w:themeColor="text1"/>
          <w:sz w:val="24"/>
          <w:szCs w:val="24"/>
          <w14:textFill>
            <w14:solidFill>
              <w14:schemeClr w14:val="tx1"/>
            </w14:solidFill>
          </w14:textFill>
        </w:rPr>
        <w:t>（6）对辖</w:t>
      </w:r>
      <w:r>
        <w:rPr>
          <w:rFonts w:hint="eastAsia" w:ascii="微软雅黑" w:hAnsi="微软雅黑" w:eastAsia="微软雅黑" w:cs="微软雅黑"/>
          <w:bCs/>
          <w:color w:val="auto"/>
          <w:sz w:val="24"/>
          <w:szCs w:val="24"/>
        </w:rPr>
        <w:t>区内</w:t>
      </w:r>
      <w:r>
        <w:rPr>
          <w:rFonts w:hint="eastAsia" w:ascii="微软雅黑" w:hAnsi="微软雅黑" w:eastAsia="微软雅黑" w:cs="微软雅黑"/>
          <w:bCs/>
          <w:color w:val="auto"/>
          <w:sz w:val="24"/>
          <w:szCs w:val="24"/>
          <w:lang w:eastAsia="zh-CN"/>
        </w:rPr>
        <w:t>广场公园</w:t>
      </w:r>
      <w:r>
        <w:rPr>
          <w:rFonts w:hint="eastAsia" w:ascii="微软雅黑" w:hAnsi="微软雅黑" w:eastAsia="微软雅黑" w:cs="微软雅黑"/>
          <w:bCs/>
          <w:color w:val="auto"/>
          <w:sz w:val="24"/>
          <w:szCs w:val="24"/>
        </w:rPr>
        <w:t>树</w:t>
      </w:r>
      <w:r>
        <w:rPr>
          <w:rFonts w:hint="eastAsia" w:ascii="微软雅黑" w:hAnsi="微软雅黑" w:eastAsia="微软雅黑" w:cs="微软雅黑"/>
          <w:bCs/>
          <w:color w:val="auto"/>
          <w:sz w:val="24"/>
          <w:szCs w:val="24"/>
          <w:lang w:eastAsia="zh-CN"/>
        </w:rPr>
        <w:t>木</w:t>
      </w:r>
      <w:r>
        <w:rPr>
          <w:rFonts w:hint="eastAsia" w:ascii="微软雅黑" w:hAnsi="微软雅黑" w:eastAsia="微软雅黑" w:cs="微软雅黑"/>
          <w:bCs/>
          <w:color w:val="auto"/>
          <w:sz w:val="24"/>
          <w:szCs w:val="24"/>
        </w:rPr>
        <w:t>要求在承包期内进行全面修剪。</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Cs/>
          <w:color w:val="auto"/>
          <w:sz w:val="24"/>
          <w:szCs w:val="24"/>
          <w:lang w:val="en-US" w:eastAsia="zh-CN"/>
        </w:rPr>
        <w:t>（7）每年不低于四次对广场公园节点带鲜花进行</w:t>
      </w: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更换、养护。</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3. </w:t>
      </w:r>
      <w:r>
        <w:rPr>
          <w:rFonts w:hint="eastAsia" w:ascii="微软雅黑" w:hAnsi="微软雅黑" w:eastAsia="微软雅黑" w:cs="微软雅黑"/>
          <w:bCs/>
          <w:color w:val="000000" w:themeColor="text1"/>
          <w:sz w:val="24"/>
          <w:szCs w:val="24"/>
          <w:lang w:val="zh-CN"/>
          <w14:textFill>
            <w14:solidFill>
              <w14:schemeClr w14:val="tx1"/>
            </w14:solidFill>
          </w14:textFill>
        </w:rPr>
        <w:t>病虫害防治</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val="zh-CN"/>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4. </w:t>
      </w:r>
      <w:r>
        <w:rPr>
          <w:rFonts w:hint="eastAsia" w:ascii="微软雅黑" w:hAnsi="微软雅黑" w:eastAsia="微软雅黑" w:cs="微软雅黑"/>
          <w:bCs/>
          <w:color w:val="000000" w:themeColor="text1"/>
          <w:sz w:val="24"/>
          <w:szCs w:val="24"/>
          <w:lang w:val="zh-CN"/>
          <w14:textFill>
            <w14:solidFill>
              <w14:schemeClr w14:val="tx1"/>
            </w14:solidFill>
          </w14:textFill>
        </w:rPr>
        <w:t>有害植物的清除</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14:textFill>
            <w14:solidFill>
              <w14:schemeClr w14:val="tx1"/>
            </w14:solidFill>
          </w14:textFill>
        </w:rPr>
      </w:pPr>
      <w:r>
        <w:rPr>
          <w:rFonts w:hint="eastAsia" w:ascii="微软雅黑" w:hAnsi="微软雅黑" w:eastAsia="微软雅黑" w:cs="微软雅黑"/>
          <w:bCs/>
          <w:color w:val="000000" w:themeColor="text1"/>
          <w:sz w:val="24"/>
          <w:szCs w:val="24"/>
          <w:lang w:val="en-US" w:eastAsia="zh-CN"/>
          <w14:textFill>
            <w14:solidFill>
              <w14:schemeClr w14:val="tx1"/>
            </w14:solidFill>
          </w14:textFill>
        </w:rPr>
        <w:t xml:space="preserve">5. </w:t>
      </w:r>
      <w:r>
        <w:rPr>
          <w:rFonts w:hint="eastAsia" w:ascii="微软雅黑" w:hAnsi="微软雅黑" w:eastAsia="微软雅黑" w:cs="微软雅黑"/>
          <w:bCs/>
          <w:color w:val="000000" w:themeColor="text1"/>
          <w:sz w:val="24"/>
          <w:szCs w:val="24"/>
          <w:lang w:val="zh-CN"/>
          <w14:textFill>
            <w14:solidFill>
              <w14:schemeClr w14:val="tx1"/>
            </w14:solidFill>
          </w14:textFill>
        </w:rPr>
        <w:t>日常管护的物资、能源消耗自行承担</w:t>
      </w:r>
    </w:p>
    <w:p>
      <w:pPr>
        <w:widowControl/>
        <w:jc w:val="left"/>
        <w:rPr>
          <w:rFonts w:ascii="微软雅黑" w:hAnsi="微软雅黑" w:eastAsia="微软雅黑" w:cs="微软雅黑"/>
          <w:color w:val="000000" w:themeColor="text1"/>
          <w:sz w:val="44"/>
          <w:szCs w:val="44"/>
          <w14:textFill>
            <w14:solidFill>
              <w14:schemeClr w14:val="tx1"/>
            </w14:solidFill>
          </w14:textFill>
        </w:rPr>
      </w:pPr>
    </w:p>
    <w:p>
      <w:pPr>
        <w:spacing w:beforeAutospacing="0" w:afterAutospacing="0" w:line="400" w:lineRule="exact"/>
        <w:ind w:firstLine="480" w:firstLineChars="200"/>
        <w:rPr>
          <w:rFonts w:hint="default" w:ascii="方正仿宋_GBK" w:hAnsi="宋体" w:eastAsia="方正仿宋_GBK"/>
          <w:sz w:val="24"/>
          <w:szCs w:val="24"/>
          <w:lang w:val="en-US" w:eastAsia="zh-CN"/>
        </w:rPr>
        <w:sectPr>
          <w:footerReference r:id="rId8" w:type="default"/>
          <w:footerReference r:id="rId9" w:type="even"/>
          <w:pgSz w:w="11907" w:h="16840"/>
          <w:pgMar w:top="1134" w:right="1191" w:bottom="1134" w:left="1304" w:header="964" w:footer="992" w:gutter="0"/>
          <w:pgNumType w:fmt="numberInDash"/>
          <w:cols w:space="720" w:num="1"/>
          <w:docGrid w:linePitch="312" w:charSpace="0"/>
        </w:sectPr>
      </w:pPr>
    </w:p>
    <w:bookmarkEnd w:id="39"/>
    <w:p>
      <w:pPr>
        <w:pStyle w:val="2"/>
        <w:spacing w:before="0" w:beforeAutospacing="0" w:after="0" w:afterAutospacing="0" w:line="360" w:lineRule="auto"/>
        <w:jc w:val="center"/>
        <w:rPr>
          <w:rFonts w:hint="eastAsia" w:ascii="方正小标宋_GBK" w:hAnsi="宋体" w:eastAsia="方正小标宋_GBK"/>
          <w:b w:val="0"/>
          <w:sz w:val="36"/>
          <w:szCs w:val="30"/>
        </w:rPr>
      </w:pPr>
      <w:bookmarkStart w:id="42" w:name="_Toc76462327"/>
      <w:bookmarkEnd w:id="42"/>
      <w:bookmarkStart w:id="43" w:name="_Toc106030882"/>
      <w:bookmarkEnd w:id="43"/>
      <w:r>
        <w:rPr>
          <w:rFonts w:hint="eastAsia" w:ascii="方正小标宋_GBK" w:hAnsi="宋体" w:eastAsia="方正小标宋_GBK"/>
          <w:b w:val="0"/>
          <w:sz w:val="36"/>
          <w:szCs w:val="30"/>
        </w:rPr>
        <w:t>第三篇  项目商务需求</w:t>
      </w:r>
    </w:p>
    <w:p>
      <w:pPr>
        <w:pStyle w:val="7"/>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“※”标注的商务需求为符合性审查中的实质性要求，响应文件若不满足按无效响应处理。</w:t>
      </w:r>
    </w:p>
    <w:p>
      <w:pPr>
        <w:ind w:firstLine="481"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一、服务期、地点、考核标准及验收</w:t>
      </w:r>
    </w:p>
    <w:p>
      <w:pPr>
        <w:adjustRightInd w:val="0"/>
        <w:snapToGrid w:val="0"/>
        <w:spacing w:beforeAutospacing="0" w:afterAutospacing="0" w:line="500" w:lineRule="exact"/>
        <w:ind w:firstLine="480" w:firstLineChars="200"/>
        <w:rPr>
          <w:rFonts w:hint="default" w:ascii="微软雅黑" w:hAnsi="微软雅黑" w:eastAsia="微软雅黑" w:cs="微软雅黑"/>
          <w:bCs/>
          <w:color w:val="000000" w:themeColor="text1"/>
          <w:sz w:val="24"/>
          <w:szCs w:val="24"/>
          <w:lang w:val="en-US" w:eastAsia="zh-CN"/>
          <w14:textFill>
            <w14:solidFill>
              <w14:schemeClr w14:val="tx1"/>
            </w14:solidFill>
          </w14:textFill>
        </w:rPr>
      </w:pPr>
      <w:r>
        <w:rPr>
          <w:rFonts w:hint="eastAsia" w:ascii="微软雅黑" w:hAnsi="微软雅黑" w:eastAsia="微软雅黑" w:cs="微软雅黑"/>
          <w:bCs/>
          <w:color w:val="000000" w:themeColor="text1"/>
          <w:sz w:val="24"/>
          <w:szCs w:val="24"/>
          <w:lang w:eastAsia="zh-CN"/>
          <w14:textFill>
            <w14:solidFill>
              <w14:schemeClr w14:val="tx1"/>
            </w14:solidFill>
          </w14:textFill>
        </w:rPr>
        <w:t>（一）</w:t>
      </w:r>
      <w:r>
        <w:rPr>
          <w:rFonts w:hint="eastAsia" w:ascii="微软雅黑" w:hAnsi="微软雅黑" w:eastAsia="微软雅黑" w:cs="微软雅黑"/>
          <w:bCs/>
          <w:color w:val="000000" w:themeColor="text1"/>
          <w:sz w:val="24"/>
          <w:szCs w:val="24"/>
          <w:highlight w:val="yellow"/>
          <w:lang w:eastAsia="zh-CN"/>
          <w14:textFill>
            <w14:solidFill>
              <w14:schemeClr w14:val="tx1"/>
            </w14:solidFill>
          </w14:textFill>
        </w:rPr>
        <w:t>管理服务期限：</w:t>
      </w:r>
      <w:r>
        <w:rPr>
          <w:rFonts w:hint="eastAsia" w:ascii="微软雅黑" w:hAnsi="微软雅黑" w:eastAsia="微软雅黑" w:cs="微软雅黑"/>
          <w:bCs/>
          <w:color w:val="000000" w:themeColor="text1"/>
          <w:sz w:val="24"/>
          <w:szCs w:val="24"/>
          <w:highlight w:val="yellow"/>
          <w:lang w:val="en-US" w:eastAsia="zh-CN"/>
          <w14:textFill>
            <w14:solidFill>
              <w14:schemeClr w14:val="tx1"/>
            </w14:solidFill>
          </w14:textFill>
        </w:rPr>
        <w:t>合同签订后至2023年12月31日止</w:t>
      </w:r>
    </w:p>
    <w:p>
      <w:pPr>
        <w:adjustRightInd w:val="0"/>
        <w:snapToGrid w:val="0"/>
        <w:spacing w:beforeAutospacing="0" w:afterAutospacing="0" w:line="500" w:lineRule="exact"/>
        <w:ind w:firstLine="480" w:firstLineChars="200"/>
        <w:rPr>
          <w:rFonts w:hint="eastAsia" w:ascii="微软雅黑" w:hAnsi="微软雅黑" w:eastAsia="微软雅黑" w:cs="微软雅黑"/>
          <w:bCs/>
          <w:color w:val="000000" w:themeColor="text1"/>
          <w:sz w:val="24"/>
          <w:szCs w:val="24"/>
          <w:lang w:eastAsia="zh-CN"/>
          <w14:textFill>
            <w14:solidFill>
              <w14:schemeClr w14:val="tx1"/>
            </w14:solidFill>
          </w14:textFill>
        </w:rPr>
      </w:pPr>
      <w:r>
        <w:rPr>
          <w:rFonts w:hint="eastAsia" w:ascii="微软雅黑" w:hAnsi="微软雅黑" w:eastAsia="微软雅黑" w:cs="微软雅黑"/>
          <w:bCs/>
          <w:color w:val="000000" w:themeColor="text1"/>
          <w:sz w:val="24"/>
          <w:szCs w:val="24"/>
          <w:lang w:eastAsia="zh-CN"/>
          <w14:textFill>
            <w14:solidFill>
              <w14:schemeClr w14:val="tx1"/>
            </w14:solidFill>
          </w14:textFill>
        </w:rPr>
        <w:t>（二）服务地点：采购人指定。</w:t>
      </w:r>
    </w:p>
    <w:p>
      <w:pPr>
        <w:ind w:firstLine="480" w:firstLineChars="2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（三）考核标准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为进一步加强沙坪坝区陈家桥街道绿化的管理，不断改善</w:t>
      </w:r>
      <w:r>
        <w:rPr>
          <w:rFonts w:hint="eastAsia" w:ascii="微软雅黑" w:hAnsi="微软雅黑" w:eastAsia="微软雅黑" w:cs="微软雅黑"/>
          <w:color w:val="000000" w:themeColor="text1"/>
          <w:sz w:val="24"/>
          <w:szCs w:val="24"/>
          <w14:textFill>
            <w14:solidFill>
              <w14:schemeClr w14:val="tx1"/>
            </w14:solidFill>
          </w14:textFill>
        </w:rPr>
        <w:t>沙坪坝区陈家桥街道</w:t>
      </w:r>
      <w:r>
        <w:rPr>
          <w:rFonts w:hint="eastAsia" w:ascii="微软雅黑" w:hAnsi="微软雅黑" w:eastAsia="微软雅黑" w:cs="微软雅黑"/>
          <w:color w:val="000000" w:themeColor="text1"/>
          <w:sz w:val="24"/>
          <w:szCs w:val="24"/>
          <w:lang w:val="zh-CN"/>
          <w14:textFill>
            <w14:solidFill>
              <w14:schemeClr w14:val="tx1"/>
            </w14:solidFill>
          </w14:textFill>
        </w:rPr>
        <w:t>面貌，充分调动管护公司以及作业工人的工作积极性，高质量、高标准完成</w:t>
      </w:r>
      <w:r>
        <w:rPr>
          <w:rFonts w:hint="eastAsia" w:ascii="微软雅黑" w:hAnsi="微软雅黑" w:eastAsia="微软雅黑" w:cs="微软雅黑"/>
          <w:color w:val="000000" w:themeColor="text1"/>
          <w:sz w:val="24"/>
          <w:szCs w:val="24"/>
          <w14:textFill>
            <w14:solidFill>
              <w14:schemeClr w14:val="tx1"/>
            </w14:solidFill>
          </w14:textFill>
        </w:rPr>
        <w:t>沙坪坝区陈家桥街道</w:t>
      </w:r>
      <w:r>
        <w:rPr>
          <w:rFonts w:hint="eastAsia" w:ascii="微软雅黑" w:hAnsi="微软雅黑" w:eastAsia="微软雅黑" w:cs="微软雅黑"/>
          <w:color w:val="000000" w:themeColor="text1"/>
          <w:sz w:val="24"/>
          <w:szCs w:val="24"/>
          <w:lang w:val="zh-CN"/>
          <w14:textFill>
            <w14:solidFill>
              <w14:schemeClr w14:val="tx1"/>
            </w14:solidFill>
          </w14:textFill>
        </w:rPr>
        <w:t>的</w:t>
      </w:r>
      <w:r>
        <w:rPr>
          <w:rFonts w:hint="eastAsia" w:ascii="微软雅黑" w:hAnsi="微软雅黑" w:eastAsia="微软雅黑" w:cs="微软雅黑"/>
          <w:color w:val="000000" w:themeColor="text1"/>
          <w:sz w:val="24"/>
          <w:szCs w:val="24"/>
          <w14:textFill>
            <w14:solidFill>
              <w14:schemeClr w14:val="tx1"/>
            </w14:solidFill>
          </w14:textFill>
        </w:rPr>
        <w:t>绿化</w:t>
      </w:r>
      <w:r>
        <w:rPr>
          <w:rFonts w:hint="eastAsia" w:ascii="微软雅黑" w:hAnsi="微软雅黑" w:eastAsia="微软雅黑" w:cs="微软雅黑"/>
          <w:color w:val="000000" w:themeColor="text1"/>
          <w:sz w:val="24"/>
          <w:szCs w:val="24"/>
          <w:lang w:val="zh-CN"/>
          <w14:textFill>
            <w14:solidFill>
              <w14:schemeClr w14:val="tx1"/>
            </w14:solidFill>
          </w14:textFill>
        </w:rPr>
        <w:t>管护工作任务，现结合实际，特制定本考核办法。</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zh-CN"/>
          <w14:textFill>
            <w14:solidFill>
              <w14:schemeClr w14:val="tx1"/>
            </w14:solidFill>
          </w14:textFill>
        </w:rPr>
        <w:t>考核对象：</w:t>
      </w:r>
      <w:r>
        <w:rPr>
          <w:rFonts w:hint="eastAsia" w:ascii="微软雅黑" w:hAnsi="微软雅黑" w:eastAsia="微软雅黑" w:cs="微软雅黑"/>
          <w:color w:val="000000" w:themeColor="text1"/>
          <w:sz w:val="24"/>
          <w:szCs w:val="24"/>
          <w14:textFill>
            <w14:solidFill>
              <w14:schemeClr w14:val="tx1"/>
            </w14:solidFill>
          </w14:textFill>
        </w:rPr>
        <w:t>本项目成交供应商</w:t>
      </w:r>
      <w:r>
        <w:rPr>
          <w:rFonts w:hint="eastAsia" w:ascii="微软雅黑" w:hAnsi="微软雅黑" w:eastAsia="微软雅黑" w:cs="微软雅黑"/>
          <w:color w:val="000000" w:themeColor="text1"/>
          <w:sz w:val="24"/>
          <w:szCs w:val="24"/>
          <w:lang w:val="zh-CN"/>
          <w14:textFill>
            <w14:solidFill>
              <w14:schemeClr w14:val="tx1"/>
            </w14:solidFill>
          </w14:textFill>
        </w:rPr>
        <w:t>。</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zh-CN"/>
          <w14:textFill>
            <w14:solidFill>
              <w14:schemeClr w14:val="tx1"/>
            </w14:solidFill>
          </w14:textFill>
        </w:rPr>
        <w:t>考核内容：沙坪坝区陈家桥街道绿化的绿化</w:t>
      </w:r>
      <w:r>
        <w:rPr>
          <w:rFonts w:hint="eastAsia" w:ascii="微软雅黑" w:hAnsi="微软雅黑" w:eastAsia="微软雅黑" w:cs="微软雅黑"/>
          <w:color w:val="000000" w:themeColor="text1"/>
          <w:sz w:val="24"/>
          <w:szCs w:val="24"/>
          <w14:textFill>
            <w14:solidFill>
              <w14:schemeClr w14:val="tx1"/>
            </w14:solidFill>
          </w14:textFill>
        </w:rPr>
        <w:t>管护</w:t>
      </w:r>
      <w:r>
        <w:rPr>
          <w:rFonts w:hint="eastAsia" w:ascii="微软雅黑" w:hAnsi="微软雅黑" w:eastAsia="微软雅黑" w:cs="微软雅黑"/>
          <w:color w:val="000000" w:themeColor="text1"/>
          <w:sz w:val="24"/>
          <w:szCs w:val="24"/>
          <w:lang w:val="zh-CN"/>
          <w14:textFill>
            <w14:solidFill>
              <w14:schemeClr w14:val="tx1"/>
            </w14:solidFill>
          </w14:textFill>
        </w:rPr>
        <w:t>等</w:t>
      </w:r>
      <w:r>
        <w:rPr>
          <w:rFonts w:hint="eastAsia" w:ascii="微软雅黑" w:hAnsi="微软雅黑" w:eastAsia="微软雅黑" w:cs="微软雅黑"/>
          <w:color w:val="000000" w:themeColor="text1"/>
          <w:sz w:val="24"/>
          <w:szCs w:val="24"/>
          <w14:textFill>
            <w14:solidFill>
              <w14:schemeClr w14:val="tx1"/>
            </w14:solidFill>
          </w14:textFill>
        </w:rPr>
        <w:t>相关</w:t>
      </w:r>
      <w:r>
        <w:rPr>
          <w:rFonts w:hint="eastAsia" w:ascii="微软雅黑" w:hAnsi="微软雅黑" w:eastAsia="微软雅黑" w:cs="微软雅黑"/>
          <w:color w:val="000000" w:themeColor="text1"/>
          <w:sz w:val="24"/>
          <w:szCs w:val="24"/>
          <w:lang w:val="zh-CN"/>
          <w14:textFill>
            <w14:solidFill>
              <w14:schemeClr w14:val="tx1"/>
            </w14:solidFill>
          </w14:textFill>
        </w:rPr>
        <w:t>工作。</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zh-CN"/>
          <w14:textFill>
            <w14:solidFill>
              <w14:schemeClr w14:val="tx1"/>
            </w14:solidFill>
          </w14:textFill>
        </w:rPr>
        <w:t>考核方式</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（1）考核的主要形式是每日巡查打分、月底汇总。由沙坪坝区陈家桥街道绿化</w:t>
      </w:r>
      <w:r>
        <w:rPr>
          <w:rFonts w:hint="eastAsia" w:ascii="微软雅黑" w:hAnsi="微软雅黑" w:eastAsia="微软雅黑" w:cs="微软雅黑"/>
          <w:color w:val="000000" w:themeColor="text1"/>
          <w:sz w:val="24"/>
          <w:szCs w:val="24"/>
          <w14:textFill>
            <w14:solidFill>
              <w14:schemeClr w14:val="tx1"/>
            </w14:solidFill>
          </w14:textFill>
        </w:rPr>
        <w:t>管护主管科室</w:t>
      </w:r>
      <w:r>
        <w:rPr>
          <w:rFonts w:hint="eastAsia" w:ascii="微软雅黑" w:hAnsi="微软雅黑" w:eastAsia="微软雅黑" w:cs="微软雅黑"/>
          <w:color w:val="000000" w:themeColor="text1"/>
          <w:sz w:val="24"/>
          <w:szCs w:val="24"/>
          <w:lang w:val="zh-CN"/>
          <w14:textFill>
            <w14:solidFill>
              <w14:schemeClr w14:val="tx1"/>
            </w14:solidFill>
          </w14:textFill>
        </w:rPr>
        <w:t>严格按照</w:t>
      </w:r>
      <w:r>
        <w:rPr>
          <w:rFonts w:hint="eastAsia" w:ascii="微软雅黑" w:hAnsi="微软雅黑" w:eastAsia="微软雅黑" w:cs="微软雅黑"/>
          <w:color w:val="000000" w:themeColor="text1"/>
          <w:sz w:val="24"/>
          <w:szCs w:val="24"/>
          <w14:textFill>
            <w14:solidFill>
              <w14:schemeClr w14:val="tx1"/>
            </w14:solidFill>
          </w14:textFill>
        </w:rPr>
        <w:t>磋商</w:t>
      </w:r>
      <w:r>
        <w:rPr>
          <w:rFonts w:hint="eastAsia" w:ascii="微软雅黑" w:hAnsi="微软雅黑" w:eastAsia="微软雅黑" w:cs="微软雅黑"/>
          <w:color w:val="000000" w:themeColor="text1"/>
          <w:sz w:val="24"/>
          <w:szCs w:val="24"/>
          <w:lang w:val="zh-CN"/>
          <w14:textFill>
            <w14:solidFill>
              <w14:schemeClr w14:val="tx1"/>
            </w14:solidFill>
          </w14:textFill>
        </w:rPr>
        <w:t>文件、</w:t>
      </w:r>
      <w:r>
        <w:rPr>
          <w:rFonts w:hint="eastAsia" w:ascii="微软雅黑" w:hAnsi="微软雅黑" w:eastAsia="微软雅黑" w:cs="微软雅黑"/>
          <w:color w:val="000000" w:themeColor="text1"/>
          <w:sz w:val="24"/>
          <w:szCs w:val="24"/>
          <w14:textFill>
            <w14:solidFill>
              <w14:schemeClr w14:val="tx1"/>
            </w14:solidFill>
          </w14:textFill>
        </w:rPr>
        <w:t>响应</w:t>
      </w:r>
      <w:r>
        <w:rPr>
          <w:rFonts w:hint="eastAsia" w:ascii="微软雅黑" w:hAnsi="微软雅黑" w:eastAsia="微软雅黑" w:cs="微软雅黑"/>
          <w:color w:val="000000" w:themeColor="text1"/>
          <w:sz w:val="24"/>
          <w:szCs w:val="24"/>
          <w:lang w:val="zh-CN"/>
          <w14:textFill>
            <w14:solidFill>
              <w14:schemeClr w14:val="tx1"/>
            </w14:solidFill>
          </w14:textFill>
        </w:rPr>
        <w:t>文件、合同及考核标准的规定，每天对辖区内的管护工作进行检查考核，并记录考核情况及扣分情况。每日巡查考核扣分实行累计制，月底汇总。</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（2）考核实行100分制，即：月考核得分=100-全月日考核累计扣分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w:t>
      </w:r>
      <w:r>
        <w:rPr>
          <w:rFonts w:hint="eastAsia" w:ascii="微软雅黑" w:hAnsi="微软雅黑" w:eastAsia="微软雅黑" w:cs="微软雅黑"/>
          <w:color w:val="000000" w:themeColor="text1"/>
          <w:sz w:val="24"/>
          <w:szCs w:val="24"/>
          <w:lang w:val="zh-CN"/>
          <w14:textFill>
            <w14:solidFill>
              <w14:schemeClr w14:val="tx1"/>
            </w14:solidFill>
          </w14:textFill>
        </w:rPr>
        <w:t xml:space="preserve">考核结果的运用 </w:t>
      </w:r>
    </w:p>
    <w:p>
      <w:pPr>
        <w:ind w:firstLine="480" w:firstLineChars="200"/>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（1）月考核在90分以上（含90分）全额支付管护费用；月考核在90分以下的，每少1分扣款</w:t>
      </w:r>
      <w:r>
        <w:rPr>
          <w:rFonts w:hint="eastAsia" w:ascii="微软雅黑" w:hAnsi="微软雅黑" w:eastAsia="微软雅黑" w:cs="微软雅黑"/>
          <w:color w:val="000000" w:themeColor="text1"/>
          <w:sz w:val="24"/>
          <w:szCs w:val="24"/>
          <w14:textFill>
            <w14:solidFill>
              <w14:schemeClr w14:val="tx1"/>
            </w14:solidFill>
          </w14:textFill>
        </w:rPr>
        <w:t>10</w:t>
      </w:r>
      <w:r>
        <w:rPr>
          <w:rFonts w:hint="eastAsia" w:ascii="微软雅黑" w:hAnsi="微软雅黑" w:eastAsia="微软雅黑" w:cs="微软雅黑"/>
          <w:color w:val="000000" w:themeColor="text1"/>
          <w:sz w:val="24"/>
          <w:szCs w:val="24"/>
          <w:lang w:val="zh-CN"/>
          <w14:textFill>
            <w14:solidFill>
              <w14:schemeClr w14:val="tx1"/>
            </w14:solidFill>
          </w14:textFill>
        </w:rPr>
        <w:t>00元。</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（2）月考核连续2个月为80分（不含80分）以下，或全年累计3个月考核为80分（不含80分）以下，扣除全部履约保证金，管护合同自动终止。</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（3）年度考核计分按月考核平均分计算。管护作业单位在年度考核中达到95分（含95分）以上，发包主体给予适当奖励；80分（不含80分）以下，扣除全部履约保证金，并取消下年度承包合同续签资格。</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w:t>
      </w:r>
      <w:r>
        <w:rPr>
          <w:rFonts w:hint="eastAsia" w:ascii="微软雅黑" w:hAnsi="微软雅黑" w:eastAsia="微软雅黑" w:cs="微软雅黑"/>
          <w:color w:val="000000" w:themeColor="text1"/>
          <w:sz w:val="24"/>
          <w:szCs w:val="24"/>
          <w:lang w:val="zh-CN"/>
          <w14:textFill>
            <w14:solidFill>
              <w14:schemeClr w14:val="tx1"/>
            </w14:solidFill>
          </w14:textFill>
        </w:rPr>
        <w:t>管护作业单位认为考核有误，可向沙坪坝区陈家桥街道绿化</w:t>
      </w:r>
      <w:r>
        <w:rPr>
          <w:rFonts w:hint="eastAsia" w:ascii="微软雅黑" w:hAnsi="微软雅黑" w:eastAsia="微软雅黑" w:cs="微软雅黑"/>
          <w:color w:val="000000" w:themeColor="text1"/>
          <w:sz w:val="24"/>
          <w:szCs w:val="24"/>
          <w14:textFill>
            <w14:solidFill>
              <w14:schemeClr w14:val="tx1"/>
            </w14:solidFill>
          </w14:textFill>
        </w:rPr>
        <w:t>管护主管科室</w:t>
      </w:r>
      <w:r>
        <w:rPr>
          <w:rFonts w:hint="eastAsia" w:ascii="微软雅黑" w:hAnsi="微软雅黑" w:eastAsia="微软雅黑" w:cs="微软雅黑"/>
          <w:color w:val="000000" w:themeColor="text1"/>
          <w:sz w:val="24"/>
          <w:szCs w:val="24"/>
          <w:lang w:val="zh-CN"/>
          <w14:textFill>
            <w14:solidFill>
              <w14:schemeClr w14:val="tx1"/>
            </w14:solidFill>
          </w14:textFill>
        </w:rPr>
        <w:t>申请复查；经复查仍有异议的，可向沙坪坝区陈家桥街道申请复核，以沙坪坝区陈家桥街道作出的复核认定为准。复核只进行1次。</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6.</w:t>
      </w:r>
      <w:r>
        <w:rPr>
          <w:rFonts w:hint="eastAsia" w:ascii="微软雅黑" w:hAnsi="微软雅黑" w:eastAsia="微软雅黑" w:cs="微软雅黑"/>
          <w:color w:val="000000" w:themeColor="text1"/>
          <w:sz w:val="24"/>
          <w:szCs w:val="24"/>
          <w:lang w:val="zh-CN"/>
          <w14:textFill>
            <w14:solidFill>
              <w14:schemeClr w14:val="tx1"/>
            </w14:solidFill>
          </w14:textFill>
        </w:rPr>
        <w:t>本办法应用中的问题由</w:t>
      </w:r>
      <w:r>
        <w:rPr>
          <w:rFonts w:hint="eastAsia" w:ascii="微软雅黑" w:hAnsi="微软雅黑" w:eastAsia="微软雅黑" w:cs="微软雅黑"/>
          <w:color w:val="000000" w:themeColor="text1"/>
          <w:sz w:val="24"/>
          <w:szCs w:val="24"/>
          <w14:textFill>
            <w14:solidFill>
              <w14:schemeClr w14:val="tx1"/>
            </w14:solidFill>
          </w14:textFill>
        </w:rPr>
        <w:t>沙坪坝区陈家桥街道</w:t>
      </w:r>
      <w:r>
        <w:rPr>
          <w:rFonts w:hint="eastAsia" w:ascii="微软雅黑" w:hAnsi="微软雅黑" w:eastAsia="微软雅黑" w:cs="微软雅黑"/>
          <w:color w:val="000000" w:themeColor="text1"/>
          <w:sz w:val="24"/>
          <w:szCs w:val="24"/>
          <w:lang w:val="zh-CN"/>
          <w14:textFill>
            <w14:solidFill>
              <w14:schemeClr w14:val="tx1"/>
            </w14:solidFill>
          </w14:textFill>
        </w:rPr>
        <w:t>负责解释。</w:t>
      </w:r>
    </w:p>
    <w:p>
      <w:pPr>
        <w:ind w:firstLine="480" w:firstLineChars="200"/>
        <w:rPr>
          <w:rFonts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7.</w:t>
      </w:r>
      <w:r>
        <w:rPr>
          <w:rFonts w:hint="eastAsia" w:ascii="微软雅黑" w:hAnsi="微软雅黑" w:eastAsia="微软雅黑" w:cs="微软雅黑"/>
          <w:color w:val="000000" w:themeColor="text1"/>
          <w:sz w:val="24"/>
          <w:szCs w:val="24"/>
          <w:lang w:val="zh-CN"/>
          <w14:textFill>
            <w14:solidFill>
              <w14:schemeClr w14:val="tx1"/>
            </w14:solidFill>
          </w14:textFill>
        </w:rPr>
        <w:t>本办法签订合同之日起施行。</w:t>
      </w:r>
    </w:p>
    <w:p>
      <w:pPr>
        <w:ind w:firstLine="480" w:firstLineChars="200"/>
        <w:jc w:val="center"/>
        <w:rPr>
          <w:rFonts w:hint="eastAsia" w:ascii="微软雅黑" w:hAnsi="微软雅黑" w:eastAsia="微软雅黑" w:cs="微软雅黑"/>
          <w:color w:val="000000" w:themeColor="text1"/>
          <w:sz w:val="24"/>
          <w:szCs w:val="24"/>
          <w:lang w:val="zh-CN"/>
          <w14:textFill>
            <w14:solidFill>
              <w14:schemeClr w14:val="tx1"/>
            </w14:solidFill>
          </w14:textFill>
        </w:rPr>
      </w:pPr>
    </w:p>
    <w:p>
      <w:pPr>
        <w:ind w:firstLine="480" w:firstLineChars="200"/>
        <w:jc w:val="center"/>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沙坪坝区陈家桥街道绿化管护作业考核标准</w:t>
      </w:r>
    </w:p>
    <w:p>
      <w:pPr>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一、作业时间</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（一）抗旱浇水时间，早上10：30前完成，傍晚20：00以后开始。</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（二）病虫害防治打药和植物施肥时间：根据病虫害发生规律和肥料类别确定，避开行人车辆出行高峰进行。</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二、基础资料完整、详实</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管护作业单位应做好管护工作记录、巡查记录及资料保管工作，保证每项工作有据可查，保证管护工作有条不紊、落实到位。</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三、考核内容及评分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（一）植物、设施设备管理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1.绿地内泥土裸露超过0.3㎡，每处扣 0.1 分；裸露超过1㎡，每处扣 0.5 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2.乔木上有铁钉、钉物或植物体上出现牵挂物、缠绕物，每处扣 0.2 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3.绿地、树圈内的泥土土面应低于围档5cm，不达标准每处(1米内只算1处)扣 0.2 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4.地被或植物色块边角不规范，每处(1米内只算1处)扣 0.1 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5.乔木倾斜超过5°未及时扶正，小乔木扣 0.2分/株，大乔木(胸径≥10cm)扣 0.5分/株（经核实确无法扶正的除外)。</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6.经甲方认定的，确因无法杜绝的践踏，必须在践踏后4小时内完成松土整地、植物扶正工作。其他的人为践踏必须在4小时内完成松土整地、植物补栽工作，超出规定时间未完成扣 0.2 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7.未经批准擅自改变植物品种，草本、灌木、小乔木扣 0.3 分/㎡(株)，大乔木扣 0.6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8.生长期枯黄(斑秃)不及时救治，草本、灌木、小乔木扣 0.2 分/㎡(株)，大乔木扣 0.5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9.植物丢失12小时内不报告，草本、灌木、小乔木扣 0.3 分/㎡(株)，大乔木扣 0.6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10.因管护不到位造成植物死亡，草本、灌木扣 0.3 分/㎡(含1㎡以下)，小乔木扣 0.5 分/株，大乔木（10㎝及以上）扣 1 分/株；（20㎝及以上）扣5分/株；景观大树（50㎝及以上）扣 10分/株；管护作业单位自行及时补种同品种同规格植物的不扣分。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11.因管护不到位造成植物死亡后不报告，且擅自移除以掩盖植物死亡事实的，则按死亡植物标准加倍扣分。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12.管护范围内发生擅自开挖绿地行为，不上报，扣2分/次。</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（二）植物修剪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1.行道树下冠线低于2.5m（有特殊要求的除外），扣 0.2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2.同一路段行道树下下冠线应保持一致，相互高差不得超过50cm，每超过1处扣 0.1分；上冠线和车行道侧冠线应保持高度一致且线形流畅，徒长枝长度不得超过1m，超过1m扣0.1分/处；整形行道树必须保持原有形状、大小不变，修剪不到位扣0.3分/株。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3.行道树气生根长度超过15㎝，扣 0.1分/株。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4.乔木修枝切口不平整，剪口没有紧贴主枝或主杆，有长度超过3cm残桩；直径达到3cm的切口未进行涂抹液处理，扣 0.2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5.整形植物徒长枝超过5cm未修剪；修剪不符合形状要求；同一路段、同一造型的、按规则排列的整形植物，冠幅大小差距超过20cm。扣 0.1分/个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6.绿篱或植物色块植物徒长枝超过5㎝未修剪；修剪不平、不直、宽度不匀、有明显凹凸，扣 0.1 分/m(㎡)。</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7.草坪高度超过8㎝未修剪，扣 0.2分/10㎡。</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8.植物遮挡指示标牌，影响行人、车辆通行，不及时修剪，扣 0.2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（三）中耕除草</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1.行道树树圈内杂草超过10株，且高度或长度超过10cm，扣 0.2 分/株(个)。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2.绿地内10㎡以内杂草超过30株，且高度或长度超过10cm，扣 0.2分/10㎡。</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3.藤本植物缠绕乔木不清理，小乔木扣 0.2 分/株，大乔木扣 0.4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4.每季度必须对灌木、地被进行一次松土，松土深度必须达5cm，未松土或未达到要求，扣0.2分/10㎡。</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5.绿地内或行道树圈内3㎝以上石块超过5块/10㎡；扣0.1分/㎡（块）。</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（四）病虫害防治</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1.管护片区内有害生物出现，24小时内作业单位不报告，扣 2 分/次；不按照规范处置，扣5分/次。</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2.植物发生病虫侵害，灌木、草本、乔木每100㎡（株）超过2㎡（株）扣 0.2 分/㎡(株)，大乔木扣 0.5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3.用药不当，发生药害，灌木、草本、小乔木每100㎡（株）超过1㎡扣 0.2 分/㎡(株)，大乔木扣 0.5 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4.不及时清除虫蛹、虫茧、病原体、植物体上显明病虫为害残留物，每处扣 0.2分。</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（五）浇灌施肥</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1.浇水不到位，致植物萎蔫、卷叶，草本、灌木、小乔木扣 0.1 分/㎡(株)，大乔木扣 0.5分/株。</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2.不按规定施肥或偷工减料，扣 2 分/次。</w:t>
      </w:r>
    </w:p>
    <w:p>
      <w:pPr>
        <w:ind w:firstLine="480" w:firstLineChars="200"/>
        <w:rPr>
          <w:rFonts w:hint="eastAsia"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3.施肥不当，发生肥害，灌木、草本、小乔木扣 0.2 分/㎡(株)，大乔木扣 0.5分/株。</w:t>
      </w:r>
    </w:p>
    <w:p>
      <w:pPr>
        <w:ind w:firstLine="481" w:firstLineChars="200"/>
        <w:rPr>
          <w:rFonts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二、报价要求</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（一）本次报价为人民币报价，报价包括但不限于员工工资、</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其他福利</w:t>
      </w:r>
      <w:r>
        <w:rPr>
          <w:rFonts w:hint="eastAsia" w:ascii="微软雅黑" w:hAnsi="微软雅黑" w:eastAsia="微软雅黑" w:cs="微软雅黑"/>
          <w:color w:val="000000" w:themeColor="text1"/>
          <w:sz w:val="24"/>
          <w:szCs w:val="24"/>
          <w:lang w:val="zh-CN"/>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含</w:t>
      </w:r>
      <w:r>
        <w:rPr>
          <w:rFonts w:hint="eastAsia" w:ascii="微软雅黑" w:hAnsi="微软雅黑" w:eastAsia="微软雅黑" w:cs="微软雅黑"/>
          <w:color w:val="000000" w:themeColor="text1"/>
          <w:sz w:val="24"/>
          <w:szCs w:val="24"/>
          <w:lang w:val="zh-CN"/>
          <w14:textFill>
            <w14:solidFill>
              <w14:schemeClr w14:val="tx1"/>
            </w14:solidFill>
          </w14:textFill>
        </w:rPr>
        <w:t>社会保险费、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其他保险、</w:t>
      </w:r>
      <w:r>
        <w:rPr>
          <w:rFonts w:hint="eastAsia" w:ascii="微软雅黑" w:hAnsi="微软雅黑" w:eastAsia="微软雅黑" w:cs="微软雅黑"/>
          <w:color w:val="000000" w:themeColor="text1"/>
          <w:sz w:val="24"/>
          <w:szCs w:val="24"/>
          <w:lang w:val="zh-CN"/>
          <w14:textFill>
            <w14:solidFill>
              <w14:schemeClr w14:val="tx1"/>
            </w14:solidFill>
          </w14:textFill>
        </w:rPr>
        <w:t>福利费、加班费、通讯费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等</w:t>
      </w:r>
      <w:r>
        <w:rPr>
          <w:rFonts w:hint="eastAsia" w:ascii="微软雅黑" w:hAnsi="微软雅黑" w:eastAsia="微软雅黑" w:cs="微软雅黑"/>
          <w:color w:val="000000" w:themeColor="text1"/>
          <w:sz w:val="24"/>
          <w:szCs w:val="24"/>
          <w:lang w:val="zh-CN"/>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设备及</w:t>
      </w:r>
      <w:r>
        <w:rPr>
          <w:rFonts w:hint="eastAsia" w:ascii="微软雅黑" w:hAnsi="微软雅黑" w:eastAsia="微软雅黑" w:cs="微软雅黑"/>
          <w:color w:val="000000" w:themeColor="text1"/>
          <w:sz w:val="24"/>
          <w:szCs w:val="24"/>
          <w:lang w:val="zh-CN"/>
          <w14:textFill>
            <w14:solidFill>
              <w14:schemeClr w14:val="tx1"/>
            </w14:solidFill>
          </w14:textFill>
        </w:rPr>
        <w:t>折旧费（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含</w:t>
      </w:r>
      <w:r>
        <w:rPr>
          <w:rFonts w:hint="eastAsia" w:ascii="微软雅黑" w:hAnsi="微软雅黑" w:eastAsia="微软雅黑" w:cs="微软雅黑"/>
          <w:color w:val="000000" w:themeColor="text1"/>
          <w:sz w:val="24"/>
          <w:szCs w:val="24"/>
          <w:lang w:val="zh-CN"/>
          <w14:textFill>
            <w14:solidFill>
              <w14:schemeClr w14:val="tx1"/>
            </w14:solidFill>
          </w14:textFill>
        </w:rPr>
        <w:t>项目用设备、</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油耗、</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维修、清洁等）、低值易耗品费（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包括</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扫把、撮箕、服装、清洁剂</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和药、化肥、浇灌和清扫用水、遮阳网、支撑、垃圾袋、因养护不力造成的植物补栽</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等）</w:t>
      </w:r>
      <w:r>
        <w:rPr>
          <w:rFonts w:hint="eastAsia" w:ascii="微软雅黑" w:hAnsi="微软雅黑" w:eastAsia="微软雅黑" w:cs="微软雅黑"/>
          <w:color w:val="000000" w:themeColor="text1"/>
          <w:sz w:val="24"/>
          <w:szCs w:val="24"/>
          <w:lang w:val="zh-CN"/>
          <w14:textFill>
            <w14:solidFill>
              <w14:schemeClr w14:val="tx1"/>
            </w14:solidFill>
          </w14:textFill>
        </w:rPr>
        <w:t>、公众责任险、管理费、应急突击</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费、水电费、垃圾清运费、税费</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合理利润</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和服务过程可能发生的不可预见的一切费用</w:t>
      </w:r>
      <w:r>
        <w:rPr>
          <w:rFonts w:hint="eastAsia" w:ascii="微软雅黑" w:hAnsi="微软雅黑" w:eastAsia="微软雅黑" w:cs="微软雅黑"/>
          <w:color w:val="000000" w:themeColor="text1"/>
          <w:sz w:val="24"/>
          <w:szCs w:val="24"/>
          <w:lang w:val="zh-CN"/>
          <w14:textFill>
            <w14:solidFill>
              <w14:schemeClr w14:val="tx1"/>
            </w14:solidFill>
          </w14:textFill>
        </w:rPr>
        <w:t>。</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（二）中标</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单价</w:t>
      </w:r>
      <w:r>
        <w:rPr>
          <w:rFonts w:hint="eastAsia" w:ascii="微软雅黑" w:hAnsi="微软雅黑" w:eastAsia="微软雅黑" w:cs="微软雅黑"/>
          <w:color w:val="000000" w:themeColor="text1"/>
          <w:sz w:val="24"/>
          <w:szCs w:val="24"/>
          <w:lang w:val="zh-CN"/>
          <w14:textFill>
            <w14:solidFill>
              <w14:schemeClr w14:val="tx1"/>
            </w14:solidFill>
          </w14:textFill>
        </w:rPr>
        <w:t>就是包干价，投标人应通过踏勘现场、了解项目实际情况，并充分考虑所有因素，在履约服务期限内，采购人不再另外追加任何费用。</w:t>
      </w:r>
    </w:p>
    <w:p>
      <w:pPr>
        <w:snapToGrid w:val="0"/>
        <w:spacing w:beforeAutospacing="0" w:afterAutospacing="0" w:line="400" w:lineRule="exact"/>
        <w:ind w:firstLine="481" w:firstLineChars="200"/>
        <w:rPr>
          <w:rFonts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b/>
          <w:color w:val="000000" w:themeColor="text1"/>
          <w:sz w:val="24"/>
          <w:szCs w:val="24"/>
          <w14:textFill>
            <w14:solidFill>
              <w14:schemeClr w14:val="tx1"/>
            </w14:solidFill>
          </w14:textFill>
        </w:rPr>
        <w:t>三、付款方式</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一</w:t>
      </w:r>
      <w:r>
        <w:rPr>
          <w:rFonts w:hint="eastAsia" w:ascii="微软雅黑" w:hAnsi="微软雅黑" w:eastAsia="微软雅黑" w:cs="微软雅黑"/>
          <w:color w:val="000000" w:themeColor="text1"/>
          <w:sz w:val="24"/>
          <w:szCs w:val="24"/>
          <w:lang w:val="zh-CN"/>
          <w14:textFill>
            <w14:solidFill>
              <w14:schemeClr w14:val="tx1"/>
            </w14:solidFill>
          </w14:textFill>
        </w:rPr>
        <w:t>）服务费用按</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月</w:t>
      </w:r>
      <w:r>
        <w:rPr>
          <w:rFonts w:hint="eastAsia" w:ascii="微软雅黑" w:hAnsi="微软雅黑" w:eastAsia="微软雅黑" w:cs="微软雅黑"/>
          <w:color w:val="000000" w:themeColor="text1"/>
          <w:sz w:val="24"/>
          <w:szCs w:val="24"/>
          <w:lang w:val="zh-CN"/>
          <w14:textFill>
            <w14:solidFill>
              <w14:schemeClr w14:val="tx1"/>
            </w14:solidFill>
          </w14:textFill>
        </w:rPr>
        <w:t>结算。合同生效后，甲方于次月通过沙坪坝区财政局支付给乙方上</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季度绿化</w:t>
      </w:r>
      <w:r>
        <w:rPr>
          <w:rFonts w:hint="eastAsia" w:ascii="微软雅黑" w:hAnsi="微软雅黑" w:eastAsia="微软雅黑" w:cs="微软雅黑"/>
          <w:color w:val="000000" w:themeColor="text1"/>
          <w:sz w:val="24"/>
          <w:szCs w:val="24"/>
          <w:lang w:val="zh-CN"/>
          <w14:textFill>
            <w14:solidFill>
              <w14:schemeClr w14:val="tx1"/>
            </w14:solidFill>
          </w14:textFill>
        </w:rPr>
        <w:t>作业服务价款，不得无故拖延支付相关服务款项。甲方每</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月</w:t>
      </w:r>
      <w:r>
        <w:rPr>
          <w:rFonts w:hint="eastAsia" w:ascii="微软雅黑" w:hAnsi="微软雅黑" w:eastAsia="微软雅黑" w:cs="微软雅黑"/>
          <w:color w:val="000000" w:themeColor="text1"/>
          <w:sz w:val="24"/>
          <w:szCs w:val="24"/>
          <w:lang w:val="zh-CN"/>
          <w14:textFill>
            <w14:solidFill>
              <w14:schemeClr w14:val="tx1"/>
            </w14:solidFill>
          </w14:textFill>
        </w:rPr>
        <w:t>根据《沙坪坝区陈家桥街道绿化管护作业考核标准》的考核结果，</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对乙方进行</w:t>
      </w:r>
      <w:r>
        <w:rPr>
          <w:rFonts w:hint="eastAsia" w:ascii="微软雅黑" w:hAnsi="微软雅黑" w:eastAsia="微软雅黑" w:cs="微软雅黑"/>
          <w:color w:val="000000" w:themeColor="text1"/>
          <w:sz w:val="24"/>
          <w:szCs w:val="24"/>
          <w:lang w:val="zh-CN"/>
          <w14:textFill>
            <w14:solidFill>
              <w14:schemeClr w14:val="tx1"/>
            </w14:solidFill>
          </w14:textFill>
        </w:rPr>
        <w:t>当</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月</w:t>
      </w:r>
      <w:r>
        <w:rPr>
          <w:rFonts w:hint="eastAsia" w:ascii="微软雅黑" w:hAnsi="微软雅黑" w:eastAsia="微软雅黑" w:cs="微软雅黑"/>
          <w:color w:val="000000" w:themeColor="text1"/>
          <w:sz w:val="24"/>
          <w:szCs w:val="24"/>
          <w:lang w:val="zh-CN"/>
          <w14:textFill>
            <w14:solidFill>
              <w14:schemeClr w14:val="tx1"/>
            </w14:solidFill>
          </w14:textFill>
        </w:rPr>
        <w:t>考核扣款</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，并由乙方缴纳至甲方财政账户。</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二</w:t>
      </w:r>
      <w:r>
        <w:rPr>
          <w:rFonts w:hint="eastAsia" w:ascii="微软雅黑" w:hAnsi="微软雅黑" w:eastAsia="微软雅黑" w:cs="微软雅黑"/>
          <w:color w:val="000000" w:themeColor="text1"/>
          <w:sz w:val="24"/>
          <w:szCs w:val="24"/>
          <w:lang w:val="zh-CN"/>
          <w14:textFill>
            <w14:solidFill>
              <w14:schemeClr w14:val="tx1"/>
            </w14:solidFill>
          </w14:textFill>
        </w:rPr>
        <w:t>）支付方式：</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1.成交供应商</w:t>
      </w:r>
      <w:r>
        <w:rPr>
          <w:rFonts w:hint="eastAsia" w:ascii="微软雅黑" w:hAnsi="微软雅黑" w:eastAsia="微软雅黑" w:cs="微软雅黑"/>
          <w:color w:val="000000" w:themeColor="text1"/>
          <w:sz w:val="24"/>
          <w:szCs w:val="24"/>
          <w:lang w:val="zh-CN"/>
          <w14:textFill>
            <w14:solidFill>
              <w14:schemeClr w14:val="tx1"/>
            </w14:solidFill>
          </w14:textFill>
        </w:rPr>
        <w:t>向采购人开具发票。</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lang w:val="zh-CN"/>
          <w14:textFill>
            <w14:solidFill>
              <w14:schemeClr w14:val="tx1"/>
            </w14:solidFill>
          </w14:textFill>
        </w:rPr>
        <w:t>采购人通过沙坪坝区财政局以转账方式向</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成交供应商</w:t>
      </w:r>
      <w:r>
        <w:rPr>
          <w:rFonts w:hint="eastAsia" w:ascii="微软雅黑" w:hAnsi="微软雅黑" w:eastAsia="微软雅黑" w:cs="微软雅黑"/>
          <w:color w:val="000000" w:themeColor="text1"/>
          <w:sz w:val="24"/>
          <w:szCs w:val="24"/>
          <w:lang w:val="zh-CN"/>
          <w14:textFill>
            <w14:solidFill>
              <w14:schemeClr w14:val="tx1"/>
            </w14:solidFill>
          </w14:textFill>
        </w:rPr>
        <w:t>支付上月</w:t>
      </w:r>
      <w:r>
        <w:rPr>
          <w:rFonts w:hint="eastAsia" w:ascii="微软雅黑" w:hAnsi="微软雅黑" w:eastAsia="微软雅黑" w:cs="微软雅黑"/>
          <w:color w:val="000000" w:themeColor="text1"/>
          <w:sz w:val="24"/>
          <w:szCs w:val="24"/>
          <w:lang w:val="zh-CN" w:eastAsia="zh-CN"/>
          <w14:textFill>
            <w14:solidFill>
              <w14:schemeClr w14:val="tx1"/>
            </w14:solidFill>
          </w14:textFill>
        </w:rPr>
        <w:t>管理</w:t>
      </w:r>
      <w:r>
        <w:rPr>
          <w:rFonts w:hint="eastAsia" w:ascii="微软雅黑" w:hAnsi="微软雅黑" w:eastAsia="微软雅黑" w:cs="微软雅黑"/>
          <w:color w:val="000000" w:themeColor="text1"/>
          <w:sz w:val="24"/>
          <w:szCs w:val="24"/>
          <w:lang w:val="zh-CN"/>
          <w14:textFill>
            <w14:solidFill>
              <w14:schemeClr w14:val="tx1"/>
            </w14:solidFill>
          </w14:textFill>
        </w:rPr>
        <w:t>服务价款。</w:t>
      </w:r>
    </w:p>
    <w:p>
      <w:pPr>
        <w:snapToGrid w:val="0"/>
        <w:spacing w:beforeAutospacing="0" w:afterAutospacing="0" w:line="400" w:lineRule="exact"/>
        <w:ind w:firstLine="481"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lang w:val="zh-CN"/>
          <w14:textFill>
            <w14:solidFill>
              <w14:schemeClr w14:val="tx1"/>
            </w14:solidFill>
          </w14:textFill>
        </w:rPr>
        <w:t>四、</w:t>
      </w:r>
      <w:r>
        <w:rPr>
          <w:rFonts w:hint="eastAsia" w:ascii="微软雅黑" w:hAnsi="微软雅黑" w:eastAsia="微软雅黑" w:cs="微软雅黑"/>
          <w:b/>
          <w:color w:val="000000" w:themeColor="text1"/>
          <w:sz w:val="24"/>
          <w:szCs w:val="24"/>
          <w14:textFill>
            <w14:solidFill>
              <w14:schemeClr w14:val="tx1"/>
            </w14:solidFill>
          </w14:textFill>
        </w:rPr>
        <w:t>人员</w:t>
      </w:r>
      <w:r>
        <w:rPr>
          <w:rFonts w:hint="eastAsia" w:ascii="微软雅黑" w:hAnsi="微软雅黑" w:eastAsia="微软雅黑" w:cs="微软雅黑"/>
          <w:b/>
          <w:color w:val="000000" w:themeColor="text1"/>
          <w:sz w:val="24"/>
          <w:szCs w:val="24"/>
          <w:lang w:val="en-US" w:eastAsia="zh-CN"/>
          <w14:textFill>
            <w14:solidFill>
              <w14:schemeClr w14:val="tx1"/>
            </w14:solidFill>
          </w14:textFill>
        </w:rPr>
        <w:t>及设备</w:t>
      </w:r>
      <w:r>
        <w:rPr>
          <w:rFonts w:hint="eastAsia" w:ascii="微软雅黑" w:hAnsi="微软雅黑" w:eastAsia="微软雅黑" w:cs="微软雅黑"/>
          <w:b/>
          <w:color w:val="000000" w:themeColor="text1"/>
          <w:sz w:val="24"/>
          <w:szCs w:val="24"/>
          <w14:textFill>
            <w14:solidFill>
              <w14:schemeClr w14:val="tx1"/>
            </w14:solidFill>
          </w14:textFill>
        </w:rPr>
        <w:t>要求</w:t>
      </w:r>
    </w:p>
    <w:p>
      <w:pPr>
        <w:snapToGrid w:val="0"/>
        <w:spacing w:beforeAutospacing="0" w:afterAutospacing="0" w:line="400" w:lineRule="exact"/>
        <w:ind w:firstLine="480" w:firstLineChars="200"/>
        <w:rPr>
          <w:rFonts w:ascii="微软雅黑" w:hAnsi="微软雅黑" w:eastAsia="微软雅黑" w:cs="微软雅黑"/>
          <w:sz w:val="24"/>
          <w:szCs w:val="24"/>
        </w:rPr>
      </w:pPr>
      <w:r>
        <w:rPr>
          <w:rFonts w:hint="eastAsia" w:ascii="微软雅黑" w:hAnsi="微软雅黑" w:eastAsia="微软雅黑" w:cs="微软雅黑"/>
          <w:sz w:val="24"/>
          <w:szCs w:val="24"/>
          <w:lang w:val="zh-CN"/>
        </w:rPr>
        <w:t>（一）作业机具配置要求</w:t>
      </w:r>
    </w:p>
    <w:p>
      <w:pPr>
        <w:ind w:firstLine="480" w:firstLineChars="200"/>
        <w:rPr>
          <w:rFonts w:hint="eastAsia" w:ascii="微软雅黑" w:hAnsi="微软雅黑" w:eastAsia="微软雅黑" w:cs="微软雅黑"/>
          <w:color w:val="000000" w:themeColor="text1"/>
          <w:sz w:val="24"/>
          <w:szCs w:val="24"/>
          <w:lang w:val="zh-CN"/>
          <w14:textFill>
            <w14:solidFill>
              <w14:schemeClr w14:val="tx1"/>
            </w14:solidFill>
          </w14:textFill>
        </w:rPr>
      </w:pPr>
      <w:r>
        <w:rPr>
          <w:rFonts w:hint="eastAsia" w:ascii="微软雅黑" w:hAnsi="微软雅黑" w:eastAsia="微软雅黑" w:cs="微软雅黑"/>
          <w:color w:val="000000" w:themeColor="text1"/>
          <w:sz w:val="24"/>
          <w:szCs w:val="24"/>
          <w:lang w:val="zh-CN" w:eastAsia="zh-CN"/>
          <w14:textFill>
            <w14:solidFill>
              <w14:schemeClr w14:val="tx1"/>
            </w14:solidFill>
          </w14:textFill>
        </w:rPr>
        <w:t>洒水车、工程车、草坪机、</w:t>
      </w:r>
      <w:r>
        <w:rPr>
          <w:rFonts w:hint="eastAsia" w:ascii="微软雅黑" w:hAnsi="微软雅黑" w:eastAsia="微软雅黑" w:cs="微软雅黑"/>
          <w:color w:val="000000" w:themeColor="text1"/>
          <w:sz w:val="24"/>
          <w:szCs w:val="24"/>
          <w:lang w:val="zh-CN"/>
          <w14:textFill>
            <w14:solidFill>
              <w14:schemeClr w14:val="tx1"/>
            </w14:solidFill>
          </w14:textFill>
        </w:rPr>
        <w:t>打药机、剪草机、绿篱机、油锯、</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手推保洁车</w:t>
      </w:r>
      <w:r>
        <w:rPr>
          <w:rFonts w:hint="eastAsia" w:ascii="微软雅黑" w:hAnsi="微软雅黑" w:eastAsia="微软雅黑" w:cs="微软雅黑"/>
          <w:color w:val="000000" w:themeColor="text1"/>
          <w:sz w:val="24"/>
          <w:szCs w:val="24"/>
          <w:lang w:val="zh-CN"/>
          <w14:textFill>
            <w14:solidFill>
              <w14:schemeClr w14:val="tx1"/>
            </w14:solidFill>
          </w14:textFill>
        </w:rPr>
        <w:t>。根据本项目实际情况自行配备相关专业管护设备。</w:t>
      </w:r>
    </w:p>
    <w:p>
      <w:pPr>
        <w:snapToGrid w:val="0"/>
        <w:spacing w:beforeAutospacing="0" w:afterAutospacing="0"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（二）作业人员配置要求</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1.</w:t>
      </w:r>
      <w:r>
        <w:rPr>
          <w:rFonts w:hint="eastAsia" w:ascii="微软雅黑" w:hAnsi="微软雅黑" w:eastAsia="微软雅黑" w:cs="微软雅黑"/>
          <w:sz w:val="24"/>
          <w:szCs w:val="24"/>
        </w:rPr>
        <w:t>本项目须配备</w:t>
      </w:r>
      <w:r>
        <w:rPr>
          <w:rFonts w:hint="eastAsia" w:ascii="微软雅黑" w:hAnsi="微软雅黑" w:eastAsia="微软雅黑" w:cs="微软雅黑"/>
          <w:sz w:val="24"/>
          <w:szCs w:val="24"/>
          <w:lang w:eastAsia="zh-CN"/>
        </w:rPr>
        <w:t>园林工程师、园林绿化建设项目工程师以及林园施工员等专业技能人员；</w:t>
      </w:r>
      <w:r>
        <w:rPr>
          <w:rFonts w:hint="eastAsia" w:ascii="微软雅黑" w:hAnsi="微软雅黑" w:eastAsia="微软雅黑" w:cs="微软雅黑"/>
          <w:sz w:val="24"/>
          <w:szCs w:val="24"/>
          <w:lang w:val="zh-CN"/>
        </w:rPr>
        <w:t>现场</w:t>
      </w:r>
      <w:r>
        <w:rPr>
          <w:rFonts w:hint="eastAsia" w:ascii="微软雅黑" w:hAnsi="微软雅黑" w:eastAsia="微软雅黑" w:cs="微软雅黑"/>
          <w:sz w:val="24"/>
          <w:szCs w:val="24"/>
        </w:rPr>
        <w:t>项目经理1人</w:t>
      </w:r>
      <w:r>
        <w:rPr>
          <w:rFonts w:hint="eastAsia" w:ascii="微软雅黑" w:hAnsi="微软雅黑" w:eastAsia="微软雅黑" w:cs="微软雅黑"/>
          <w:sz w:val="24"/>
          <w:szCs w:val="24"/>
          <w:lang w:eastAsia="zh-CN"/>
        </w:rPr>
        <w:t>、</w:t>
      </w:r>
      <w:r>
        <w:rPr>
          <w:rFonts w:hint="eastAsia" w:ascii="微软雅黑" w:hAnsi="微软雅黑" w:eastAsia="微软雅黑" w:cs="微软雅黑"/>
          <w:sz w:val="24"/>
          <w:szCs w:val="24"/>
        </w:rPr>
        <w:t>技术负责人1人、管理员</w:t>
      </w:r>
      <w:r>
        <w:rPr>
          <w:rFonts w:hint="eastAsia" w:ascii="微软雅黑" w:hAnsi="微软雅黑" w:eastAsia="微软雅黑" w:cs="微软雅黑"/>
          <w:sz w:val="24"/>
          <w:szCs w:val="24"/>
          <w:lang w:val="zh-CN"/>
        </w:rPr>
        <w:t>1</w:t>
      </w:r>
      <w:r>
        <w:rPr>
          <w:rFonts w:hint="eastAsia" w:ascii="微软雅黑" w:hAnsi="微软雅黑" w:eastAsia="微软雅黑" w:cs="微软雅黑"/>
          <w:sz w:val="24"/>
          <w:szCs w:val="24"/>
        </w:rPr>
        <w:t>人</w:t>
      </w:r>
      <w:r>
        <w:rPr>
          <w:rFonts w:hint="eastAsia" w:ascii="微软雅黑" w:hAnsi="微软雅黑" w:eastAsia="微软雅黑" w:cs="微软雅黑"/>
          <w:sz w:val="24"/>
          <w:szCs w:val="24"/>
          <w:lang w:val="zh-CN"/>
        </w:rPr>
        <w:t>、</w:t>
      </w:r>
      <w:r>
        <w:rPr>
          <w:rFonts w:hint="eastAsia" w:ascii="微软雅黑" w:hAnsi="微软雅黑" w:eastAsia="微软雅黑" w:cs="微软雅黑"/>
          <w:sz w:val="24"/>
          <w:szCs w:val="24"/>
        </w:rPr>
        <w:t>安全员</w:t>
      </w:r>
      <w:r>
        <w:rPr>
          <w:rFonts w:hint="eastAsia" w:ascii="微软雅黑" w:hAnsi="微软雅黑" w:eastAsia="微软雅黑" w:cs="微软雅黑"/>
          <w:sz w:val="24"/>
          <w:szCs w:val="24"/>
          <w:lang w:val="zh-CN"/>
        </w:rPr>
        <w:t>1</w:t>
      </w:r>
      <w:r>
        <w:rPr>
          <w:rFonts w:hint="eastAsia" w:ascii="微软雅黑" w:hAnsi="微软雅黑" w:eastAsia="微软雅黑" w:cs="微软雅黑"/>
          <w:sz w:val="24"/>
          <w:szCs w:val="24"/>
        </w:rPr>
        <w:t>人、绿化管护工</w:t>
      </w:r>
      <w:r>
        <w:rPr>
          <w:rFonts w:hint="eastAsia" w:ascii="微软雅黑" w:hAnsi="微软雅黑" w:eastAsia="微软雅黑" w:cs="微软雅黑"/>
          <w:sz w:val="24"/>
          <w:szCs w:val="24"/>
          <w:lang w:val="en-US" w:eastAsia="zh-CN"/>
        </w:rPr>
        <w:t>不少于15人</w:t>
      </w:r>
      <w:r>
        <w:rPr>
          <w:rFonts w:hint="eastAsia" w:ascii="微软雅黑" w:hAnsi="微软雅黑" w:eastAsia="微软雅黑" w:cs="微软雅黑"/>
          <w:sz w:val="24"/>
          <w:szCs w:val="24"/>
          <w:lang w:val="zh-CN"/>
        </w:rPr>
        <w:t>，原则上以中青年为主，身体健康，工作认真负责并定期接受培训。</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2.</w:t>
      </w:r>
      <w:r>
        <w:rPr>
          <w:rFonts w:hint="eastAsia" w:ascii="微软雅黑" w:hAnsi="微软雅黑" w:eastAsia="微软雅黑" w:cs="微软雅黑"/>
          <w:sz w:val="24"/>
          <w:szCs w:val="24"/>
          <w:lang w:val="zh-CN"/>
        </w:rPr>
        <w:t>上岗时佩戴统一标志，按需求穿戴统一制服，仪容仪表规范整齐。</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en-US" w:eastAsia="zh-CN"/>
        </w:rPr>
        <w:t>3.</w:t>
      </w:r>
      <w:r>
        <w:rPr>
          <w:rFonts w:hint="eastAsia" w:ascii="微软雅黑" w:hAnsi="微软雅黑" w:eastAsia="微软雅黑" w:cs="微软雅黑"/>
          <w:sz w:val="24"/>
          <w:szCs w:val="24"/>
          <w:lang w:val="zh-CN"/>
        </w:rPr>
        <w:t>文明工作，训练有素，言语规范，认真负责。</w:t>
      </w:r>
    </w:p>
    <w:p>
      <w:pPr>
        <w:snapToGrid w:val="0"/>
        <w:spacing w:beforeAutospacing="0" w:afterAutospacing="0" w:line="400" w:lineRule="exact"/>
        <w:ind w:firstLine="480" w:firstLineChars="200"/>
        <w:rPr>
          <w:rFonts w:ascii="微软雅黑" w:hAnsi="微软雅黑" w:eastAsia="微软雅黑" w:cs="微软雅黑"/>
          <w:sz w:val="24"/>
          <w:szCs w:val="24"/>
          <w:lang w:val="zh-CN"/>
        </w:rPr>
      </w:pPr>
      <w:r>
        <w:rPr>
          <w:rFonts w:hint="eastAsia" w:ascii="微软雅黑" w:hAnsi="微软雅黑" w:eastAsia="微软雅黑" w:cs="微软雅黑"/>
          <w:sz w:val="24"/>
          <w:szCs w:val="24"/>
        </w:rPr>
        <w:t>注：</w:t>
      </w:r>
      <w:r>
        <w:rPr>
          <w:rFonts w:hint="eastAsia" w:ascii="微软雅黑" w:hAnsi="微软雅黑" w:eastAsia="微软雅黑" w:cs="微软雅黑"/>
          <w:sz w:val="24"/>
          <w:szCs w:val="24"/>
          <w:lang w:val="zh-CN"/>
        </w:rPr>
        <w:t>上述人员配置为采购人最低要求，</w:t>
      </w:r>
      <w:r>
        <w:rPr>
          <w:rFonts w:hint="eastAsia" w:ascii="微软雅黑" w:hAnsi="微软雅黑" w:eastAsia="微软雅黑" w:cs="微软雅黑"/>
          <w:sz w:val="24"/>
          <w:szCs w:val="24"/>
          <w:lang w:val="en-US" w:eastAsia="zh-CN"/>
        </w:rPr>
        <w:t>响应供应商</w:t>
      </w:r>
      <w:r>
        <w:rPr>
          <w:rFonts w:hint="eastAsia" w:ascii="微软雅黑" w:hAnsi="微软雅黑" w:eastAsia="微软雅黑" w:cs="微软雅黑"/>
          <w:sz w:val="24"/>
          <w:szCs w:val="24"/>
          <w:lang w:val="zh-CN"/>
        </w:rPr>
        <w:t>的人员配置不得低于该要求，若低于该人员配置要求，则按无效</w:t>
      </w:r>
      <w:r>
        <w:rPr>
          <w:rFonts w:hint="eastAsia" w:ascii="微软雅黑" w:hAnsi="微软雅黑" w:eastAsia="微软雅黑" w:cs="微软雅黑"/>
          <w:sz w:val="24"/>
          <w:szCs w:val="24"/>
          <w:lang w:val="en-US" w:eastAsia="zh-CN"/>
        </w:rPr>
        <w:t>响应</w:t>
      </w:r>
      <w:r>
        <w:rPr>
          <w:rFonts w:hint="eastAsia" w:ascii="微软雅黑" w:hAnsi="微软雅黑" w:eastAsia="微软雅黑" w:cs="微软雅黑"/>
          <w:sz w:val="24"/>
          <w:szCs w:val="24"/>
          <w:lang w:val="zh-CN"/>
        </w:rPr>
        <w:t>处理。具体人员分</w:t>
      </w:r>
      <w:r>
        <w:rPr>
          <w:rFonts w:hint="eastAsia" w:ascii="微软雅黑" w:hAnsi="微软雅黑" w:eastAsia="微软雅黑" w:cs="微软雅黑"/>
          <w:sz w:val="24"/>
          <w:szCs w:val="24"/>
        </w:rPr>
        <w:t>配置表</w:t>
      </w:r>
      <w:r>
        <w:rPr>
          <w:rFonts w:hint="eastAsia" w:ascii="微软雅黑" w:hAnsi="微软雅黑" w:eastAsia="微软雅黑" w:cs="微软雅黑"/>
          <w:sz w:val="24"/>
          <w:szCs w:val="24"/>
          <w:lang w:val="zh-CN"/>
        </w:rPr>
        <w:t>，须在签订</w:t>
      </w:r>
      <w:bookmarkStart w:id="119" w:name="_GoBack"/>
      <w:bookmarkEnd w:id="119"/>
      <w:r>
        <w:rPr>
          <w:rFonts w:hint="eastAsia" w:ascii="微软雅黑" w:hAnsi="微软雅黑" w:eastAsia="微软雅黑" w:cs="微软雅黑"/>
          <w:sz w:val="24"/>
          <w:szCs w:val="24"/>
          <w:lang w:val="zh-CN"/>
        </w:rPr>
        <w:t>合同后30天内提供给采购人。</w:t>
      </w:r>
    </w:p>
    <w:p>
      <w:pPr>
        <w:snapToGrid w:val="0"/>
        <w:spacing w:beforeAutospacing="0" w:afterAutospacing="0" w:line="400" w:lineRule="exact"/>
        <w:ind w:firstLine="481" w:firstLineChars="200"/>
        <w:rPr>
          <w:rFonts w:ascii="微软雅黑" w:hAnsi="微软雅黑" w:eastAsia="微软雅黑" w:cs="微软雅黑"/>
          <w:b/>
          <w:color w:val="000000" w:themeColor="text1"/>
          <w:sz w:val="24"/>
          <w:szCs w:val="24"/>
          <w14:textFill>
            <w14:solidFill>
              <w14:schemeClr w14:val="tx1"/>
            </w14:solidFill>
          </w14:textFill>
        </w:rPr>
      </w:pPr>
      <w:r>
        <w:rPr>
          <w:rFonts w:hint="eastAsia" w:ascii="微软雅黑" w:hAnsi="微软雅黑" w:eastAsia="微软雅黑" w:cs="微软雅黑"/>
          <w:b/>
          <w:color w:val="000000" w:themeColor="text1"/>
          <w:sz w:val="24"/>
          <w:szCs w:val="24"/>
          <w:lang w:val="zh-CN"/>
          <w14:textFill>
            <w14:solidFill>
              <w14:schemeClr w14:val="tx1"/>
            </w14:solidFill>
          </w14:textFill>
        </w:rPr>
        <w:t xml:space="preserve"> </w:t>
      </w:r>
      <w:r>
        <w:rPr>
          <w:rFonts w:hint="eastAsia" w:ascii="微软雅黑" w:hAnsi="微软雅黑" w:eastAsia="微软雅黑" w:cs="微软雅黑"/>
          <w:b/>
          <w:color w:val="000000" w:themeColor="text1"/>
          <w:sz w:val="24"/>
          <w:szCs w:val="24"/>
          <w14:textFill>
            <w14:solidFill>
              <w14:schemeClr w14:val="tx1"/>
            </w14:solidFill>
          </w14:textFill>
        </w:rPr>
        <w:t>五、其他</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（一）成交供应商应有稳定和较高专业素质的管理团队和员工队伍，派驻到该项目的人员不得低于本磋商文件和响应文件规定的配置。成交供应商应积极承担项目的交接工作，不得分包、转包、挂靠成交项目。</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（二）成交供应商应自行承担因管护作业而产生的水电费用。</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三）成交供应商应依法用工，负责所聘人员的培训、劳动保护、保险、伤病等事项；在招录员工时，必须按照《劳动法》相关规定进行招录并提供相关依据的复印件。凡是“未岗前常规体检”、“有传染病史”、“有违法乱纪记录”、“身体残疾”、“有心理疾病”、“未岗前培训”等人员不得录用；其所派人员发生事故或其他意外均由成交供应商负责。</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（四）按要求购买从业人员社会保险（养老保险、医疗保险、工伤生育保险、失业保险、意外伤害保险等），从业人员月工资不低于全市当年最低工资标准，并随国家每年最低工资标准调整作相应调整。</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五）在履约服务期限内，成交供应商自行组织人员完成合同约定事务，并按国家法律法规的要求完善用工制度，成交供应商为完成合同约定事务自行聘请的人员工资、福利、社保等用工责任由成交供应商自行承担，因成交供应商未完善而引起的劳动争议由成交供应商自行负责。</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（六）成交供应商服从采购人监督管理和考核，经采购人考核，未达到要求的可以根据情况扣减费用，如果采购人考核未达到合格及以上要求或因成交供应商原因发生责任事故，采购人可单方面解除合同。</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（七）成交供应商合同到期即终止合同，及时办理移交，妥善处理相关后续事宜，所有手续和费用完清，无任何用工纠纷和遗留问题，采购人确认无异议后十五日内退还成交供应商履约保证金。</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八）如遇重大活动、重点检查或突发性事件，采购人有权要求成交供应商对作业人员进行调整使用，完成突击性或其它临时性工作，根据应急预案实施。如成交供应商未按采购人要求实施或未达到标准由此给采购人造成影响和损失，由成交供应商承担全部损失直至解除合同。</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（九）响应供应商要现场踏勘，对实际养护服务形成行之有效的方案；有城市生活垃圾清运资质和能力。</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（十）响应供应商必须在响应文件中对以上条款和服务承诺明确列出，承诺内容必须达到本篇及磋商文件其他条款的要求。</w:t>
      </w:r>
    </w:p>
    <w:p>
      <w:pPr>
        <w:snapToGrid w:val="0"/>
        <w:spacing w:beforeAutospacing="0" w:afterAutospacing="0" w:line="400" w:lineRule="exact"/>
        <w:ind w:firstLine="480" w:firstLineChars="200"/>
        <w:rPr>
          <w:rFonts w:hint="eastAsia" w:ascii="微软雅黑" w:hAnsi="微软雅黑" w:eastAsia="微软雅黑" w:cs="微软雅黑"/>
          <w:sz w:val="24"/>
          <w:szCs w:val="24"/>
          <w:lang w:val="zh-CN"/>
        </w:rPr>
      </w:pPr>
      <w:r>
        <w:rPr>
          <w:rFonts w:hint="eastAsia" w:ascii="微软雅黑" w:hAnsi="微软雅黑" w:eastAsia="微软雅黑" w:cs="微软雅黑"/>
          <w:sz w:val="24"/>
          <w:szCs w:val="24"/>
          <w:lang w:val="zh-CN"/>
        </w:rPr>
        <w:t>（十一）其他未尽事宜由供需双方在采购合同中详细约定。</w:t>
      </w:r>
    </w:p>
    <w:p>
      <w:pPr>
        <w:spacing w:beforeAutospacing="0" w:afterAutospacing="0" w:line="400" w:lineRule="exact"/>
        <w:rPr>
          <w:rFonts w:ascii="微软雅黑" w:hAnsi="微软雅黑" w:eastAsia="微软雅黑" w:cs="微软雅黑"/>
          <w:color w:val="000000" w:themeColor="text1"/>
          <w:sz w:val="24"/>
          <w:szCs w:val="24"/>
          <w:lang w:val="zh-CN"/>
          <w14:textFill>
            <w14:solidFill>
              <w14:schemeClr w14:val="tx1"/>
            </w14:solidFill>
          </w14:textFill>
        </w:rPr>
      </w:pPr>
    </w:p>
    <w:p>
      <w:pPr>
        <w:spacing w:beforeAutospacing="0" w:afterAutospacing="0" w:line="400" w:lineRule="exact"/>
        <w:rPr>
          <w:rFonts w:ascii="方正仿宋_GBK" w:hAnsi="宋体" w:eastAsia="方正仿宋_GBK"/>
          <w:color w:val="000000" w:themeColor="text1"/>
          <w:sz w:val="24"/>
          <w:szCs w:val="24"/>
          <w14:textFill>
            <w14:solidFill>
              <w14:schemeClr w14:val="tx1"/>
            </w14:solidFill>
          </w14:textFill>
        </w:rPr>
      </w:pPr>
    </w:p>
    <w:p>
      <w:pPr>
        <w:widowControl/>
        <w:jc w:val="left"/>
        <w:rPr>
          <w:rFonts w:ascii="微软雅黑" w:hAnsi="微软雅黑" w:eastAsia="微软雅黑" w:cs="微软雅黑"/>
          <w:color w:val="000000" w:themeColor="text1"/>
          <w:sz w:val="44"/>
          <w:szCs w:val="44"/>
          <w14:textFill>
            <w14:solidFill>
              <w14:schemeClr w14:val="tx1"/>
            </w14:solidFill>
          </w14:textFill>
        </w:rPr>
      </w:pPr>
      <w:r>
        <w:rPr>
          <w:rFonts w:ascii="微软雅黑" w:hAnsi="微软雅黑" w:eastAsia="微软雅黑" w:cs="微软雅黑"/>
          <w:color w:val="000000" w:themeColor="text1"/>
          <w:sz w:val="44"/>
          <w:szCs w:val="44"/>
          <w14:textFill>
            <w14:solidFill>
              <w14:schemeClr w14:val="tx1"/>
            </w14:solidFill>
          </w14:textFill>
        </w:rPr>
        <w:br w:type="page"/>
      </w:r>
    </w:p>
    <w:p>
      <w:pPr>
        <w:pStyle w:val="2"/>
        <w:pageBreakBefore/>
        <w:spacing w:before="0" w:beforeAutospacing="0" w:after="0" w:afterAutospacing="0" w:line="360" w:lineRule="auto"/>
        <w:jc w:val="both"/>
        <w:rPr>
          <w:rFonts w:hint="eastAsia" w:ascii="方正小标宋_GBK" w:hAnsi="宋体" w:eastAsia="方正小标宋_GBK"/>
          <w:b w:val="0"/>
          <w:sz w:val="36"/>
          <w:szCs w:val="30"/>
        </w:rPr>
      </w:pPr>
      <w:bookmarkStart w:id="44" w:name="_Toc76462332"/>
      <w:bookmarkEnd w:id="44"/>
      <w:bookmarkStart w:id="45" w:name="_Toc106030887"/>
      <w:bookmarkEnd w:id="45"/>
      <w:r>
        <w:rPr>
          <w:rFonts w:hint="eastAsia" w:ascii="方正小标宋_GBK" w:hAnsi="宋体" w:eastAsia="方正小标宋_GBK"/>
          <w:b w:val="0"/>
          <w:sz w:val="36"/>
          <w:szCs w:val="30"/>
        </w:rPr>
        <w:t>第四篇  磋商程序及方法、评审标准、无效响应和</w:t>
      </w:r>
      <w:r>
        <w:rPr>
          <w:rFonts w:hint="eastAsia" w:ascii="方正小标宋_GBK" w:eastAsia="方正小标宋_GBK"/>
          <w:b w:val="0"/>
          <w:sz w:val="36"/>
          <w:szCs w:val="36"/>
        </w:rPr>
        <w:t>采购终止</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46" w:name="_Toc106030888"/>
      <w:bookmarkEnd w:id="46"/>
      <w:bookmarkStart w:id="47" w:name="_Toc76462333"/>
      <w:bookmarkEnd w:id="47"/>
      <w:r>
        <w:rPr>
          <w:rFonts w:hint="eastAsia" w:ascii="方正仿宋_GBK" w:hAnsi="宋体" w:eastAsia="方正仿宋_GBK"/>
          <w:sz w:val="24"/>
        </w:rPr>
        <w:t>一、磋商程序及方法</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磋商按竞争性磋商文件规定的时间和地点进行，供应商须有法定代表人（或其授权代表）或自然人参加并签到。竞争性磋商以抽签的形式确定磋商顺序，由本项目依法组建的竞争性磋商小组（以下简称磋商小组）分别与各供应商进行磋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（二）磋商小组对各供应商的资格条件、响应文件的有效性、完整性和响应程度进行审查。各供应商只有在完全符合要求的前提下，才能参与正式磋商。</w:t>
      </w:r>
    </w:p>
    <w:p>
      <w:pPr>
        <w:snapToGrid w:val="0"/>
        <w:spacing w:beforeAutospacing="0" w:afterAutospacing="0" w:line="400" w:lineRule="exact"/>
        <w:ind w:firstLine="480" w:firstLineChars="200"/>
        <w:rPr>
          <w:rFonts w:ascii="方正仿宋_GBK" w:hAnsi="宋体" w:eastAsia="方正仿宋_GBK" w:cs="宋体"/>
          <w:kern w:val="0"/>
          <w:sz w:val="24"/>
          <w:szCs w:val="24"/>
        </w:rPr>
      </w:pPr>
      <w:r>
        <w:rPr>
          <w:rFonts w:hint="eastAsia" w:ascii="方正仿宋_GBK" w:hAnsi="宋体" w:eastAsia="方正仿宋_GBK"/>
          <w:sz w:val="24"/>
          <w:szCs w:val="24"/>
        </w:rPr>
        <w:t>1.</w:t>
      </w:r>
      <w:r>
        <w:rPr>
          <w:rFonts w:hint="eastAsia" w:ascii="方正仿宋_GBK" w:hAnsi="宋体" w:eastAsia="方正仿宋_GBK" w:cs="宋体"/>
          <w:kern w:val="0"/>
          <w:sz w:val="24"/>
          <w:szCs w:val="24"/>
        </w:rPr>
        <w:t>资格性审查。依据法律法规和竞争性磋商文件的规定，对响应文件中的资格证明、等进行审查，以确定供应商是否具备磋商资格。资格性审查资料表如下：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3118"/>
        <w:gridCol w:w="4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827"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检查因素</w:t>
            </w:r>
          </w:p>
        </w:tc>
        <w:tc>
          <w:tcPr>
            <w:tcW w:w="49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restart"/>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（一）</w:t>
            </w:r>
          </w:p>
        </w:tc>
        <w:tc>
          <w:tcPr>
            <w:tcW w:w="709" w:type="dxa"/>
            <w:vMerge w:val="restart"/>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《中华人民共和国政府采购法》第二十二条规定</w:t>
            </w: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1.具有独立承担民事责任的能力</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 xml:space="preserve">1.供应商法人营业执照（副本）或事业单位法人证书（副本）或个体工商户营业执照或有效的自然人身份证明或社会团体法人登记证书（提供复印件）。 </w:t>
            </w:r>
          </w:p>
          <w:p>
            <w:pPr>
              <w:rPr>
                <w:rFonts w:hint="eastAsia" w:ascii="方正仿宋_GBK" w:hAnsi="仿宋" w:eastAsia="方正仿宋_GBK"/>
                <w:sz w:val="21"/>
                <w:szCs w:val="21"/>
              </w:rPr>
            </w:pPr>
            <w:r>
              <w:rPr>
                <w:rFonts w:hint="eastAsia" w:ascii="方正仿宋_GBK" w:hAnsi="仿宋" w:eastAsia="方正仿宋_GBK"/>
                <w:sz w:val="21"/>
                <w:szCs w:val="21"/>
              </w:rPr>
              <w:t>2.供应商法定代表人身份证明和法定代表人授权代表委托书。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cs="仿宋_GB2312"/>
                <w:sz w:val="21"/>
                <w:szCs w:val="21"/>
                <w:lang w:val="zh-CN"/>
              </w:rPr>
              <w:t>2.</w:t>
            </w:r>
            <w:r>
              <w:rPr>
                <w:rFonts w:hint="eastAsia" w:ascii="方正仿宋_GBK" w:hAnsi="仿宋" w:eastAsia="方正仿宋_GBK"/>
                <w:sz w:val="21"/>
                <w:szCs w:val="21"/>
              </w:rPr>
              <w:t>具有良好的商业信誉和健全的财务会计制度</w:t>
            </w:r>
          </w:p>
        </w:tc>
        <w:tc>
          <w:tcPr>
            <w:tcW w:w="4984" w:type="dxa"/>
            <w:vMerge w:val="restart"/>
            <w:vAlign w:val="center"/>
          </w:tcPr>
          <w:p>
            <w:pPr>
              <w:rPr>
                <w:rFonts w:hint="eastAsia" w:ascii="方正仿宋_GBK" w:hAnsi="仿宋" w:eastAsia="方正仿宋_GBK"/>
                <w:b/>
                <w:sz w:val="21"/>
                <w:szCs w:val="21"/>
              </w:rPr>
            </w:pPr>
            <w:r>
              <w:rPr>
                <w:rFonts w:hint="eastAsia" w:ascii="方正仿宋_GBK" w:hAnsi="仿宋" w:eastAsia="方正仿宋_GBK"/>
                <w:sz w:val="21"/>
                <w:szCs w:val="21"/>
              </w:rPr>
              <w:t>供应商提供“基本资格条件承诺函”（格式详见第七篇）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3.具有履行合同所必需的设备和专业技术能力</w:t>
            </w:r>
          </w:p>
        </w:tc>
        <w:tc>
          <w:tcPr>
            <w:tcW w:w="4984" w:type="dxa"/>
            <w:vMerge w:val="continue"/>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cs="仿宋_GB2312"/>
                <w:sz w:val="21"/>
                <w:szCs w:val="21"/>
                <w:lang w:val="zh-CN"/>
              </w:rPr>
              <w:t>4.有依法缴纳税收和社会保障金的良好记录</w:t>
            </w:r>
          </w:p>
        </w:tc>
        <w:tc>
          <w:tcPr>
            <w:tcW w:w="4984" w:type="dxa"/>
            <w:vMerge w:val="continue"/>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lang w:val="zh-CN"/>
              </w:rPr>
            </w:pPr>
          </w:p>
        </w:tc>
        <w:tc>
          <w:tcPr>
            <w:tcW w:w="3118" w:type="dxa"/>
            <w:vAlign w:val="center"/>
          </w:tcPr>
          <w:p>
            <w:pPr>
              <w:rPr>
                <w:rFonts w:hint="eastAsia" w:ascii="方正仿宋_GBK" w:hAnsi="仿宋" w:eastAsia="方正仿宋_GBK" w:cs="仿宋_GB2312"/>
                <w:sz w:val="21"/>
                <w:szCs w:val="21"/>
                <w:lang w:val="zh-CN"/>
              </w:rPr>
            </w:pPr>
            <w:r>
              <w:rPr>
                <w:rFonts w:hint="eastAsia" w:ascii="方正仿宋_GBK" w:hAnsi="仿宋" w:eastAsia="方正仿宋_GBK"/>
                <w:sz w:val="21"/>
                <w:szCs w:val="21"/>
              </w:rPr>
              <w:t>5.参加政府采购活动前三年内，在经营活动中没有重大违法记录</w:t>
            </w:r>
          </w:p>
        </w:tc>
        <w:tc>
          <w:tcPr>
            <w:tcW w:w="4984" w:type="dxa"/>
            <w:vMerge w:val="continue"/>
            <w:vAlign w:val="center"/>
          </w:tcPr>
          <w:p>
            <w:pPr>
              <w:rPr>
                <w:rFonts w:hint="eastAsia" w:ascii="方正仿宋_GBK" w:hAnsi="仿宋" w:eastAsia="方正仿宋_GBK"/>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6.法律、行政法规规定的其他条件</w:t>
            </w:r>
          </w:p>
        </w:tc>
        <w:tc>
          <w:tcPr>
            <w:tcW w:w="4984" w:type="dxa"/>
            <w:vAlign w:val="center"/>
          </w:tcPr>
          <w:p>
            <w:pPr>
              <w:rPr>
                <w:rFonts w:hint="eastAsia" w:ascii="方正仿宋_GBK" w:hAnsi="仿宋"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817" w:type="dxa"/>
            <w:vMerge w:val="continue"/>
            <w:vAlign w:val="center"/>
          </w:tcPr>
          <w:p>
            <w:pPr>
              <w:jc w:val="center"/>
              <w:rPr>
                <w:rFonts w:hint="eastAsia" w:ascii="方正仿宋_GBK" w:hAnsi="仿宋" w:eastAsia="方正仿宋_GBK"/>
                <w:sz w:val="21"/>
                <w:szCs w:val="21"/>
              </w:rPr>
            </w:pPr>
          </w:p>
        </w:tc>
        <w:tc>
          <w:tcPr>
            <w:tcW w:w="709" w:type="dxa"/>
            <w:vMerge w:val="continue"/>
            <w:vAlign w:val="center"/>
          </w:tcPr>
          <w:p>
            <w:pPr>
              <w:rPr>
                <w:rFonts w:hint="eastAsia" w:ascii="方正仿宋_GBK" w:hAnsi="仿宋" w:eastAsia="方正仿宋_GBK" w:cs="仿宋_GB2312"/>
                <w:sz w:val="21"/>
                <w:szCs w:val="21"/>
              </w:rPr>
            </w:pPr>
          </w:p>
        </w:tc>
        <w:tc>
          <w:tcPr>
            <w:tcW w:w="3118"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7.本项目的特定资格要求</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按“第一篇三、供应商资格要求（三）本项目的特定资格要求”的要求提交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817" w:type="dxa"/>
            <w:vAlign w:val="center"/>
          </w:tcPr>
          <w:p>
            <w:pPr>
              <w:jc w:val="center"/>
              <w:rPr>
                <w:rFonts w:hint="eastAsia" w:ascii="方正仿宋_GBK" w:hAnsi="仿宋" w:eastAsia="方正仿宋_GBK"/>
                <w:sz w:val="21"/>
                <w:szCs w:val="21"/>
              </w:rPr>
            </w:pPr>
            <w:r>
              <w:rPr>
                <w:rFonts w:hint="eastAsia" w:ascii="方正仿宋_GBK" w:hAnsi="仿宋" w:eastAsia="方正仿宋_GBK"/>
                <w:sz w:val="21"/>
                <w:szCs w:val="21"/>
              </w:rPr>
              <w:t>（二）</w:t>
            </w:r>
          </w:p>
        </w:tc>
        <w:tc>
          <w:tcPr>
            <w:tcW w:w="3827" w:type="dxa"/>
            <w:gridSpan w:val="2"/>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落实政府采购政策需满足的资格要求</w:t>
            </w:r>
          </w:p>
        </w:tc>
        <w:tc>
          <w:tcPr>
            <w:tcW w:w="4984" w:type="dxa"/>
            <w:vAlign w:val="center"/>
          </w:tcPr>
          <w:p>
            <w:pPr>
              <w:rPr>
                <w:rFonts w:hint="eastAsia" w:ascii="方正仿宋_GBK" w:hAnsi="仿宋" w:eastAsia="方正仿宋_GBK"/>
                <w:sz w:val="21"/>
                <w:szCs w:val="21"/>
              </w:rPr>
            </w:pPr>
            <w:r>
              <w:rPr>
                <w:rFonts w:hint="eastAsia" w:ascii="方正仿宋_GBK" w:hAnsi="仿宋" w:eastAsia="方正仿宋_GBK"/>
                <w:sz w:val="21"/>
                <w:szCs w:val="21"/>
              </w:rPr>
              <w:t>按“第一篇三、供应商资格要求（二）落实政府采购政策需满足的资格要求”的要求提交</w:t>
            </w:r>
            <w:r>
              <w:rPr>
                <w:rFonts w:hint="eastAsia" w:ascii="方正仿宋_GBK" w:hAnsi="宋体" w:eastAsia="方正仿宋_GBK"/>
                <w:sz w:val="21"/>
                <w:szCs w:val="21"/>
              </w:rPr>
              <w:t>（如果有）</w:t>
            </w:r>
            <w:r>
              <w:rPr>
                <w:rFonts w:hint="eastAsia" w:ascii="方正仿宋_GBK" w:hAnsi="仿宋"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817" w:type="dxa"/>
            <w:vAlign w:val="center"/>
          </w:tcPr>
          <w:p>
            <w:pPr>
              <w:jc w:val="center"/>
              <w:rPr>
                <w:rFonts w:hint="eastAsia" w:ascii="方正仿宋_GBK" w:hAnsi="仿宋" w:eastAsia="方正仿宋_GBK"/>
                <w:sz w:val="21"/>
                <w:szCs w:val="21"/>
                <w:lang w:eastAsia="zh-CN"/>
              </w:rPr>
            </w:pPr>
            <w:r>
              <w:rPr>
                <w:rFonts w:hint="eastAsia" w:ascii="方正仿宋_GBK" w:hAnsi="仿宋" w:eastAsia="方正仿宋_GBK"/>
                <w:sz w:val="21"/>
                <w:szCs w:val="21"/>
                <w:lang w:eastAsia="zh-CN"/>
              </w:rPr>
              <w:t>（</w:t>
            </w:r>
            <w:r>
              <w:rPr>
                <w:rFonts w:hint="eastAsia" w:ascii="方正仿宋_GBK" w:hAnsi="仿宋" w:eastAsia="方正仿宋_GBK"/>
                <w:sz w:val="21"/>
                <w:szCs w:val="21"/>
                <w:lang w:val="en-US" w:eastAsia="zh-CN"/>
              </w:rPr>
              <w:t>三）</w:t>
            </w:r>
          </w:p>
        </w:tc>
        <w:tc>
          <w:tcPr>
            <w:tcW w:w="3827" w:type="dxa"/>
            <w:gridSpan w:val="2"/>
            <w:vAlign w:val="top"/>
          </w:tcPr>
          <w:p>
            <w:pPr>
              <w:jc w:val="left"/>
              <w:rPr>
                <w:rFonts w:hint="eastAsia" w:ascii="方正仿宋_GBK" w:hAnsi="仿宋" w:eastAsia="方正仿宋_GBK"/>
                <w:sz w:val="21"/>
                <w:szCs w:val="21"/>
              </w:rPr>
            </w:pPr>
            <w:r>
              <w:rPr>
                <w:rFonts w:hint="eastAsia" w:ascii="方正仿宋_GBK" w:hAnsi="仿宋" w:eastAsia="方正仿宋_GBK"/>
                <w:sz w:val="21"/>
                <w:szCs w:val="21"/>
              </w:rPr>
              <w:t>保证金</w:t>
            </w:r>
          </w:p>
        </w:tc>
        <w:tc>
          <w:tcPr>
            <w:tcW w:w="4984" w:type="dxa"/>
            <w:vAlign w:val="top"/>
          </w:tcPr>
          <w:p>
            <w:pPr>
              <w:rPr>
                <w:rFonts w:hint="eastAsia" w:ascii="方正仿宋_GBK" w:hAnsi="仿宋" w:eastAsia="方正仿宋_GBK"/>
                <w:sz w:val="21"/>
                <w:szCs w:val="21"/>
              </w:rPr>
            </w:pPr>
            <w:r>
              <w:rPr>
                <w:rFonts w:hint="eastAsia" w:ascii="方正仿宋_GBK" w:hAnsi="仿宋" w:eastAsia="方正仿宋_GBK"/>
                <w:sz w:val="21"/>
                <w:szCs w:val="21"/>
              </w:rPr>
              <w:t>按</w:t>
            </w:r>
            <w:r>
              <w:rPr>
                <w:rFonts w:hint="eastAsia" w:ascii="方正仿宋_GBK" w:hAnsi="仿宋" w:eastAsia="方正仿宋_GBK"/>
                <w:sz w:val="21"/>
                <w:szCs w:val="21"/>
                <w:lang w:val="en-US" w:eastAsia="zh-CN"/>
              </w:rPr>
              <w:t>磋商文件</w:t>
            </w:r>
            <w:r>
              <w:rPr>
                <w:rFonts w:hint="eastAsia" w:ascii="方正仿宋_GBK" w:hAnsi="仿宋" w:eastAsia="方正仿宋_GBK"/>
                <w:sz w:val="21"/>
                <w:szCs w:val="21"/>
              </w:rPr>
              <w:t>要求足额交纳所参与包的保证金</w:t>
            </w:r>
            <w:r>
              <w:rPr>
                <w:rFonts w:hint="eastAsia" w:ascii="方正仿宋_GBK" w:hAnsi="仿宋" w:eastAsia="方正仿宋_GBK"/>
                <w:sz w:val="21"/>
                <w:szCs w:val="21"/>
                <w:lang w:val="en-US" w:eastAsia="zh-CN"/>
              </w:rPr>
              <w:t>，并提供相关证明材料</w:t>
            </w:r>
            <w:r>
              <w:rPr>
                <w:rFonts w:hint="eastAsia" w:ascii="方正仿宋_GBK" w:hAnsi="仿宋" w:eastAsia="方正仿宋_GBK"/>
                <w:sz w:val="21"/>
                <w:szCs w:val="21"/>
              </w:rPr>
              <w:t>。</w:t>
            </w:r>
          </w:p>
        </w:tc>
      </w:tr>
    </w:tbl>
    <w:p>
      <w:pPr>
        <w:snapToGrid w:val="0"/>
        <w:spacing w:beforeAutospacing="0" w:afterAutospacing="0" w:line="400" w:lineRule="exact"/>
        <w:ind w:firstLine="480" w:firstLineChars="200"/>
        <w:rPr>
          <w:rFonts w:hint="eastAsia" w:ascii="方正仿宋_GBK" w:hAnsi="宋体" w:eastAsia="方正仿宋_GBK" w:cs="宋体"/>
          <w:kern w:val="0"/>
          <w:sz w:val="24"/>
          <w:szCs w:val="24"/>
        </w:rPr>
      </w:pPr>
      <w:r>
        <w:rPr>
          <w:rFonts w:hint="eastAsia" w:ascii="方正仿宋_GBK" w:hAnsi="宋体" w:eastAsia="方正仿宋_GBK" w:cs="宋体"/>
          <w:kern w:val="0"/>
          <w:sz w:val="24"/>
          <w:szCs w:val="24"/>
        </w:rPr>
        <w:t>注：</w:t>
      </w:r>
    </w:p>
    <w:p>
      <w:pPr>
        <w:snapToGrid w:val="0"/>
        <w:spacing w:beforeAutospacing="0" w:afterAutospacing="0"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1</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根据《</w:t>
      </w:r>
      <w:r>
        <w:rPr>
          <w:rFonts w:ascii="方正仿宋_GBK" w:hAnsi="宋体" w:eastAsia="方正仿宋_GBK" w:cs="宋体"/>
          <w:kern w:val="0"/>
          <w:sz w:val="24"/>
          <w:szCs w:val="24"/>
        </w:rPr>
        <w:t>中华人民共和国政府采购法实施条例</w:t>
      </w:r>
      <w:r>
        <w:rPr>
          <w:rFonts w:hint="eastAsia" w:ascii="方正仿宋_GBK" w:hAnsi="宋体" w:eastAsia="方正仿宋_GBK" w:cs="宋体"/>
          <w:kern w:val="0"/>
          <w:sz w:val="24"/>
          <w:szCs w:val="24"/>
        </w:rPr>
        <w:t>》第十九条“参加政府采购活动前三年内，在经营活动中没有重大违法记录”中“重大违法记录”</w:t>
      </w:r>
      <w:r>
        <w:rPr>
          <w:rFonts w:ascii="方正仿宋_GBK" w:hAnsi="宋体" w:eastAsia="方正仿宋_GBK" w:cs="宋体"/>
          <w:kern w:val="0"/>
          <w:sz w:val="24"/>
          <w:szCs w:val="24"/>
        </w:rPr>
        <w:t>，是指供应商因违法经营受到刑事处罚或者责令停产停业、吊销许可证或者执照、较大数额罚款等行政处罚。</w:t>
      </w:r>
      <w:r>
        <w:rPr>
          <w:rFonts w:hint="eastAsia" w:ascii="方正仿宋_GBK" w:hAnsi="宋体" w:eastAsia="方正仿宋_GBK" w:cs="宋体"/>
          <w:kern w:val="0"/>
          <w:sz w:val="24"/>
          <w:szCs w:val="24"/>
        </w:rPr>
        <w:t>行政处罚中“较大数额”的认定标准，按照“</w:t>
      </w:r>
      <w:r>
        <w:rPr>
          <w:rFonts w:ascii="方正仿宋_GBK" w:hAnsi="宋体" w:eastAsia="方正仿宋_GBK" w:cs="宋体"/>
          <w:kern w:val="0"/>
          <w:sz w:val="24"/>
          <w:szCs w:val="24"/>
        </w:rPr>
        <w:t>财政部关于《中华人民共和国政府采购法实施条例》第十九条第一款“较大数额罚款”具体适用问题的意见</w:t>
      </w:r>
      <w:r>
        <w:rPr>
          <w:rFonts w:hint="eastAsia" w:ascii="方正仿宋_GBK" w:hAnsi="宋体" w:eastAsia="方正仿宋_GBK" w:cs="宋体"/>
          <w:kern w:val="0"/>
          <w:sz w:val="24"/>
          <w:szCs w:val="24"/>
        </w:rPr>
        <w:t>（财库〔2022〕3 号）”执行。供应商可于响应文件递交截止时间前通过 “信用中国”网站(www.creditchina.gov.cn)、"中国政府采购网"(www.ccgp.gov.cn)等渠道查询信用记录。</w:t>
      </w:r>
    </w:p>
    <w:p>
      <w:pPr>
        <w:snapToGrid w:val="0"/>
        <w:spacing w:beforeAutospacing="0" w:afterAutospacing="0"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2</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cs="宋体"/>
          <w:kern w:val="0"/>
          <w:sz w:val="24"/>
          <w:szCs w:val="24"/>
        </w:rPr>
        <w:t>以联合体形式参与磋商的，共同联合协议中应确定主办方（主体），</w:t>
      </w:r>
      <w:r>
        <w:rPr>
          <w:rFonts w:hint="eastAsia" w:ascii="方正仿宋_GBK" w:hAnsi="宋体" w:eastAsia="方正仿宋_GBK"/>
          <w:sz w:val="24"/>
        </w:rPr>
        <w:t>代表联合体进行磋商和澄清。</w:t>
      </w:r>
      <w:r>
        <w:rPr>
          <w:rFonts w:hint="eastAsia" w:ascii="方正仿宋_GBK" w:hAnsi="宋体" w:eastAsia="方正仿宋_GBK" w:cs="宋体"/>
          <w:kern w:val="0"/>
          <w:sz w:val="24"/>
          <w:szCs w:val="24"/>
        </w:rPr>
        <w:t>联合体各方均应满足供应商资格要求（详见“第一篇”）。</w:t>
      </w:r>
    </w:p>
    <w:p>
      <w:pPr>
        <w:snapToGrid w:val="0"/>
        <w:spacing w:beforeAutospacing="0" w:afterAutospacing="0" w:line="400" w:lineRule="exact"/>
        <w:ind w:firstLine="480" w:firstLineChars="200"/>
        <w:rPr>
          <w:rFonts w:hint="eastAsia" w:ascii="方正仿宋_GBK" w:hAnsi="宋体" w:eastAsia="方正仿宋_GBK" w:cs="宋体"/>
          <w:kern w:val="0"/>
          <w:sz w:val="24"/>
          <w:szCs w:val="24"/>
        </w:rPr>
      </w:pPr>
      <w:r>
        <w:rPr>
          <w:rFonts w:ascii="方正仿宋_GBK" w:hAnsi="宋体" w:eastAsia="方正仿宋_GBK" w:cs="宋体"/>
          <w:kern w:val="0"/>
          <w:sz w:val="24"/>
          <w:szCs w:val="24"/>
        </w:rPr>
        <w:fldChar w:fldCharType="begin"/>
      </w:r>
      <w:r>
        <w:rPr>
          <w:rFonts w:ascii="方正仿宋_GBK" w:hAnsi="宋体" w:eastAsia="方正仿宋_GBK" w:cs="宋体"/>
          <w:kern w:val="0"/>
          <w:sz w:val="24"/>
          <w:szCs w:val="24"/>
        </w:rPr>
        <w:instrText xml:space="preserve"> </w:instrText>
      </w:r>
      <w:r>
        <w:rPr>
          <w:rFonts w:hint="eastAsia" w:ascii="方正仿宋_GBK" w:hAnsi="宋体" w:eastAsia="方正仿宋_GBK" w:cs="宋体"/>
          <w:kern w:val="0"/>
          <w:sz w:val="24"/>
          <w:szCs w:val="24"/>
        </w:rPr>
        <w:instrText xml:space="preserve">eq \o\ac(○,</w:instrText>
      </w:r>
      <w:r>
        <w:rPr>
          <w:rFonts w:hint="eastAsia" w:ascii="宋体" w:hAnsi="宋体" w:eastAsia="方正仿宋_GBK" w:cs="宋体"/>
          <w:kern w:val="0"/>
          <w:position w:val="3"/>
          <w:sz w:val="16"/>
          <w:szCs w:val="24"/>
        </w:rPr>
        <w:instrText xml:space="preserve">3</w:instrText>
      </w:r>
      <w:r>
        <w:rPr>
          <w:rFonts w:hint="eastAsia" w:ascii="方正仿宋_GBK" w:hAnsi="宋体" w:eastAsia="方正仿宋_GBK" w:cs="宋体"/>
          <w:kern w:val="0"/>
          <w:sz w:val="24"/>
          <w:szCs w:val="24"/>
        </w:rPr>
        <w:instrText xml:space="preserve">)</w:instrText>
      </w:r>
      <w:r>
        <w:rPr>
          <w:rFonts w:ascii="方正仿宋_GBK" w:hAnsi="宋体" w:eastAsia="方正仿宋_GBK" w:cs="宋体"/>
          <w:kern w:val="0"/>
          <w:sz w:val="24"/>
          <w:szCs w:val="24"/>
        </w:rPr>
        <w:fldChar w:fldCharType="end"/>
      </w:r>
      <w:r>
        <w:rPr>
          <w:rFonts w:hint="eastAsia" w:ascii="方正仿宋_GBK" w:hAnsi="宋体" w:eastAsia="方正仿宋_GBK"/>
          <w:sz w:val="24"/>
        </w:rPr>
        <w:t>以联合体形式参加本项目的，联合体各方均为中小企业的，联合体视同中小企业（其中，联合体各方均为小微企业的，联合体视同小微企业</w:t>
      </w:r>
      <w:r>
        <w:rPr>
          <w:rFonts w:hint="eastAsia" w:ascii="方正仿宋_GBK" w:hAnsi="宋体" w:eastAsia="方正仿宋_GBK" w:cs="宋体"/>
          <w:kern w:val="0"/>
          <w:sz w:val="24"/>
          <w:szCs w:val="24"/>
        </w:rPr>
        <w:t>）。</w:t>
      </w:r>
    </w:p>
    <w:p>
      <w:pPr>
        <w:snapToGrid w:val="0"/>
        <w:spacing w:beforeAutospacing="0" w:afterAutospacing="0" w:line="400" w:lineRule="exact"/>
        <w:ind w:firstLine="480" w:firstLineChars="200"/>
        <w:rPr>
          <w:rFonts w:hint="eastAsia" w:ascii="方正仿宋_GBK" w:eastAsia="方正仿宋_GBK"/>
          <w:kern w:val="0"/>
          <w:sz w:val="24"/>
          <w:szCs w:val="24"/>
        </w:rPr>
      </w:pPr>
      <w:r>
        <w:rPr>
          <w:rFonts w:hint="eastAsia" w:ascii="方正仿宋_GBK" w:hAnsi="宋体" w:eastAsia="方正仿宋_GBK" w:cs="宋体"/>
          <w:kern w:val="0"/>
          <w:sz w:val="24"/>
          <w:szCs w:val="24"/>
        </w:rPr>
        <w:t>2.符合性审查。依据竞争性磋商文件的规定，从响应文件的有效性、完整性和对竞争性磋商文件的响应程度进行审查，以确定是否对竞争性磋商文件的实质性要求作出响应。</w:t>
      </w:r>
      <w:r>
        <w:rPr>
          <w:rFonts w:hint="eastAsia" w:ascii="方正仿宋_GBK" w:eastAsia="方正仿宋_GBK"/>
          <w:kern w:val="0"/>
          <w:sz w:val="24"/>
          <w:szCs w:val="24"/>
        </w:rPr>
        <w:t>符合性审查资料表如下：</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1984"/>
        <w:gridCol w:w="5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序号</w:t>
            </w:r>
          </w:p>
        </w:tc>
        <w:tc>
          <w:tcPr>
            <w:tcW w:w="3544" w:type="dxa"/>
            <w:gridSpan w:val="2"/>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评审因素</w:t>
            </w:r>
          </w:p>
        </w:tc>
        <w:tc>
          <w:tcPr>
            <w:tcW w:w="5409" w:type="dxa"/>
            <w:vAlign w:val="center"/>
          </w:tcPr>
          <w:p>
            <w:pPr>
              <w:jc w:val="center"/>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675" w:type="dxa"/>
            <w:vMerge w:val="restart"/>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w:t>
            </w:r>
          </w:p>
        </w:tc>
        <w:tc>
          <w:tcPr>
            <w:tcW w:w="1560" w:type="dxa"/>
            <w:vMerge w:val="restart"/>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有效性审查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响应文件签署或盖章</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按竞争性磋商文件“第七篇响应文件编制要求”要求签署或盖章。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w:t>
            </w:r>
          </w:p>
        </w:tc>
        <w:tc>
          <w:tcPr>
            <w:tcW w:w="5409" w:type="dxa"/>
            <w:vAlign w:val="center"/>
          </w:tcPr>
          <w:p>
            <w:pPr>
              <w:rPr>
                <w:rFonts w:hint="eastAsia" w:ascii="方正仿宋_GBK" w:hAnsi="宋体" w:eastAsia="方正仿宋_GBK"/>
                <w:sz w:val="21"/>
                <w:szCs w:val="21"/>
              </w:rPr>
            </w:pPr>
            <w:r>
              <w:rPr>
                <w:rFonts w:hint="eastAsia" w:ascii="方正仿宋_GBK" w:hAnsi="宋体" w:eastAsia="方正仿宋_GBK"/>
                <w:sz w:val="21"/>
                <w:szCs w:val="21"/>
              </w:rPr>
              <w:t>法定代表人身份证明及授权委托书有效，符合竞争性磋商文件规定的格式，签署或盖章齐全。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lang w:val="zh-CN"/>
              </w:rPr>
              <w:t>每个包只能有一个</w:t>
            </w: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宋体"/>
                <w:kern w:val="0"/>
                <w:sz w:val="21"/>
                <w:szCs w:val="21"/>
              </w:rPr>
            </w:pPr>
          </w:p>
        </w:tc>
        <w:tc>
          <w:tcPr>
            <w:tcW w:w="1984" w:type="dxa"/>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sz w:val="21"/>
                <w:szCs w:val="21"/>
              </w:rPr>
              <w:t>报价唯一</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sz w:val="21"/>
                <w:szCs w:val="21"/>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675" w:type="dxa"/>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2</w:t>
            </w:r>
          </w:p>
        </w:tc>
        <w:tc>
          <w:tcPr>
            <w:tcW w:w="1560"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完整性审查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文件份数</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仿宋_GB2312"/>
                <w:sz w:val="21"/>
                <w:szCs w:val="21"/>
              </w:rPr>
              <w:t>响应</w:t>
            </w:r>
            <w:r>
              <w:rPr>
                <w:rFonts w:hint="eastAsia" w:ascii="方正仿宋_GBK" w:hAnsi="宋体" w:eastAsia="方正仿宋_GBK" w:cs="仿宋_GB2312"/>
                <w:sz w:val="21"/>
                <w:szCs w:val="21"/>
                <w:lang w:val="zh-CN"/>
              </w:rPr>
              <w:t>文件正、副本数量（含电子文档）符合</w:t>
            </w:r>
            <w:r>
              <w:rPr>
                <w:rFonts w:hint="eastAsia" w:ascii="方正仿宋_GBK" w:hAnsi="宋体" w:eastAsia="方正仿宋_GBK" w:cs="仿宋_GB2312"/>
                <w:sz w:val="21"/>
                <w:szCs w:val="21"/>
              </w:rPr>
              <w:t>竞争性磋商</w:t>
            </w:r>
            <w:r>
              <w:rPr>
                <w:rFonts w:hint="eastAsia" w:ascii="方正仿宋_GBK" w:hAnsi="宋体" w:eastAsia="方正仿宋_GBK" w:cs="仿宋_GB2312"/>
                <w:sz w:val="21"/>
                <w:szCs w:val="21"/>
                <w:lang w:val="zh-CN"/>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75" w:type="dxa"/>
            <w:vMerge w:val="restart"/>
            <w:vAlign w:val="center"/>
          </w:tcPr>
          <w:p>
            <w:pPr>
              <w:jc w:val="cente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3</w:t>
            </w:r>
          </w:p>
        </w:tc>
        <w:tc>
          <w:tcPr>
            <w:tcW w:w="1560" w:type="dxa"/>
            <w:vMerge w:val="restart"/>
            <w:vAlign w:val="center"/>
          </w:tcPr>
          <w:p>
            <w:pPr>
              <w:rPr>
                <w:rFonts w:hint="eastAsia" w:ascii="方正仿宋_GBK" w:hAnsi="宋体" w:eastAsia="方正仿宋_GBK" w:cs="仿宋_GB2312"/>
                <w:sz w:val="21"/>
                <w:szCs w:val="21"/>
                <w:lang w:val="zh-CN"/>
              </w:rPr>
            </w:pPr>
            <w:r>
              <w:rPr>
                <w:rFonts w:hint="eastAsia" w:ascii="方正仿宋_GBK" w:hAnsi="宋体" w:eastAsia="方正仿宋_GBK" w:cs="宋体"/>
                <w:kern w:val="0"/>
                <w:sz w:val="21"/>
                <w:szCs w:val="21"/>
              </w:rPr>
              <w:t>响应程度审查</w:t>
            </w: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实质性响应</w:t>
            </w:r>
          </w:p>
        </w:tc>
        <w:tc>
          <w:tcPr>
            <w:tcW w:w="5409" w:type="dxa"/>
            <w:vAlign w:val="center"/>
          </w:tcPr>
          <w:p>
            <w:pPr>
              <w:pStyle w:val="6"/>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竞争性磋商文件第二篇、第三篇“</w:t>
            </w:r>
            <w:r>
              <w:rPr>
                <w:rFonts w:hint="eastAsia" w:ascii="方正仿宋_GBK" w:hAnsi="宋体" w:eastAsia="方正仿宋_GBK"/>
                <w:sz w:val="24"/>
                <w:szCs w:val="24"/>
              </w:rPr>
              <w:t>※</w:t>
            </w:r>
            <w:r>
              <w:rPr>
                <w:rFonts w:hint="eastAsia" w:ascii="方正仿宋_GBK" w:hAnsi="宋体" w:eastAsia="方正仿宋_GBK" w:cs="宋体"/>
                <w:kern w:val="0"/>
                <w:sz w:val="21"/>
                <w:szCs w:val="21"/>
              </w:rPr>
              <w:t>”标注部分。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675" w:type="dxa"/>
            <w:vMerge w:val="continue"/>
            <w:vAlign w:val="center"/>
          </w:tcPr>
          <w:p>
            <w:pPr>
              <w:jc w:val="center"/>
              <w:rPr>
                <w:rFonts w:hint="eastAsia" w:ascii="方正仿宋_GBK" w:hAnsi="宋体" w:eastAsia="方正仿宋_GBK" w:cs="宋体"/>
                <w:kern w:val="0"/>
                <w:sz w:val="21"/>
                <w:szCs w:val="21"/>
              </w:rPr>
            </w:pPr>
          </w:p>
        </w:tc>
        <w:tc>
          <w:tcPr>
            <w:tcW w:w="1560" w:type="dxa"/>
            <w:vMerge w:val="continue"/>
            <w:vAlign w:val="center"/>
          </w:tcPr>
          <w:p>
            <w:pPr>
              <w:rPr>
                <w:rFonts w:hint="eastAsia" w:ascii="方正仿宋_GBK" w:hAnsi="宋体" w:eastAsia="方正仿宋_GBK" w:cs="仿宋_GB2312"/>
                <w:sz w:val="21"/>
                <w:szCs w:val="21"/>
                <w:lang w:val="zh-CN"/>
              </w:rPr>
            </w:pPr>
          </w:p>
        </w:tc>
        <w:tc>
          <w:tcPr>
            <w:tcW w:w="1984"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磋商有效期</w:t>
            </w:r>
          </w:p>
        </w:tc>
        <w:tc>
          <w:tcPr>
            <w:tcW w:w="5409" w:type="dxa"/>
            <w:vAlign w:val="center"/>
          </w:tcPr>
          <w:p>
            <w:pPr>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响应文件及有关承诺文件有效期为提交响应文件截止时间起90天。</w:t>
            </w:r>
          </w:p>
        </w:tc>
      </w:tr>
    </w:tbl>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根据《财政部关于政府采购竞争性磋商采购方式管理暂行办法有关问题的补充通知》（财库〔2015〕124号）采用竞争性磋商采购方式采购的政府购买服务项目（含政府和社会资本合作项目），在采购过程中符合要求的供应商（社会资本）只有2家的，竞争性磋商采购活动可以继续进行。</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澄清有关问题。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磋商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（五）在磋商过程中磋商的任何一方不得向他人透露与磋商有关的服务资料、价格或其他信息。</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六）在磋商过程中，磋商小组可以根据竞争性磋商文件和磋商情况实质性变动采购需求中的服务、商务要求以及合同草案条款，但不得变动竞争性磋商文件中的其他内容。实质性变动的内容，须经采购人代表确认。对竞争性磋商文件作出的实质性变动是竞争性磋商文件的有效组成部分，磋商小组应当及时以书面形式同时通知所有参加磋商的供应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（七）供应商在磋商时作出的所有书面承诺须由法定代表人（或其授权代表）或自然人（供应商为自然人）签署。</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（八）经磋商确定最终采购需求且磋商结束后，供应商应当按照竞争性磋商文件的变动情况</w:t>
      </w:r>
      <w:r>
        <w:rPr>
          <w:rFonts w:hint="eastAsia" w:ascii="方正仿宋_GBK" w:hAnsi="宋体" w:eastAsia="方正仿宋_GBK"/>
          <w:sz w:val="24"/>
          <w:szCs w:val="24"/>
          <w:highlight w:val="none"/>
        </w:rPr>
        <w:t>和磋商小组的要求重新提交响应文件或重新做出相关的书面承诺，最后书面提交最后报价及有关承诺（《最后报价表》在磋商现场向供应商提供</w:t>
      </w:r>
      <w:r>
        <w:rPr>
          <w:rFonts w:hint="eastAsia" w:ascii="方正仿宋_GBK" w:hAnsi="宋体" w:eastAsia="方正仿宋_GBK"/>
          <w:sz w:val="24"/>
          <w:szCs w:val="24"/>
          <w:highlight w:val="none"/>
          <w:lang w:eastAsia="zh-CN"/>
        </w:rPr>
        <w:t>，</w:t>
      </w:r>
      <w:r>
        <w:rPr>
          <w:rFonts w:hint="eastAsia" w:ascii="方正仿宋_GBK" w:hAnsi="宋体" w:eastAsia="方正仿宋_GBK"/>
          <w:sz w:val="24"/>
          <w:szCs w:val="24"/>
          <w:highlight w:val="none"/>
          <w:lang w:val="en-US" w:eastAsia="zh-CN"/>
        </w:rPr>
        <w:t>注：</w:t>
      </w:r>
      <w:r>
        <w:rPr>
          <w:rFonts w:hint="eastAsia" w:ascii="方正仿宋_GBK" w:hAnsi="宋体" w:eastAsia="方正仿宋_GBK"/>
          <w:color w:val="000000"/>
          <w:sz w:val="24"/>
          <w:szCs w:val="24"/>
          <w:highlight w:val="none"/>
        </w:rPr>
        <w:t>本项目</w:t>
      </w:r>
      <w:r>
        <w:rPr>
          <w:rFonts w:hint="eastAsia" w:ascii="方正仿宋_GBK" w:hAnsi="宋体" w:eastAsia="方正仿宋_GBK"/>
          <w:color w:val="000000"/>
          <w:sz w:val="24"/>
          <w:szCs w:val="24"/>
          <w:highlight w:val="none"/>
          <w:lang w:val="en-US" w:eastAsia="zh-CN"/>
        </w:rPr>
        <w:t>采用</w:t>
      </w:r>
      <w:r>
        <w:rPr>
          <w:rFonts w:hint="eastAsia" w:ascii="方正仿宋_GBK" w:hAnsi="宋体" w:eastAsia="方正仿宋_GBK"/>
          <w:color w:val="000000"/>
          <w:sz w:val="24"/>
          <w:szCs w:val="24"/>
          <w:highlight w:val="none"/>
        </w:rPr>
        <w:t>两次报价</w:t>
      </w:r>
      <w:r>
        <w:rPr>
          <w:rFonts w:hint="eastAsia" w:ascii="方正仿宋_GBK" w:hAnsi="宋体" w:eastAsia="方正仿宋_GBK"/>
          <w:color w:val="000000"/>
          <w:sz w:val="24"/>
          <w:szCs w:val="24"/>
          <w:highlight w:val="none"/>
          <w:lang w:eastAsia="zh-CN"/>
        </w:rPr>
        <w:t>，</w:t>
      </w:r>
      <w:r>
        <w:rPr>
          <w:rFonts w:hint="eastAsia" w:ascii="方正仿宋_GBK" w:hAnsi="宋体" w:eastAsia="方正仿宋_GBK"/>
          <w:sz w:val="24"/>
          <w:szCs w:val="24"/>
          <w:highlight w:val="none"/>
        </w:rPr>
        <w:t>最后报价</w:t>
      </w:r>
      <w:r>
        <w:rPr>
          <w:rFonts w:hint="eastAsia" w:ascii="方正仿宋_GBK" w:hAnsi="宋体" w:eastAsia="方正仿宋_GBK"/>
          <w:sz w:val="24"/>
          <w:szCs w:val="24"/>
          <w:highlight w:val="none"/>
          <w:lang w:val="en-US" w:eastAsia="zh-CN"/>
        </w:rPr>
        <w:t>只能低于或等于</w:t>
      </w:r>
      <w:r>
        <w:rPr>
          <w:rFonts w:hint="eastAsia" w:ascii="方正仿宋_GBK" w:hAnsi="宋体" w:eastAsia="方正仿宋_GBK"/>
          <w:sz w:val="24"/>
          <w:szCs w:val="24"/>
          <w:highlight w:val="none"/>
        </w:rPr>
        <w:t>响应文件中的报价</w:t>
      </w:r>
      <w:r>
        <w:rPr>
          <w:rFonts w:hint="eastAsia" w:ascii="方正仿宋_GBK" w:hAnsi="宋体" w:eastAsia="方正仿宋_GBK"/>
          <w:sz w:val="24"/>
          <w:szCs w:val="24"/>
          <w:highlight w:val="none"/>
          <w:lang w:val="en-US" w:eastAsia="zh-CN"/>
        </w:rPr>
        <w:t>。若高于响应文件中的报价则以</w:t>
      </w:r>
      <w:r>
        <w:rPr>
          <w:rFonts w:hint="eastAsia" w:ascii="方正仿宋_GBK" w:hAnsi="宋体" w:eastAsia="方正仿宋_GBK"/>
          <w:sz w:val="24"/>
          <w:szCs w:val="24"/>
          <w:highlight w:val="none"/>
        </w:rPr>
        <w:t>供应商响应文件中的报价为准）。</w:t>
      </w:r>
      <w:r>
        <w:rPr>
          <w:rFonts w:ascii="方正仿宋_GBK" w:hAnsi="宋体" w:eastAsia="方正仿宋_GBK"/>
          <w:sz w:val="24"/>
          <w:szCs w:val="24"/>
          <w:highlight w:val="none"/>
        </w:rPr>
        <w:t>已提交响应文件</w:t>
      </w:r>
      <w:r>
        <w:rPr>
          <w:rFonts w:hint="eastAsia" w:ascii="方正仿宋_GBK" w:hAnsi="宋体" w:eastAsia="方正仿宋_GBK"/>
          <w:sz w:val="24"/>
          <w:szCs w:val="24"/>
        </w:rPr>
        <w:t>但未在规定时间内进行最后报价</w:t>
      </w:r>
      <w:r>
        <w:rPr>
          <w:rFonts w:ascii="方正仿宋_GBK" w:hAnsi="宋体" w:eastAsia="方正仿宋_GBK"/>
          <w:sz w:val="24"/>
          <w:szCs w:val="24"/>
        </w:rPr>
        <w:t>的供应商，</w:t>
      </w:r>
      <w:r>
        <w:rPr>
          <w:rFonts w:hint="eastAsia" w:ascii="方正仿宋_GBK" w:hAnsi="宋体" w:eastAsia="方正仿宋_GBK"/>
          <w:sz w:val="24"/>
          <w:szCs w:val="24"/>
        </w:rPr>
        <w:t>视为放弃最后报价，以供应商响应文件中的报价为准。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（九）磋商小组采用综合评分法对提交最后报价的供应商的响应文件和最后报价（含有效书面承诺）进行综合评分。</w:t>
      </w:r>
      <w:r>
        <w:rPr>
          <w:rFonts w:hint="eastAsia" w:ascii="方正仿宋_GBK" w:hAnsi="宋体" w:eastAsia="方正仿宋_GBK" w:cs="宋体"/>
          <w:kern w:val="0"/>
          <w:sz w:val="24"/>
          <w:szCs w:val="24"/>
        </w:rPr>
        <w:t>综合评分法，是指响应</w:t>
      </w:r>
      <w:r>
        <w:rPr>
          <w:rFonts w:ascii="方正仿宋_GBK" w:hAnsi="宋体" w:eastAsia="方正仿宋_GBK" w:cs="宋体"/>
          <w:kern w:val="0"/>
          <w:sz w:val="24"/>
          <w:szCs w:val="24"/>
        </w:rPr>
        <w:t>文件满足</w:t>
      </w:r>
      <w:r>
        <w:rPr>
          <w:rFonts w:hint="eastAsia" w:ascii="方正仿宋_GBK" w:hAnsi="宋体" w:eastAsia="方正仿宋_GBK" w:cs="宋体"/>
          <w:kern w:val="0"/>
          <w:sz w:val="24"/>
          <w:szCs w:val="24"/>
        </w:rPr>
        <w:t>竞争性磋商</w:t>
      </w:r>
      <w:r>
        <w:rPr>
          <w:rFonts w:ascii="方正仿宋_GBK" w:hAnsi="宋体" w:eastAsia="方正仿宋_GBK" w:cs="宋体"/>
          <w:kern w:val="0"/>
          <w:sz w:val="24"/>
          <w:szCs w:val="24"/>
        </w:rPr>
        <w:t>文件全部实质性要求且按照评审因素的量化指标评审得分最高的供应商为</w:t>
      </w:r>
      <w:r>
        <w:rPr>
          <w:rFonts w:hint="eastAsia" w:ascii="方正仿宋_GBK" w:hAnsi="宋体" w:eastAsia="方正仿宋_GBK" w:cs="宋体"/>
          <w:kern w:val="0"/>
          <w:sz w:val="24"/>
          <w:szCs w:val="24"/>
        </w:rPr>
        <w:t>成交</w:t>
      </w:r>
      <w:r>
        <w:rPr>
          <w:rFonts w:ascii="方正仿宋_GBK" w:hAnsi="宋体" w:eastAsia="方正仿宋_GBK" w:cs="宋体"/>
          <w:kern w:val="0"/>
          <w:sz w:val="24"/>
          <w:szCs w:val="24"/>
        </w:rPr>
        <w:t>候选</w:t>
      </w:r>
      <w:r>
        <w:rPr>
          <w:rFonts w:hint="eastAsia" w:ascii="方正仿宋_GBK" w:hAnsi="宋体" w:eastAsia="方正仿宋_GBK" w:cs="宋体"/>
          <w:kern w:val="0"/>
          <w:sz w:val="24"/>
          <w:szCs w:val="24"/>
        </w:rPr>
        <w:t>供应商</w:t>
      </w:r>
      <w:r>
        <w:rPr>
          <w:rFonts w:ascii="方正仿宋_GBK" w:hAnsi="宋体" w:eastAsia="方正仿宋_GBK" w:cs="宋体"/>
          <w:kern w:val="0"/>
          <w:sz w:val="24"/>
          <w:szCs w:val="24"/>
        </w:rPr>
        <w:t>的</w:t>
      </w:r>
      <w:r>
        <w:rPr>
          <w:rFonts w:hint="eastAsia" w:ascii="方正仿宋_GBK" w:hAnsi="宋体" w:eastAsia="方正仿宋_GBK" w:cs="宋体"/>
          <w:kern w:val="0"/>
          <w:sz w:val="24"/>
          <w:szCs w:val="24"/>
        </w:rPr>
        <w:t>评审</w:t>
      </w:r>
      <w:r>
        <w:rPr>
          <w:rFonts w:ascii="方正仿宋_GBK" w:hAnsi="宋体" w:eastAsia="方正仿宋_GBK" w:cs="宋体"/>
          <w:kern w:val="0"/>
          <w:sz w:val="24"/>
          <w:szCs w:val="24"/>
        </w:rPr>
        <w:t>方法</w:t>
      </w:r>
      <w:r>
        <w:rPr>
          <w:rFonts w:hint="eastAsia" w:ascii="方正仿宋_GBK" w:hAnsi="宋体" w:eastAsia="方正仿宋_GBK" w:cs="宋体"/>
          <w:kern w:val="0"/>
          <w:sz w:val="24"/>
          <w:szCs w:val="24"/>
        </w:rPr>
        <w:t>。供应商总得分为价格、服务、商务等评定因素分别按照相应权重值计算分项得分后相加，满分为100分</w:t>
      </w:r>
      <w:r>
        <w:rPr>
          <w:rFonts w:hint="eastAsia" w:ascii="方正仿宋_GBK" w:hAnsi="宋体" w:eastAsia="方正仿宋_GBK"/>
          <w:sz w:val="24"/>
          <w:szCs w:val="24"/>
        </w:rPr>
        <w:t>。</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十）磋商小组各成员独立对响应文件进行评价、打分，然后汇总每个供应商每项评分因素的得分，并根据综合评分情况按照评审得分由高到低顺序推荐3名以上成交候选供应商，并编写评审报告。若供应商的评审得分相同的，按照最后报价由低到高的顺序排列推荐。评审得分且最后报价相同的，按照服务指标优劣顺序排列推荐。以上都相同的，按商务条款的优劣顺序排列推荐。（提示：服务部分</w:t>
      </w:r>
      <w:r>
        <w:rPr>
          <w:rFonts w:ascii="方正仿宋_GBK" w:hAnsi="宋体" w:eastAsia="方正仿宋_GBK"/>
          <w:sz w:val="24"/>
          <w:szCs w:val="24"/>
        </w:rPr>
        <w:t>得分为</w:t>
      </w:r>
      <w:r>
        <w:rPr>
          <w:rFonts w:hint="eastAsia" w:ascii="方正仿宋_GBK" w:hAnsi="宋体" w:eastAsia="方正仿宋_GBK"/>
          <w:sz w:val="24"/>
          <w:szCs w:val="24"/>
        </w:rPr>
        <w:t>0分</w:t>
      </w:r>
      <w:r>
        <w:rPr>
          <w:rFonts w:ascii="方正仿宋_GBK" w:hAnsi="宋体" w:eastAsia="方正仿宋_GBK"/>
          <w:sz w:val="24"/>
          <w:szCs w:val="24"/>
        </w:rPr>
        <w:t>的</w:t>
      </w:r>
      <w:r>
        <w:rPr>
          <w:rFonts w:hint="eastAsia" w:ascii="方正仿宋_GBK" w:hAnsi="宋体" w:eastAsia="方正仿宋_GBK"/>
          <w:sz w:val="24"/>
          <w:szCs w:val="24"/>
        </w:rPr>
        <w:t>供应商</w:t>
      </w:r>
      <w:r>
        <w:rPr>
          <w:rFonts w:hint="eastAsia" w:ascii="方正仿宋_GBK" w:hAnsi="宋体" w:eastAsia="方正仿宋_GBK"/>
          <w:sz w:val="24"/>
          <w:szCs w:val="24"/>
          <w:lang w:eastAsia="zh-CN"/>
        </w:rPr>
        <w:t>不能</w:t>
      </w:r>
      <w:r>
        <w:rPr>
          <w:rFonts w:ascii="方正仿宋_GBK" w:hAnsi="宋体" w:eastAsia="方正仿宋_GBK"/>
          <w:sz w:val="24"/>
          <w:szCs w:val="24"/>
        </w:rPr>
        <w:t>成为</w:t>
      </w:r>
      <w:r>
        <w:rPr>
          <w:rFonts w:hint="eastAsia" w:ascii="方正仿宋_GBK" w:hAnsi="宋体" w:eastAsia="方正仿宋_GBK"/>
          <w:sz w:val="24"/>
          <w:szCs w:val="24"/>
        </w:rPr>
        <w:t>成交供应商</w:t>
      </w:r>
      <w:r>
        <w:rPr>
          <w:rFonts w:ascii="方正仿宋_GBK" w:hAnsi="宋体" w:eastAsia="方正仿宋_GBK"/>
          <w:sz w:val="24"/>
          <w:szCs w:val="24"/>
        </w:rPr>
        <w:t>。</w:t>
      </w:r>
      <w:r>
        <w:rPr>
          <w:rFonts w:hint="eastAsia" w:ascii="方正仿宋_GBK" w:hAnsi="宋体" w:eastAsia="方正仿宋_GBK"/>
          <w:sz w:val="24"/>
          <w:szCs w:val="24"/>
        </w:rPr>
        <w:t>）</w:t>
      </w:r>
    </w:p>
    <w:p>
      <w:pPr>
        <w:spacing w:beforeAutospacing="0" w:afterAutospacing="0" w:line="390" w:lineRule="exact"/>
        <w:ind w:firstLine="481" w:firstLineChars="200"/>
        <w:jc w:val="left"/>
        <w:rPr>
          <w:rFonts w:ascii="微软雅黑" w:hAnsi="微软雅黑" w:eastAsia="微软雅黑" w:cs="微软雅黑"/>
          <w:b/>
          <w:color w:val="000000" w:themeColor="text1"/>
          <w:sz w:val="24"/>
          <w:szCs w:val="24"/>
          <w14:textFill>
            <w14:solidFill>
              <w14:schemeClr w14:val="tx1"/>
            </w14:solidFill>
          </w14:textFill>
        </w:rPr>
      </w:pPr>
      <w:bookmarkStart w:id="48" w:name="_Toc76462335"/>
      <w:bookmarkStart w:id="49" w:name="_Toc106030890"/>
      <w:bookmarkStart w:id="50" w:name="_Toc342913394"/>
      <w:bookmarkStart w:id="51" w:name="_Toc102227320"/>
      <w:r>
        <w:rPr>
          <w:rFonts w:hint="eastAsia" w:ascii="微软雅黑" w:hAnsi="微软雅黑" w:eastAsia="微软雅黑" w:cs="微软雅黑"/>
          <w:b/>
          <w:color w:val="000000" w:themeColor="text1"/>
          <w:sz w:val="24"/>
          <w:szCs w:val="24"/>
          <w14:textFill>
            <w14:solidFill>
              <w14:schemeClr w14:val="tx1"/>
            </w14:solidFill>
          </w14:textFill>
        </w:rPr>
        <w:t>二、评审标准</w:t>
      </w:r>
    </w:p>
    <w:tbl>
      <w:tblPr>
        <w:tblStyle w:val="13"/>
        <w:tblpPr w:leftFromText="180" w:rightFromText="180" w:vertAnchor="text" w:horzAnchor="page" w:tblpX="1194" w:tblpY="291"/>
        <w:tblOverlap w:val="never"/>
        <w:tblW w:w="10133" w:type="dxa"/>
        <w:tblInd w:w="0" w:type="dxa"/>
        <w:tblLayout w:type="fixed"/>
        <w:tblCellMar>
          <w:top w:w="15" w:type="dxa"/>
          <w:left w:w="15" w:type="dxa"/>
          <w:bottom w:w="15" w:type="dxa"/>
          <w:right w:w="15" w:type="dxa"/>
        </w:tblCellMar>
      </w:tblPr>
      <w:tblGrid>
        <w:gridCol w:w="589"/>
        <w:gridCol w:w="975"/>
        <w:gridCol w:w="1559"/>
        <w:gridCol w:w="851"/>
        <w:gridCol w:w="4110"/>
        <w:gridCol w:w="2049"/>
      </w:tblGrid>
      <w:tr>
        <w:tblPrEx>
          <w:tblCellMar>
            <w:top w:w="15" w:type="dxa"/>
            <w:left w:w="15" w:type="dxa"/>
            <w:bottom w:w="15" w:type="dxa"/>
            <w:right w:w="15" w:type="dxa"/>
          </w:tblCellMar>
        </w:tblPrEx>
        <w:trPr>
          <w:trHeight w:val="450" w:hRule="atLeast"/>
        </w:trPr>
        <w:tc>
          <w:tcPr>
            <w:tcW w:w="58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序号</w:t>
            </w:r>
          </w:p>
        </w:tc>
        <w:tc>
          <w:tcPr>
            <w:tcW w:w="25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评分因素及权重</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分值</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评分标准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说明</w:t>
            </w:r>
          </w:p>
        </w:tc>
      </w:tr>
      <w:tr>
        <w:tblPrEx>
          <w:tblCellMar>
            <w:top w:w="15" w:type="dxa"/>
            <w:left w:w="15" w:type="dxa"/>
            <w:bottom w:w="15" w:type="dxa"/>
            <w:right w:w="15" w:type="dxa"/>
          </w:tblCellMar>
        </w:tblPrEx>
        <w:trPr>
          <w:trHeight w:val="1140" w:hRule="atLeast"/>
        </w:trPr>
        <w:tc>
          <w:tcPr>
            <w:tcW w:w="58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w:t>
            </w:r>
          </w:p>
        </w:tc>
        <w:tc>
          <w:tcPr>
            <w:tcW w:w="2534"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经济部分（20%）</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20</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以本次最低有效磋商报价为基准价，磋商报价得分=(基准价／磋商报价)*权重*100。</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1680" w:hRule="atLeast"/>
        </w:trPr>
        <w:tc>
          <w:tcPr>
            <w:tcW w:w="589" w:type="dxa"/>
            <w:vMerge w:val="restart"/>
            <w:tcBorders>
              <w:top w:val="single" w:color="000000" w:sz="4" w:space="0"/>
              <w:left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w:t>
            </w:r>
          </w:p>
        </w:tc>
        <w:tc>
          <w:tcPr>
            <w:tcW w:w="975" w:type="dxa"/>
            <w:vMerge w:val="restart"/>
            <w:tcBorders>
              <w:top w:val="single" w:color="000000" w:sz="4" w:space="0"/>
              <w:left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服务</w:t>
            </w:r>
          </w:p>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eastAsia="zh-CN"/>
                <w14:textFill>
                  <w14:solidFill>
                    <w14:schemeClr w14:val="tx1"/>
                  </w14:solidFill>
                </w14:textFill>
              </w:rPr>
              <w:t>部</w:t>
            </w:r>
            <w:r>
              <w:rPr>
                <w:rFonts w:hint="eastAsia" w:ascii="微软雅黑" w:hAnsi="微软雅黑" w:eastAsia="微软雅黑" w:cs="微软雅黑"/>
                <w:color w:val="000000" w:themeColor="text1"/>
                <w:sz w:val="24"/>
                <w:szCs w:val="24"/>
                <w14:textFill>
                  <w14:solidFill>
                    <w14:schemeClr w14:val="tx1"/>
                  </w14:solidFill>
                </w14:textFill>
              </w:rPr>
              <w:t>分(</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养护</w:t>
            </w:r>
            <w:r>
              <w:rPr>
                <w:rFonts w:hint="eastAsia" w:ascii="微软雅黑" w:hAnsi="微软雅黑" w:eastAsia="微软雅黑" w:cs="微软雅黑"/>
                <w:color w:val="000000" w:themeColor="text1"/>
                <w:sz w:val="24"/>
                <w:szCs w:val="24"/>
                <w14:textFill>
                  <w14:solidFill>
                    <w14:schemeClr w14:val="tx1"/>
                  </w14:solidFill>
                </w14:textFill>
              </w:rPr>
              <w:t>服务方案（</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30</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30</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1、对植物养护的方案：根据实际踏勘情况，对各分区的绿植：如（主要植物名称） 等制定详细的养护方案。根据方案的内容详尽情况、特点、可行性与科学实用性进行评审。优得</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6-8</w:t>
            </w:r>
            <w:r>
              <w:rPr>
                <w:rFonts w:hint="eastAsia" w:ascii="微软雅黑" w:hAnsi="微软雅黑" w:eastAsia="微软雅黑" w:cs="微软雅黑"/>
                <w:color w:val="000000" w:themeColor="text1"/>
                <w:sz w:val="24"/>
                <w:szCs w:val="24"/>
                <w14:textFill>
                  <w14:solidFill>
                    <w14:schemeClr w14:val="tx1"/>
                  </w14:solidFill>
                </w14:textFill>
              </w:rPr>
              <w:t>分，一般得</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3-4</w:t>
            </w:r>
            <w:r>
              <w:rPr>
                <w:rFonts w:hint="eastAsia" w:ascii="微软雅黑" w:hAnsi="微软雅黑" w:eastAsia="微软雅黑" w:cs="微软雅黑"/>
                <w:color w:val="000000" w:themeColor="text1"/>
                <w:sz w:val="24"/>
                <w:szCs w:val="24"/>
                <w14:textFill>
                  <w14:solidFill>
                    <w14:schemeClr w14:val="tx1"/>
                  </w14:solidFill>
                </w14:textFill>
              </w:rPr>
              <w:t>分， 差得1-</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分；</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2、对服务流程熟悉，人员安排合理可行优得4-6分，一般得2-3分， 差得1分；</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3、本项目服务方案的流畅性，内容的完整性，响应程度可行优得4-6分，一般得2-3分， 差得1分。</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4、方案中有提出针对本项目的重难点的解决思路或举措，合理的优得4-</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分，一般得2-3分， 差得1分。</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5.投标人内部管理非常规范、制度健全、质量控制严格合理可行优得4-</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分，一般得2-3分， 差得1分。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r>
      <w:tr>
        <w:tblPrEx>
          <w:tblCellMar>
            <w:top w:w="15" w:type="dxa"/>
            <w:left w:w="15" w:type="dxa"/>
            <w:bottom w:w="15" w:type="dxa"/>
            <w:right w:w="15" w:type="dxa"/>
          </w:tblCellMar>
        </w:tblPrEx>
        <w:trPr>
          <w:trHeight w:val="892" w:hRule="atLeast"/>
        </w:trPr>
        <w:tc>
          <w:tcPr>
            <w:tcW w:w="589"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现场踏勘</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10</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10</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lang w:val="en-US" w:eastAsia="zh-CN"/>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有到本项目现场进行踏勘并提供现场踏勘情况报告</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根据投标人提供的现场踏勘情况报告是否符合现场实际情况，优得8-10分、良得5-7分、一般得2-4分，差得1分。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p>
        </w:tc>
      </w:tr>
      <w:tr>
        <w:tblPrEx>
          <w:tblCellMar>
            <w:top w:w="15" w:type="dxa"/>
            <w:left w:w="15" w:type="dxa"/>
            <w:bottom w:w="15" w:type="dxa"/>
            <w:right w:w="15" w:type="dxa"/>
          </w:tblCellMar>
        </w:tblPrEx>
        <w:trPr>
          <w:trHeight w:val="892" w:hRule="atLeast"/>
        </w:trPr>
        <w:tc>
          <w:tcPr>
            <w:tcW w:w="589"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组织机构</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有针对本项目制定组织机构方案，根据投标人制定的组织机构方案设置合理，分工明确，管理通畅，可操作性强，符合本项目实际，优得5分、良得3分、一般得1分。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lang w:val="en-US" w:eastAsia="zh-CN"/>
                <w14:textFill>
                  <w14:solidFill>
                    <w14:schemeClr w14:val="tx1"/>
                  </w14:solidFill>
                </w14:textFill>
              </w:rPr>
            </w:pPr>
          </w:p>
        </w:tc>
      </w:tr>
      <w:tr>
        <w:tblPrEx>
          <w:tblCellMar>
            <w:top w:w="15" w:type="dxa"/>
            <w:left w:w="15" w:type="dxa"/>
            <w:bottom w:w="15" w:type="dxa"/>
            <w:right w:w="15" w:type="dxa"/>
          </w:tblCellMar>
        </w:tblPrEx>
        <w:trPr>
          <w:trHeight w:val="892" w:hRule="atLeast"/>
        </w:trPr>
        <w:tc>
          <w:tcPr>
            <w:tcW w:w="589"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安全保障措施</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10</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供应商根据服务内容及环境阐述服务人员安全性规避方案，进行横向比较，</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优得5分、良得3分、一般得1分。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p>
        </w:tc>
      </w:tr>
      <w:tr>
        <w:tblPrEx>
          <w:tblCellMar>
            <w:top w:w="15" w:type="dxa"/>
            <w:left w:w="15" w:type="dxa"/>
            <w:bottom w:w="15" w:type="dxa"/>
            <w:right w:w="15" w:type="dxa"/>
          </w:tblCellMar>
        </w:tblPrEx>
        <w:trPr>
          <w:trHeight w:val="402" w:hRule="atLeast"/>
        </w:trPr>
        <w:tc>
          <w:tcPr>
            <w:tcW w:w="589"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应急</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预</w:t>
            </w:r>
            <w:r>
              <w:rPr>
                <w:rFonts w:hint="eastAsia" w:ascii="微软雅黑" w:hAnsi="微软雅黑" w:eastAsia="微软雅黑" w:cs="微软雅黑"/>
                <w:color w:val="000000" w:themeColor="text1"/>
                <w:sz w:val="24"/>
                <w:szCs w:val="24"/>
                <w14:textFill>
                  <w14:solidFill>
                    <w14:schemeClr w14:val="tx1"/>
                  </w14:solidFill>
                </w14:textFill>
              </w:rPr>
              <w:t>案（</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针对暴风雨、病虫害、旱、涝、雪以及其它等自然灾害制定处理预案。根据方案内容的详细程度、实用性、科学性进行评审：</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优得</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分，良得</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分，一般得1分。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p>
        </w:tc>
      </w:tr>
      <w:tr>
        <w:tblPrEx>
          <w:tblCellMar>
            <w:top w:w="15" w:type="dxa"/>
            <w:left w:w="15" w:type="dxa"/>
            <w:bottom w:w="15" w:type="dxa"/>
            <w:right w:w="15" w:type="dxa"/>
          </w:tblCellMar>
        </w:tblPrEx>
        <w:trPr>
          <w:trHeight w:val="1223" w:hRule="atLeast"/>
        </w:trPr>
        <w:tc>
          <w:tcPr>
            <w:tcW w:w="589" w:type="dxa"/>
            <w:vMerge w:val="restart"/>
            <w:tcBorders>
              <w:top w:val="single" w:color="000000" w:sz="4" w:space="0"/>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3</w:t>
            </w:r>
          </w:p>
        </w:tc>
        <w:tc>
          <w:tcPr>
            <w:tcW w:w="975" w:type="dxa"/>
            <w:vMerge w:val="restart"/>
            <w:tcBorders>
              <w:top w:val="single" w:color="000000" w:sz="4" w:space="0"/>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p>
            <w:pPr>
              <w:snapToGrid w:val="0"/>
              <w:spacing w:beforeAutospacing="0" w:afterAutospacing="0" w:line="400" w:lineRule="exact"/>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商</w:t>
            </w:r>
            <w:r>
              <w:rPr>
                <w:rFonts w:hint="eastAsia" w:ascii="微软雅黑" w:hAnsi="微软雅黑" w:eastAsia="微软雅黑" w:cs="微软雅黑"/>
                <w:color w:val="000000" w:themeColor="text1"/>
                <w:sz w:val="24"/>
                <w:szCs w:val="24"/>
                <w14:textFill>
                  <w14:solidFill>
                    <w14:schemeClr w14:val="tx1"/>
                  </w14:solidFill>
                </w14:textFill>
              </w:rPr>
              <w:t>务部分（</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25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设备配备（</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auto"/>
                <w:sz w:val="24"/>
                <w:szCs w:val="24"/>
                <w:lang w:val="en-US" w:eastAsia="zh-CN"/>
              </w:rPr>
              <w:t>投标人承诺有</w:t>
            </w:r>
            <w:r>
              <w:rPr>
                <w:rFonts w:hint="eastAsia" w:ascii="微软雅黑" w:hAnsi="微软雅黑" w:eastAsia="微软雅黑" w:cs="微软雅黑"/>
                <w:color w:val="auto"/>
                <w:sz w:val="24"/>
                <w:szCs w:val="24"/>
              </w:rPr>
              <w:t>洒水车2台，</w:t>
            </w:r>
            <w:r>
              <w:rPr>
                <w:rFonts w:hint="eastAsia" w:ascii="微软雅黑" w:hAnsi="微软雅黑" w:eastAsia="微软雅黑" w:cs="微软雅黑"/>
                <w:color w:val="auto"/>
                <w:sz w:val="24"/>
                <w:szCs w:val="24"/>
                <w:lang w:eastAsia="zh-CN"/>
              </w:rPr>
              <w:t>每台</w:t>
            </w:r>
            <w:r>
              <w:rPr>
                <w:rFonts w:hint="eastAsia" w:ascii="微软雅黑" w:hAnsi="微软雅黑" w:eastAsia="微软雅黑" w:cs="微软雅黑"/>
                <w:color w:val="auto"/>
                <w:sz w:val="24"/>
                <w:szCs w:val="24"/>
              </w:rPr>
              <w:t>8吨及以上</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工程</w:t>
            </w:r>
            <w:r>
              <w:rPr>
                <w:rFonts w:hint="eastAsia" w:ascii="微软雅黑" w:hAnsi="微软雅黑" w:eastAsia="微软雅黑" w:cs="微软雅黑"/>
                <w:color w:val="auto"/>
                <w:sz w:val="24"/>
                <w:szCs w:val="24"/>
                <w:lang w:val="en-US" w:eastAsia="zh-CN"/>
              </w:rPr>
              <w:t>巡查</w:t>
            </w:r>
            <w:r>
              <w:rPr>
                <w:rFonts w:hint="eastAsia" w:ascii="微软雅黑" w:hAnsi="微软雅黑" w:eastAsia="微软雅黑" w:cs="微软雅黑"/>
                <w:color w:val="auto"/>
                <w:sz w:val="24"/>
                <w:szCs w:val="24"/>
              </w:rPr>
              <w:t>车一台</w:t>
            </w:r>
            <w:r>
              <w:rPr>
                <w:rFonts w:hint="eastAsia" w:ascii="微软雅黑" w:hAnsi="微软雅黑" w:eastAsia="微软雅黑" w:cs="微软雅黑"/>
                <w:color w:val="auto"/>
                <w:sz w:val="24"/>
                <w:szCs w:val="24"/>
                <w:lang w:eastAsia="zh-CN"/>
              </w:rPr>
              <w:t>、</w:t>
            </w:r>
            <w:r>
              <w:rPr>
                <w:rFonts w:hint="eastAsia" w:ascii="微软雅黑" w:hAnsi="微软雅黑" w:eastAsia="微软雅黑" w:cs="微软雅黑"/>
                <w:color w:val="auto"/>
                <w:sz w:val="24"/>
                <w:szCs w:val="24"/>
              </w:rPr>
              <w:t>剪草机、割草机、水泵、微耕机、背式喷雾机、绿篱机、高枝油锯、高射打药机、油锯</w:t>
            </w:r>
            <w:r>
              <w:rPr>
                <w:rFonts w:hint="eastAsia" w:ascii="微软雅黑" w:hAnsi="微软雅黑" w:eastAsia="微软雅黑" w:cs="微软雅黑"/>
                <w:color w:val="auto"/>
                <w:sz w:val="24"/>
                <w:szCs w:val="24"/>
                <w:lang w:eastAsia="zh-CN"/>
              </w:rPr>
              <w:t>等设备</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eastAsia="zh-CN"/>
                <w14:textFill>
                  <w14:solidFill>
                    <w14:schemeClr w14:val="tx1"/>
                  </w14:solidFill>
                </w14:textFill>
              </w:rPr>
              <w:t>中标人于获得中标通知书之日算起后</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5个工作日内提供自有或租赁资料。</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1.小型设备提供购买发票。盖投标人公章。</w:t>
            </w:r>
          </w:p>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2.大型设备（如洒水车、工程车）提供发票复印件，发票付款单位需和投标人名称保持一致），并提供登记证书。盖投标人公章。</w:t>
            </w:r>
            <w:r>
              <w:rPr>
                <w:rFonts w:hint="eastAsia" w:ascii="微软雅黑" w:hAnsi="微软雅黑" w:eastAsia="微软雅黑" w:cs="微软雅黑"/>
                <w:color w:val="000000" w:themeColor="text1"/>
                <w:sz w:val="24"/>
                <w:szCs w:val="24"/>
                <w:lang w:eastAsia="zh-CN"/>
                <w14:textFill>
                  <w14:solidFill>
                    <w14:schemeClr w14:val="tx1"/>
                  </w14:solidFill>
                </w14:textFill>
              </w:rPr>
              <w:t>若为租赁需提供本项目合同范围内时间期间的租赁合同和缴款凭据。</w:t>
            </w:r>
          </w:p>
        </w:tc>
      </w:tr>
      <w:tr>
        <w:tblPrEx>
          <w:tblCellMar>
            <w:top w:w="15" w:type="dxa"/>
            <w:left w:w="15" w:type="dxa"/>
            <w:bottom w:w="15" w:type="dxa"/>
            <w:right w:w="15" w:type="dxa"/>
          </w:tblCellMar>
        </w:tblPrEx>
        <w:trPr>
          <w:trHeight w:val="1223" w:hRule="atLeast"/>
        </w:trPr>
        <w:tc>
          <w:tcPr>
            <w:tcW w:w="589" w:type="dxa"/>
            <w:vMerge w:val="continue"/>
            <w:tcBorders>
              <w:top w:val="single" w:color="000000" w:sz="4" w:space="0"/>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技术人员服务配备（1</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1</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5</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拟投入本项目的技术人员的资格进行评定:</w:t>
            </w:r>
          </w:p>
          <w:p>
            <w:pPr>
              <w:snapToGrid w:val="0"/>
              <w:spacing w:beforeAutospacing="0" w:afterAutospacing="0" w:line="400" w:lineRule="exact"/>
              <w:ind w:firstLine="475" w:firstLineChars="19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1、</w:t>
            </w:r>
            <w:r>
              <w:rPr>
                <w:rFonts w:hint="eastAsia" w:ascii="微软雅黑" w:hAnsi="微软雅黑" w:eastAsia="微软雅黑" w:cs="微软雅黑"/>
                <w:color w:val="auto"/>
                <w:sz w:val="24"/>
                <w:szCs w:val="24"/>
              </w:rPr>
              <w:t>项目技术负责人具备</w:t>
            </w:r>
            <w:r>
              <w:rPr>
                <w:rFonts w:hint="eastAsia" w:ascii="微软雅黑" w:hAnsi="微软雅黑" w:eastAsia="微软雅黑" w:cs="微软雅黑"/>
                <w:color w:val="auto"/>
                <w:sz w:val="24"/>
                <w:szCs w:val="24"/>
                <w:lang w:val="en-US" w:eastAsia="zh-CN"/>
              </w:rPr>
              <w:t>贰级</w:t>
            </w:r>
            <w:r>
              <w:rPr>
                <w:rFonts w:hint="eastAsia" w:ascii="微软雅黑" w:hAnsi="微软雅黑" w:eastAsia="微软雅黑" w:cs="微软雅黑"/>
                <w:color w:val="auto"/>
                <w:sz w:val="24"/>
                <w:szCs w:val="24"/>
              </w:rPr>
              <w:t>园林类工程师</w:t>
            </w:r>
            <w:r>
              <w:rPr>
                <w:rFonts w:hint="eastAsia" w:ascii="微软雅黑" w:hAnsi="微软雅黑" w:eastAsia="微软雅黑" w:cs="微软雅黑"/>
                <w:color w:val="auto"/>
                <w:sz w:val="24"/>
                <w:szCs w:val="24"/>
                <w:lang w:val="en-US" w:eastAsia="zh-CN"/>
              </w:rPr>
              <w:t>证书及以上</w:t>
            </w:r>
            <w:r>
              <w:rPr>
                <w:rFonts w:hint="eastAsia" w:ascii="微软雅黑" w:hAnsi="微软雅黑" w:eastAsia="微软雅黑" w:cs="微软雅黑"/>
                <w:color w:val="auto"/>
                <w:sz w:val="24"/>
                <w:szCs w:val="24"/>
              </w:rPr>
              <w:t>得2分。</w:t>
            </w:r>
          </w:p>
          <w:p>
            <w:pPr>
              <w:snapToGrid w:val="0"/>
              <w:spacing w:beforeAutospacing="0" w:afterAutospacing="0" w:line="400" w:lineRule="exact"/>
              <w:ind w:firstLine="475" w:firstLineChars="19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2、</w:t>
            </w:r>
            <w:r>
              <w:rPr>
                <w:rFonts w:hint="eastAsia" w:ascii="微软雅黑" w:hAnsi="微软雅黑" w:eastAsia="微软雅黑" w:cs="微软雅黑"/>
                <w:color w:val="auto"/>
                <w:sz w:val="24"/>
                <w:szCs w:val="24"/>
              </w:rPr>
              <w:t>项目经理具</w:t>
            </w:r>
            <w:r>
              <w:rPr>
                <w:rFonts w:hint="eastAsia" w:ascii="微软雅黑" w:hAnsi="微软雅黑" w:eastAsia="微软雅黑" w:cs="微软雅黑"/>
                <w:color w:val="auto"/>
                <w:sz w:val="24"/>
                <w:szCs w:val="24"/>
                <w:lang w:val="en-US" w:eastAsia="zh-CN"/>
              </w:rPr>
              <w:t>有贰</w:t>
            </w:r>
            <w:r>
              <w:rPr>
                <w:rFonts w:hint="eastAsia" w:ascii="微软雅黑" w:hAnsi="微软雅黑" w:eastAsia="微软雅黑" w:cs="微软雅黑"/>
                <w:color w:val="auto"/>
                <w:sz w:val="24"/>
                <w:szCs w:val="24"/>
              </w:rPr>
              <w:t>级</w:t>
            </w:r>
            <w:r>
              <w:rPr>
                <w:rFonts w:hint="eastAsia" w:ascii="微软雅黑" w:hAnsi="微软雅黑" w:eastAsia="微软雅黑" w:cs="微软雅黑"/>
                <w:color w:val="auto"/>
                <w:sz w:val="24"/>
                <w:szCs w:val="24"/>
                <w:lang w:val="en-US" w:eastAsia="zh-CN"/>
              </w:rPr>
              <w:t>园林绿化建设工程项目经理资格证书且同时具有</w:t>
            </w:r>
            <w:r>
              <w:rPr>
                <w:rFonts w:hint="eastAsia" w:ascii="微软雅黑" w:hAnsi="微软雅黑" w:eastAsia="微软雅黑" w:cs="微软雅黑"/>
                <w:color w:val="auto"/>
                <w:sz w:val="24"/>
                <w:szCs w:val="24"/>
              </w:rPr>
              <w:t>高级花卉工得</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分。</w:t>
            </w:r>
          </w:p>
          <w:p>
            <w:pPr>
              <w:snapToGrid w:val="0"/>
              <w:spacing w:beforeAutospacing="0" w:afterAutospacing="0" w:line="400" w:lineRule="exact"/>
              <w:ind w:firstLine="475" w:firstLineChars="198"/>
              <w:rPr>
                <w:rFonts w:hint="eastAsia"/>
              </w:rPr>
            </w:pP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园林施工员具</w:t>
            </w:r>
            <w:r>
              <w:rPr>
                <w:rFonts w:hint="eastAsia" w:ascii="微软雅黑" w:hAnsi="微软雅黑" w:eastAsia="微软雅黑" w:cs="微软雅黑"/>
                <w:color w:val="auto"/>
                <w:sz w:val="24"/>
                <w:szCs w:val="24"/>
                <w:lang w:val="en-US" w:eastAsia="zh-CN"/>
              </w:rPr>
              <w:t>有</w:t>
            </w:r>
            <w:r>
              <w:rPr>
                <w:rFonts w:hint="eastAsia" w:ascii="微软雅黑" w:hAnsi="微软雅黑" w:eastAsia="微软雅黑" w:cs="微软雅黑"/>
                <w:color w:val="auto"/>
                <w:sz w:val="24"/>
                <w:szCs w:val="24"/>
              </w:rPr>
              <w:t>施工员证</w:t>
            </w:r>
            <w:r>
              <w:rPr>
                <w:rFonts w:hint="eastAsia" w:ascii="微软雅黑" w:hAnsi="微软雅黑" w:eastAsia="微软雅黑" w:cs="微软雅黑"/>
                <w:color w:val="auto"/>
                <w:sz w:val="24"/>
                <w:szCs w:val="24"/>
                <w:lang w:val="en-US" w:eastAsia="zh-CN"/>
              </w:rPr>
              <w:t>书且同时具有</w:t>
            </w:r>
            <w:r>
              <w:rPr>
                <w:rFonts w:hint="eastAsia" w:ascii="微软雅黑" w:hAnsi="微软雅黑" w:eastAsia="微软雅黑" w:cs="微软雅黑"/>
                <w:color w:val="auto"/>
                <w:sz w:val="24"/>
                <w:szCs w:val="24"/>
              </w:rPr>
              <w:t>高级绿化工证得</w:t>
            </w:r>
            <w:r>
              <w:rPr>
                <w:rFonts w:hint="eastAsia" w:ascii="微软雅黑" w:hAnsi="微软雅黑" w:eastAsia="微软雅黑" w:cs="微软雅黑"/>
                <w:color w:val="auto"/>
                <w:sz w:val="24"/>
                <w:szCs w:val="24"/>
                <w:lang w:val="en-US" w:eastAsia="zh-CN"/>
              </w:rPr>
              <w:t>3</w:t>
            </w:r>
            <w:r>
              <w:rPr>
                <w:rFonts w:hint="eastAsia"/>
              </w:rPr>
              <w:t>分。</w:t>
            </w:r>
          </w:p>
          <w:p>
            <w:pPr>
              <w:snapToGrid w:val="0"/>
              <w:spacing w:beforeAutospacing="0" w:afterAutospacing="0" w:line="400" w:lineRule="exact"/>
              <w:ind w:firstLine="475" w:firstLineChars="19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lang w:val="en-US" w:eastAsia="zh-CN"/>
              </w:rPr>
              <w:t>4、</w:t>
            </w:r>
            <w:r>
              <w:rPr>
                <w:rFonts w:hint="eastAsia" w:ascii="微软雅黑" w:hAnsi="微软雅黑" w:eastAsia="微软雅黑" w:cs="微软雅黑"/>
                <w:color w:val="auto"/>
                <w:sz w:val="24"/>
                <w:szCs w:val="24"/>
              </w:rPr>
              <w:t>园林技工、植保工、花卉工、绿化工为5人及以上，其中2人及以上具备高空作业证得2分。</w:t>
            </w:r>
          </w:p>
          <w:p>
            <w:pPr>
              <w:snapToGrid w:val="0"/>
              <w:spacing w:beforeAutospacing="0" w:afterAutospacing="0" w:line="400" w:lineRule="exact"/>
              <w:ind w:firstLine="475" w:firstLineChars="198"/>
              <w:rPr>
                <w:rFonts w:hint="eastAsia"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5、园林专业安全员一名，</w:t>
            </w:r>
            <w:r>
              <w:rPr>
                <w:rFonts w:hint="eastAsia" w:ascii="微软雅黑" w:hAnsi="微软雅黑" w:eastAsia="微软雅黑" w:cs="微软雅黑"/>
                <w:color w:val="auto"/>
                <w:sz w:val="24"/>
                <w:szCs w:val="24"/>
                <w:lang w:eastAsia="zh-CN"/>
              </w:rPr>
              <w:t>具备</w:t>
            </w:r>
            <w:r>
              <w:rPr>
                <w:rFonts w:hint="eastAsia" w:ascii="微软雅黑" w:hAnsi="微软雅黑" w:eastAsia="微软雅黑" w:cs="微软雅黑"/>
                <w:color w:val="auto"/>
                <w:sz w:val="24"/>
                <w:szCs w:val="24"/>
              </w:rPr>
              <w:t>安全员</w:t>
            </w:r>
            <w:r>
              <w:rPr>
                <w:rFonts w:hint="eastAsia" w:ascii="微软雅黑" w:hAnsi="微软雅黑" w:eastAsia="微软雅黑" w:cs="微软雅黑"/>
                <w:color w:val="auto"/>
                <w:sz w:val="24"/>
                <w:szCs w:val="24"/>
                <w:lang w:eastAsia="zh-CN"/>
              </w:rPr>
              <w:t>证</w:t>
            </w:r>
            <w:r>
              <w:rPr>
                <w:rFonts w:hint="eastAsia" w:ascii="微软雅黑" w:hAnsi="微软雅黑" w:eastAsia="微软雅黑" w:cs="微软雅黑"/>
                <w:color w:val="auto"/>
                <w:sz w:val="24"/>
                <w:szCs w:val="24"/>
              </w:rPr>
              <w:t>得2分。</w:t>
            </w:r>
          </w:p>
          <w:p>
            <w:pPr>
              <w:snapToGrid w:val="0"/>
              <w:spacing w:beforeAutospacing="0" w:afterAutospacing="0" w:line="400" w:lineRule="exact"/>
              <w:ind w:firstLine="475" w:firstLineChars="198"/>
              <w:rPr>
                <w:rFonts w:hint="eastAsia" w:ascii="仿宋_GB2312" w:hAnsi="Times New Roman" w:eastAsia="微软雅黑" w:cs="Times New Roman"/>
                <w:kern w:val="2"/>
                <w:sz w:val="32"/>
                <w:lang w:val="en-US" w:eastAsia="zh-CN" w:bidi="ar-SA"/>
              </w:rPr>
            </w:pPr>
            <w:r>
              <w:rPr>
                <w:rFonts w:hint="eastAsia" w:ascii="微软雅黑" w:hAnsi="微软雅黑" w:eastAsia="微软雅黑" w:cs="微软雅黑"/>
                <w:color w:val="auto"/>
                <w:sz w:val="24"/>
                <w:szCs w:val="24"/>
                <w:lang w:val="en-US" w:eastAsia="zh-CN"/>
              </w:rPr>
              <w:t>6、绿化管护工不少于15名得3分。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须提供技术人员名单及相关职称证书复印件（绿化工或者花卉工须提供岗位证书复印件）、身份证复印件、12个月的社保证明，</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另绿化管护工须提供本公司为其购买商业保险不低于100万，</w:t>
            </w:r>
            <w:r>
              <w:rPr>
                <w:rFonts w:hint="eastAsia" w:ascii="微软雅黑" w:hAnsi="微软雅黑" w:eastAsia="微软雅黑" w:cs="微软雅黑"/>
                <w:color w:val="000000" w:themeColor="text1"/>
                <w:sz w:val="24"/>
                <w:szCs w:val="24"/>
                <w14:textFill>
                  <w14:solidFill>
                    <w14:schemeClr w14:val="tx1"/>
                  </w14:solidFill>
                </w14:textFill>
              </w:rPr>
              <w:t>以上复印件均须加盖投标人公章。（原件备查）</w:t>
            </w:r>
          </w:p>
        </w:tc>
      </w:tr>
      <w:tr>
        <w:tblPrEx>
          <w:tblCellMar>
            <w:top w:w="15" w:type="dxa"/>
            <w:left w:w="15" w:type="dxa"/>
            <w:bottom w:w="15" w:type="dxa"/>
            <w:right w:w="15" w:type="dxa"/>
          </w:tblCellMar>
        </w:tblPrEx>
        <w:trPr>
          <w:trHeight w:val="1159" w:hRule="atLeast"/>
        </w:trPr>
        <w:tc>
          <w:tcPr>
            <w:tcW w:w="589"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企业</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管理</w:t>
            </w:r>
            <w:r>
              <w:rPr>
                <w:rFonts w:hint="eastAsia" w:ascii="微软雅黑" w:hAnsi="微软雅黑" w:eastAsia="微软雅黑" w:cs="微软雅黑"/>
                <w:color w:val="000000" w:themeColor="text1"/>
                <w:sz w:val="24"/>
                <w:szCs w:val="24"/>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3</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auto"/>
                <w:sz w:val="24"/>
                <w:szCs w:val="24"/>
              </w:rPr>
              <w:t>具有城市生活垃圾经营性清扫、收集、运输、处置服务许可证得</w:t>
            </w:r>
            <w:r>
              <w:rPr>
                <w:rFonts w:hint="eastAsia" w:ascii="微软雅黑" w:hAnsi="微软雅黑" w:eastAsia="微软雅黑" w:cs="微软雅黑"/>
                <w:color w:val="auto"/>
                <w:sz w:val="24"/>
                <w:szCs w:val="24"/>
                <w:lang w:val="en-US" w:eastAsia="zh-CN"/>
              </w:rPr>
              <w:t>3</w:t>
            </w:r>
            <w:r>
              <w:rPr>
                <w:rFonts w:hint="eastAsia" w:ascii="微软雅黑" w:hAnsi="微软雅黑" w:eastAsia="微软雅黑" w:cs="微软雅黑"/>
                <w:color w:val="auto"/>
                <w:sz w:val="24"/>
                <w:szCs w:val="24"/>
              </w:rPr>
              <w:t>分。</w:t>
            </w:r>
          </w:p>
        </w:tc>
        <w:tc>
          <w:tcPr>
            <w:tcW w:w="204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default" w:ascii="微软雅黑" w:hAnsi="微软雅黑" w:eastAsia="微软雅黑" w:cs="微软雅黑"/>
                <w:color w:val="000000" w:themeColor="text1"/>
                <w:sz w:val="24"/>
                <w:szCs w:val="24"/>
                <w:lang w:val="en-US" w:eastAsia="zh-CN"/>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提供复印件盖鲜章。</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原件备查。</w:t>
            </w:r>
          </w:p>
        </w:tc>
      </w:tr>
      <w:tr>
        <w:tblPrEx>
          <w:tblCellMar>
            <w:top w:w="15" w:type="dxa"/>
            <w:left w:w="15" w:type="dxa"/>
            <w:bottom w:w="15" w:type="dxa"/>
            <w:right w:w="15" w:type="dxa"/>
          </w:tblCellMar>
        </w:tblPrEx>
        <w:trPr>
          <w:trHeight w:val="1449" w:hRule="atLeast"/>
        </w:trPr>
        <w:tc>
          <w:tcPr>
            <w:tcW w:w="589" w:type="dxa"/>
            <w:vMerge w:val="continue"/>
            <w:tcBorders>
              <w:left w:val="single" w:color="000000" w:sz="4" w:space="0"/>
              <w:bottom w:val="single" w:color="auto"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975" w:type="dxa"/>
            <w:vMerge w:val="continue"/>
            <w:tcBorders>
              <w:left w:val="single" w:color="000000" w:sz="4" w:space="0"/>
              <w:bottom w:val="single" w:color="auto"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企业业绩（</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r>
              <w:rPr>
                <w:rFonts w:hint="eastAsia" w:ascii="微软雅黑" w:hAnsi="微软雅黑" w:eastAsia="微软雅黑" w:cs="微软雅黑"/>
                <w:color w:val="000000" w:themeColor="text1"/>
                <w:sz w:val="24"/>
                <w:szCs w:val="24"/>
                <w14:textFill>
                  <w14:solidFill>
                    <w14:schemeClr w14:val="tx1"/>
                  </w14:solidFill>
                </w14:textFill>
              </w:rPr>
              <w:t>%）</w:t>
            </w:r>
          </w:p>
        </w:tc>
        <w:tc>
          <w:tcPr>
            <w:tcW w:w="851"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lang w:eastAsia="zh-CN"/>
                <w14:textFill>
                  <w14:solidFill>
                    <w14:schemeClr w14:val="tx1"/>
                  </w14:solidFill>
                </w14:textFill>
              </w:rPr>
            </w:pPr>
            <w:r>
              <w:rPr>
                <w:rFonts w:hint="eastAsia" w:ascii="微软雅黑" w:hAnsi="微软雅黑" w:eastAsia="微软雅黑" w:cs="微软雅黑"/>
                <w:color w:val="000000" w:themeColor="text1"/>
                <w:sz w:val="24"/>
                <w:szCs w:val="24"/>
                <w:lang w:val="en-US" w:eastAsia="zh-CN"/>
                <w14:textFill>
                  <w14:solidFill>
                    <w14:schemeClr w14:val="tx1"/>
                  </w14:solidFill>
                </w14:textFill>
              </w:rPr>
              <w:t>2</w:t>
            </w:r>
          </w:p>
        </w:tc>
        <w:tc>
          <w:tcPr>
            <w:tcW w:w="4110" w:type="dxa"/>
            <w:tcBorders>
              <w:top w:val="single" w:color="000000" w:sz="4" w:space="0"/>
              <w:left w:val="single" w:color="000000" w:sz="4" w:space="0"/>
              <w:bottom w:val="single" w:color="000000" w:sz="4" w:space="0"/>
              <w:right w:val="single" w:color="000000" w:sz="4" w:space="0"/>
            </w:tcBorders>
            <w:vAlign w:val="center"/>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2</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020</w:t>
            </w:r>
            <w:r>
              <w:rPr>
                <w:rFonts w:hint="eastAsia" w:ascii="微软雅黑" w:hAnsi="微软雅黑" w:eastAsia="微软雅黑" w:cs="微软雅黑"/>
                <w:color w:val="000000" w:themeColor="text1"/>
                <w:sz w:val="24"/>
                <w:szCs w:val="24"/>
                <w14:textFill>
                  <w14:solidFill>
                    <w14:schemeClr w14:val="tx1"/>
                  </w14:solidFill>
                </w14:textFill>
              </w:rPr>
              <w:t>年</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1</w:t>
            </w:r>
            <w:r>
              <w:rPr>
                <w:rFonts w:hint="eastAsia" w:ascii="微软雅黑" w:hAnsi="微软雅黑" w:eastAsia="微软雅黑" w:cs="微软雅黑"/>
                <w:color w:val="000000" w:themeColor="text1"/>
                <w:sz w:val="24"/>
                <w:szCs w:val="24"/>
                <w14:textFill>
                  <w14:solidFill>
                    <w14:schemeClr w14:val="tx1"/>
                  </w14:solidFill>
                </w14:textFill>
              </w:rPr>
              <w:t>月1日至今，投标人承担过类似业绩，</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合同金额100万元及以上，有一个得2</w:t>
            </w:r>
            <w:r>
              <w:rPr>
                <w:rFonts w:hint="eastAsia" w:ascii="微软雅黑" w:hAnsi="微软雅黑" w:eastAsia="微软雅黑" w:cs="微软雅黑"/>
                <w:color w:val="000000" w:themeColor="text1"/>
                <w:sz w:val="24"/>
                <w:szCs w:val="24"/>
                <w14:textFill>
                  <w14:solidFill>
                    <w14:schemeClr w14:val="tx1"/>
                  </w14:solidFill>
                </w14:textFill>
              </w:rPr>
              <w:t>分</w:t>
            </w:r>
            <w:r>
              <w:rPr>
                <w:rFonts w:hint="eastAsia" w:ascii="微软雅黑" w:hAnsi="微软雅黑" w:eastAsia="微软雅黑" w:cs="微软雅黑"/>
                <w:color w:val="000000" w:themeColor="text1"/>
                <w:sz w:val="24"/>
                <w:szCs w:val="24"/>
                <w:lang w:eastAsia="zh-CN"/>
                <w14:textFill>
                  <w14:solidFill>
                    <w14:schemeClr w14:val="tx1"/>
                  </w14:solidFill>
                </w14:textFill>
              </w:rPr>
              <w:t>。</w:t>
            </w:r>
            <w:r>
              <w:rPr>
                <w:rFonts w:hint="eastAsia" w:ascii="微软雅黑" w:hAnsi="微软雅黑" w:eastAsia="微软雅黑" w:cs="微软雅黑"/>
                <w:color w:val="000000" w:themeColor="text1"/>
                <w:sz w:val="24"/>
                <w:szCs w:val="24"/>
                <w:lang w:val="en-US" w:eastAsia="zh-CN"/>
                <w14:textFill>
                  <w14:solidFill>
                    <w14:schemeClr w14:val="tx1"/>
                  </w14:solidFill>
                </w14:textFill>
              </w:rPr>
              <w:t>不提供0分。</w:t>
            </w:r>
          </w:p>
        </w:tc>
        <w:tc>
          <w:tcPr>
            <w:tcW w:w="2049" w:type="dxa"/>
            <w:tcBorders>
              <w:top w:val="single" w:color="000000" w:sz="4" w:space="0"/>
              <w:left w:val="single" w:color="000000" w:sz="4" w:space="0"/>
              <w:bottom w:val="single" w:color="000000" w:sz="4" w:space="0"/>
              <w:right w:val="single" w:color="000000" w:sz="4" w:space="0"/>
            </w:tcBorders>
            <w:vAlign w:val="bottom"/>
          </w:tcPr>
          <w:p>
            <w:pPr>
              <w:snapToGrid w:val="0"/>
              <w:spacing w:beforeAutospacing="0" w:afterAutospacing="0" w:line="400" w:lineRule="exact"/>
              <w:ind w:firstLine="475" w:firstLineChars="198"/>
              <w:rPr>
                <w:rFonts w:hint="eastAsia" w:ascii="微软雅黑" w:hAnsi="微软雅黑" w:eastAsia="微软雅黑" w:cs="微软雅黑"/>
                <w:color w:val="000000" w:themeColor="text1"/>
                <w:sz w:val="24"/>
                <w:szCs w:val="24"/>
                <w14:textFill>
                  <w14:solidFill>
                    <w14:schemeClr w14:val="tx1"/>
                  </w14:solidFill>
                </w14:textFill>
              </w:rPr>
            </w:pPr>
            <w:r>
              <w:rPr>
                <w:rFonts w:hint="eastAsia" w:ascii="微软雅黑" w:hAnsi="微软雅黑" w:eastAsia="微软雅黑" w:cs="微软雅黑"/>
                <w:color w:val="000000" w:themeColor="text1"/>
                <w:sz w:val="24"/>
                <w:szCs w:val="24"/>
                <w14:textFill>
                  <w14:solidFill>
                    <w14:schemeClr w14:val="tx1"/>
                  </w14:solidFill>
                </w14:textFill>
              </w:rPr>
              <w:t>须提供合同复印件并加盖投标人公章。</w:t>
            </w:r>
          </w:p>
        </w:tc>
      </w:tr>
      <w:bookmarkEnd w:id="48"/>
      <w:bookmarkEnd w:id="49"/>
    </w:tbl>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r>
        <w:rPr>
          <w:rFonts w:hint="eastAsia" w:ascii="方正仿宋_GBK" w:hAnsi="宋体" w:eastAsia="方正仿宋_GBK"/>
          <w:sz w:val="24"/>
        </w:rPr>
        <w:t>三、无效响应</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供应商发生以下条款情况之一者，视为无效响应，其响应文件将被拒绝：</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（一）供应商不符合规定的资格条件的；</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（二）供应商的法定代表人（或其授权代表）或自然人未参加磋商；</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（三）供应商所提交的响应文件不按“第七篇响应文件编制要求”要求签署或盖章；</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（四）供应商的最后报价超过采购预算或最高限价的；</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（五）法定代表人为同一个人的两个及两个以上法人，母公司、全资子公司及其控股公司，在同一包采购中同时参与磋商；</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（六）单位负责人为同一人或者存在直接控股、管理关系的不同供应商，参加同一合同项下的政府采购活动的；</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（七）</w:t>
      </w:r>
      <w:r>
        <w:rPr>
          <w:rFonts w:ascii="方正仿宋_GBK" w:hAnsi="宋体" w:eastAsia="方正仿宋_GBK"/>
          <w:sz w:val="24"/>
          <w:szCs w:val="24"/>
        </w:rPr>
        <w:t>为采购项目提供整体设计、规范编制或者项目管理、监理、检测等服务的供应商，再参加</w:t>
      </w:r>
      <w:r>
        <w:rPr>
          <w:rFonts w:hint="eastAsia" w:ascii="方正仿宋_GBK" w:hAnsi="宋体" w:eastAsia="方正仿宋_GBK"/>
          <w:sz w:val="24"/>
          <w:szCs w:val="24"/>
        </w:rPr>
        <w:t>该采购</w:t>
      </w:r>
      <w:r>
        <w:rPr>
          <w:rFonts w:ascii="方正仿宋_GBK" w:hAnsi="宋体" w:eastAsia="方正仿宋_GBK"/>
          <w:sz w:val="24"/>
          <w:szCs w:val="24"/>
        </w:rPr>
        <w:t>项目的</w:t>
      </w:r>
      <w:r>
        <w:rPr>
          <w:rFonts w:hint="eastAsia" w:ascii="方正仿宋_GBK" w:hAnsi="宋体" w:eastAsia="方正仿宋_GBK"/>
          <w:sz w:val="24"/>
          <w:szCs w:val="24"/>
        </w:rPr>
        <w:t>其他</w:t>
      </w:r>
      <w:r>
        <w:rPr>
          <w:rFonts w:ascii="方正仿宋_GBK" w:hAnsi="宋体" w:eastAsia="方正仿宋_GBK"/>
          <w:sz w:val="24"/>
          <w:szCs w:val="24"/>
        </w:rPr>
        <w:t>采购活动</w:t>
      </w:r>
      <w:r>
        <w:rPr>
          <w:rFonts w:hint="eastAsia" w:ascii="方正仿宋_GBK" w:hAnsi="宋体" w:eastAsia="方正仿宋_GBK"/>
          <w:sz w:val="24"/>
          <w:szCs w:val="24"/>
        </w:rPr>
        <w:t>；</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（八）供应商磋商有效期不满足竞争性磋商文件要求的；</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（九）供应商响应文件内容有与国家现行法律法规相违背的内容，或附有采购人无法接受的条件；</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（十）法律、法规和竞争性磋商文件规定的其他无效情形。</w:t>
      </w:r>
    </w:p>
    <w:bookmarkEnd w:id="50"/>
    <w:bookmarkEnd w:id="51"/>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52" w:name="_Toc76462336"/>
      <w:bookmarkEnd w:id="52"/>
      <w:bookmarkStart w:id="53" w:name="_Toc106030891"/>
      <w:bookmarkEnd w:id="53"/>
      <w:r>
        <w:rPr>
          <w:rFonts w:hint="eastAsia" w:ascii="方正仿宋_GBK" w:hAnsi="宋体" w:eastAsia="方正仿宋_GBK"/>
          <w:sz w:val="24"/>
        </w:rPr>
        <w:t>四、采购终止</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出现下列情形之一的，采购人或者采购代理机构应当终止竞争性磋商采购活动，发布项目终止公告并说明原因，重新开展采购活动：</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（一）因情况变化，不再符合规定的竞争性磋商采购方式适用情形的；</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（二）出现影响采购公正的违法、违规行为的；</w:t>
      </w:r>
    </w:p>
    <w:p>
      <w:pPr>
        <w:snapToGrid w:val="0"/>
        <w:spacing w:beforeAutospacing="0" w:afterAutospacing="0" w:line="400" w:lineRule="exact"/>
        <w:ind w:firstLine="465"/>
        <w:rPr>
          <w:rFonts w:hint="eastAsia" w:ascii="方正仿宋_GBK" w:hAnsi="宋体" w:eastAsia="方正仿宋_GBK"/>
          <w:sz w:val="24"/>
          <w:szCs w:val="24"/>
        </w:rPr>
      </w:pPr>
      <w:r>
        <w:rPr>
          <w:rFonts w:hint="eastAsia" w:ascii="方正仿宋_GBK" w:hAnsi="宋体" w:eastAsia="方正仿宋_GBK"/>
          <w:sz w:val="24"/>
          <w:szCs w:val="24"/>
        </w:rPr>
        <w:t>（三）在采购过程中符合要求的供应商或者报价未超过采购预算的供应商不足3家的，但《政府采购竞争性磋商采购方式管理暂行办法》第二十一条第三款规定的情形除外。</w:t>
      </w:r>
    </w:p>
    <w:p>
      <w:pPr>
        <w:spacing w:beforeAutospacing="0" w:afterAutospacing="0" w:line="400" w:lineRule="exact"/>
        <w:ind w:firstLine="480" w:firstLineChars="200"/>
        <w:rPr>
          <w:rFonts w:ascii="宋体" w:hAnsi="宋体"/>
          <w:sz w:val="24"/>
          <w:szCs w:val="24"/>
        </w:rPr>
        <w:sectPr>
          <w:pgSz w:w="11907" w:h="16840"/>
          <w:pgMar w:top="1134" w:right="1191" w:bottom="1134" w:left="1304" w:header="964" w:footer="992" w:gutter="0"/>
          <w:pgNumType w:fmt="numberInDash"/>
          <w:cols w:space="720" w:num="1"/>
          <w:docGrid w:linePitch="312" w:charSpace="0"/>
        </w:sectPr>
      </w:pPr>
    </w:p>
    <w:p>
      <w:pPr>
        <w:pStyle w:val="2"/>
        <w:pageBreakBefore/>
        <w:spacing w:before="0" w:beforeAutospacing="0" w:after="0" w:afterAutospacing="0" w:line="360" w:lineRule="auto"/>
        <w:jc w:val="center"/>
        <w:rPr>
          <w:rFonts w:hint="eastAsia" w:ascii="方正小标宋_GBK" w:hAnsi="宋体" w:eastAsia="方正小标宋_GBK"/>
          <w:b w:val="0"/>
          <w:bCs/>
          <w:sz w:val="36"/>
          <w:szCs w:val="30"/>
        </w:rPr>
      </w:pPr>
      <w:bookmarkStart w:id="54" w:name="_Toc106030892"/>
      <w:bookmarkEnd w:id="54"/>
      <w:bookmarkStart w:id="55" w:name="_Toc76462337"/>
      <w:bookmarkEnd w:id="55"/>
      <w:bookmarkStart w:id="56" w:name="_Toc102227313"/>
      <w:bookmarkEnd w:id="56"/>
      <w:r>
        <w:rPr>
          <w:rFonts w:hint="eastAsia" w:ascii="方正小标宋_GBK" w:hAnsi="宋体" w:eastAsia="方正小标宋_GBK"/>
          <w:b w:val="0"/>
          <w:bCs/>
          <w:sz w:val="36"/>
          <w:szCs w:val="30"/>
        </w:rPr>
        <w:t>第五篇  供应商须知</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57" w:name="_Toc76462338"/>
      <w:bookmarkEnd w:id="57"/>
      <w:bookmarkStart w:id="58" w:name="_Toc106030893"/>
      <w:bookmarkEnd w:id="58"/>
      <w:bookmarkStart w:id="59" w:name="_Toc342913389"/>
      <w:bookmarkEnd w:id="59"/>
      <w:r>
        <w:rPr>
          <w:rFonts w:hint="eastAsia" w:ascii="方正仿宋_GBK" w:hAnsi="宋体" w:eastAsia="方正仿宋_GBK"/>
          <w:sz w:val="24"/>
        </w:rPr>
        <w:t>一、磋商费用</w:t>
      </w:r>
    </w:p>
    <w:p>
      <w:pPr>
        <w:pStyle w:val="2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参与</w:t>
      </w:r>
      <w:r>
        <w:rPr>
          <w:rFonts w:hint="eastAsia" w:ascii="方正仿宋_GBK" w:eastAsia="方正仿宋_GBK"/>
          <w:sz w:val="24"/>
          <w:szCs w:val="24"/>
        </w:rPr>
        <w:t>磋商</w:t>
      </w:r>
      <w:r>
        <w:rPr>
          <w:rFonts w:hint="eastAsia" w:ascii="方正仿宋_GBK" w:hAnsi="宋体" w:eastAsia="方正仿宋_GBK"/>
          <w:sz w:val="24"/>
          <w:szCs w:val="24"/>
        </w:rPr>
        <w:t>的供应商应承担其编制响应文件与递交响应文件所涉及的一切费用，不论</w:t>
      </w:r>
      <w:r>
        <w:rPr>
          <w:rFonts w:hint="eastAsia" w:ascii="方正仿宋_GBK" w:eastAsia="方正仿宋_GBK"/>
          <w:sz w:val="24"/>
          <w:szCs w:val="24"/>
        </w:rPr>
        <w:t>磋商</w:t>
      </w:r>
      <w:r>
        <w:rPr>
          <w:rFonts w:hint="eastAsia" w:ascii="方正仿宋_GBK" w:hAnsi="宋体" w:eastAsia="方正仿宋_GBK"/>
          <w:sz w:val="24"/>
          <w:szCs w:val="24"/>
        </w:rPr>
        <w:t>结果如何，采购人和采购代理机构在任何情况下无义务也无责任承担这些费用。</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60" w:name="_Toc342913391"/>
      <w:bookmarkEnd w:id="60"/>
      <w:bookmarkStart w:id="61" w:name="_Toc76462339"/>
      <w:bookmarkEnd w:id="61"/>
      <w:bookmarkStart w:id="62" w:name="_Toc106030894"/>
      <w:bookmarkEnd w:id="62"/>
      <w:r>
        <w:rPr>
          <w:rFonts w:hint="eastAsia" w:ascii="方正仿宋_GBK" w:hAnsi="宋体" w:eastAsia="方正仿宋_GBK"/>
          <w:sz w:val="24"/>
        </w:rPr>
        <w:t>二、竞争性磋商文件</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（一）竞争性磋商文件由采购邀请书、项目服务需求、供应商须知、项目商务需求、磋商程序及方法、评审标准、无效响应和采购终止、供应商须知</w:t>
      </w:r>
      <w:r>
        <w:rPr>
          <w:rFonts w:hint="eastAsia" w:ascii="方正仿宋_GBK" w:hAnsi="宋体" w:eastAsia="方正仿宋_GBK"/>
          <w:b/>
          <w:sz w:val="24"/>
          <w:szCs w:val="24"/>
        </w:rPr>
        <w:t>、</w:t>
      </w:r>
      <w:r>
        <w:rPr>
          <w:rFonts w:hint="eastAsia" w:ascii="方正仿宋_GBK" w:hAnsi="宋体" w:eastAsia="方正仿宋_GBK"/>
          <w:sz w:val="24"/>
          <w:szCs w:val="24"/>
        </w:rPr>
        <w:t>政府采购合同</w:t>
      </w:r>
      <w:r>
        <w:rPr>
          <w:rFonts w:hint="eastAsia" w:ascii="方正仿宋_GBK" w:hAnsi="宋体" w:eastAsia="方正仿宋_GBK"/>
          <w:b/>
          <w:sz w:val="24"/>
          <w:szCs w:val="24"/>
        </w:rPr>
        <w:t>、</w:t>
      </w:r>
      <w:r>
        <w:rPr>
          <w:rFonts w:hint="eastAsia" w:ascii="方正仿宋_GBK" w:hAnsi="宋体" w:eastAsia="方正仿宋_GBK"/>
          <w:sz w:val="24"/>
          <w:szCs w:val="24"/>
        </w:rPr>
        <w:t>响应文件编制要求七部分组成。</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（二）采购人（或采购代理机构）所作的一切有效的书面通知</w:t>
      </w:r>
      <w:r>
        <w:rPr>
          <w:rFonts w:hint="eastAsia" w:ascii="方正仿宋_GBK" w:hAnsi="宋体" w:eastAsia="方正仿宋_GBK"/>
          <w:sz w:val="24"/>
          <w:szCs w:val="24"/>
          <w:lang w:eastAsia="zh-CN"/>
        </w:rPr>
        <w:t>或公告形式的通知</w:t>
      </w:r>
      <w:r>
        <w:rPr>
          <w:rFonts w:hint="eastAsia" w:ascii="方正仿宋_GBK" w:hAnsi="宋体" w:eastAsia="方正仿宋_GBK"/>
          <w:sz w:val="24"/>
          <w:szCs w:val="24"/>
        </w:rPr>
        <w:t>、修改及补充，都是竞争性磋商文件不可分割的部分。</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（三）竞争性磋商文件的解释</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如对竞争性磋商文件有疑问，必须以书面形式在提交响应文件截止时间3个工作日前向采购代理机构要求澄清，采购代理机构可视具体情况做出处理或答复。如供应商未提出疑问，视为完全理解并同意本竞争性磋商文件。一经进入磋商程序，即视为供应商已详细阅读全部文件资料，完全理解竞争性磋商文件所有条款内容并同意放弃对这方面有不明白及误解的权利。</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（四）本竞争性磋商文件中，磋商小组根据与供应商进行磋商可能实质性变动的内容为竞争性磋商文件第二、三、六篇全部内容。</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（五）评审的依据为竞争性磋商文件和响应文件（含有效的书面承诺）。磋商小组判断响应文件对竞争性磋商文件的响应，仅基于响应文件本身而不靠外部证据。</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63" w:name="_Toc102227318"/>
      <w:bookmarkEnd w:id="63"/>
      <w:bookmarkStart w:id="64" w:name="_Toc342913392"/>
      <w:bookmarkEnd w:id="64"/>
      <w:bookmarkStart w:id="65" w:name="_Toc106030895"/>
      <w:bookmarkEnd w:id="65"/>
      <w:bookmarkStart w:id="66" w:name="_Toc179714297"/>
      <w:bookmarkEnd w:id="66"/>
      <w:bookmarkStart w:id="67" w:name="_Toc76462340"/>
      <w:bookmarkEnd w:id="67"/>
      <w:r>
        <w:rPr>
          <w:rFonts w:hint="eastAsia" w:ascii="方正仿宋_GBK" w:hAnsi="宋体" w:eastAsia="方正仿宋_GBK"/>
          <w:sz w:val="24"/>
        </w:rPr>
        <w:t>三、磋商要求</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（一）响应文件</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1.供应商应当按照竞争性磋商文件的要求编制响应文件，并对竞争性磋商文件提出的要求和条件作出实质性响应，响应文件原则上采用软面订本，同时应编制完整的页码、目录。</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2.响应文件组成</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文件由“第七篇响应文件编制要求”规定的部分和供应商所作的一切有效补充、修改和承诺等文件组成，供应商应按照“第七篇响应文件编制要求”规定的目录顺序组织编写和装订，也可在基本格式基础上对表格进行扩展，未规定格式的由供应商自定格式。</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（二）联合体</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1.两个以上供应商可以组成一个联合体，以一个供应商的身份共同参与磋商。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2.以联合体形式参加磋商的，联合体各方均应满足</w:t>
      </w:r>
      <w:r>
        <w:rPr>
          <w:rFonts w:hint="eastAsia" w:ascii="方正仿宋_GBK" w:eastAsia="方正仿宋_GBK"/>
          <w:sz w:val="24"/>
          <w:szCs w:val="24"/>
        </w:rPr>
        <w:t>供应商资格条件</w:t>
      </w:r>
      <w:r>
        <w:rPr>
          <w:rFonts w:hint="eastAsia" w:ascii="方正仿宋_GBK" w:hAnsi="宋体" w:eastAsia="方正仿宋_GBK"/>
          <w:sz w:val="24"/>
          <w:szCs w:val="24"/>
        </w:rPr>
        <w:t>（详见“第一篇”）</w:t>
      </w:r>
      <w:r>
        <w:rPr>
          <w:rFonts w:ascii="方正仿宋_GBK" w:hAnsi="宋体" w:eastAsia="方正仿宋_GBK"/>
          <w:sz w:val="24"/>
        </w:rPr>
        <w:t>联合体中有同类资质的供应商按照联合体分工承担相同工作的，应当按照资质等级较低的供应商确定资质等级。</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联合体各方之间应当签订共同联合协议，共同联合协议中应确定主办方（主体），代表联合体进行磋商和澄清。共同联合协议应明确约定联合体各方承担的工作和相应的责任及协议合同金额，并将共同联合协议连同响应文件一并提交采购人和采购代理机构。</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w:t>
      </w:r>
      <w:r>
        <w:rPr>
          <w:rFonts w:ascii="方正仿宋_GBK" w:hAnsi="宋体" w:eastAsia="方正仿宋_GBK"/>
          <w:sz w:val="24"/>
        </w:rPr>
        <w:t>以联合体形式参加政府采购活动的，联合体各方不得再单独参加或者与其他供应商另外组成联合体参加同一合同项下的政府采购活动。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5.联合体业绩计算，按照共同联合协议分工认定。</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w:t>
      </w:r>
      <w:r>
        <w:rPr>
          <w:rFonts w:ascii="方正仿宋_GBK" w:hAnsi="宋体" w:eastAsia="方正仿宋_GBK"/>
          <w:sz w:val="24"/>
          <w:szCs w:val="24"/>
        </w:rPr>
        <w:t>两个以上的自然人、法人或者其他组织组成一个联合体，以一个供应商的身份共同参加政府采购活动的，</w:t>
      </w:r>
      <w:r>
        <w:rPr>
          <w:rFonts w:hint="eastAsia" w:ascii="方正仿宋_GBK" w:hAnsi="宋体" w:eastAsia="方正仿宋_GBK"/>
          <w:sz w:val="24"/>
          <w:szCs w:val="24"/>
        </w:rPr>
        <w:t>将</w:t>
      </w:r>
      <w:r>
        <w:rPr>
          <w:rFonts w:ascii="方正仿宋_GBK" w:hAnsi="宋体" w:eastAsia="方正仿宋_GBK"/>
          <w:sz w:val="24"/>
          <w:szCs w:val="24"/>
        </w:rPr>
        <w:t>对所有联合体成员进行信用记录查询，联合体成员存在不良信用记录的，视同联合体存在不良信用记录</w:t>
      </w:r>
      <w:r>
        <w:rPr>
          <w:rFonts w:hint="eastAsia" w:ascii="方正仿宋_GBK" w:hAnsi="宋体" w:eastAsia="方正仿宋_GBK"/>
          <w:sz w:val="24"/>
          <w:szCs w:val="24"/>
        </w:rPr>
        <w:t>，将</w:t>
      </w:r>
      <w:r>
        <w:rPr>
          <w:rFonts w:ascii="方正仿宋_GBK" w:hAnsi="宋体" w:eastAsia="方正仿宋_GBK"/>
          <w:sz w:val="24"/>
          <w:szCs w:val="24"/>
        </w:rPr>
        <w:t>拒绝</w:t>
      </w:r>
      <w:r>
        <w:rPr>
          <w:rFonts w:hint="eastAsia" w:ascii="方正仿宋_GBK" w:hAnsi="宋体" w:eastAsia="方正仿宋_GBK"/>
          <w:sz w:val="24"/>
          <w:szCs w:val="24"/>
        </w:rPr>
        <w:t>该联合体</w:t>
      </w:r>
      <w:r>
        <w:rPr>
          <w:rFonts w:ascii="方正仿宋_GBK" w:hAnsi="宋体" w:eastAsia="方正仿宋_GBK"/>
          <w:sz w:val="24"/>
          <w:szCs w:val="24"/>
        </w:rPr>
        <w:t>参与政府采购活动。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（三）磋商有效期：响应文件及有关承诺文件有效期为提交响应文件截止时间起90天。</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（四）修正错误</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1.若供应商所递交的响应文件或最后报价中的价格出现大写金额和小写金额不一致的错误，以大写金额修正为准。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2.磋商小组按上述修正错误的原则及方法修正供应商的报价，供应商同意并签字确认后，修正后的报价对供应商具有约束作用。如果供应商不接受修正后的价格，将失去成为成交供应商的资格。</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（五）提交响应文件的份数和签署</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1.响应文件一式四份，其中正本一份，副本二份，电子文档一份（电子文档内容应与纸质文件正本一致，如不一致以纸质文件正本为准。推荐采用光盘或U盘为电子文档载体</w:t>
      </w:r>
      <w:r>
        <w:rPr>
          <w:rFonts w:hint="eastAsia" w:eastAsia="方正仿宋_GBK"/>
          <w:bCs/>
          <w:sz w:val="24"/>
          <w:highlight w:val="none"/>
          <w:lang w:eastAsia="zh-CN"/>
        </w:rPr>
        <w:t>，</w:t>
      </w:r>
      <w:r>
        <w:rPr>
          <w:rFonts w:eastAsia="方正仿宋_GBK"/>
          <w:b/>
          <w:bCs/>
          <w:sz w:val="24"/>
          <w:highlight w:val="none"/>
        </w:rPr>
        <w:t>电子文档内容不能包含“实施方案”，否则“实施方案”作0分处理</w:t>
      </w:r>
      <w:r>
        <w:rPr>
          <w:rFonts w:eastAsia="方正仿宋_GBK"/>
          <w:bCs/>
          <w:sz w:val="24"/>
          <w:highlight w:val="none"/>
        </w:rPr>
        <w:t>）</w:t>
      </w:r>
      <w:r>
        <w:rPr>
          <w:rFonts w:hint="eastAsia" w:ascii="方正仿宋_GBK" w:hAnsi="宋体" w:eastAsia="方正仿宋_GBK"/>
          <w:sz w:val="24"/>
          <w:szCs w:val="24"/>
          <w:highlight w:val="none"/>
        </w:rPr>
        <w:t>；副本可为正本的复印件，应与正本一致，如出现不一致情况以正本为准。</w:t>
      </w:r>
      <w:r>
        <w:rPr>
          <w:rFonts w:eastAsia="方正仿宋_GBK"/>
          <w:bCs/>
          <w:sz w:val="24"/>
          <w:highlight w:val="none"/>
        </w:rPr>
        <w:t>“实施方案”一式</w:t>
      </w:r>
      <w:r>
        <w:rPr>
          <w:rFonts w:hint="eastAsia" w:eastAsia="方正仿宋_GBK"/>
          <w:bCs/>
          <w:sz w:val="24"/>
          <w:highlight w:val="none"/>
          <w:lang w:val="en-US" w:eastAsia="zh-CN"/>
        </w:rPr>
        <w:t>3</w:t>
      </w:r>
      <w:r>
        <w:rPr>
          <w:rFonts w:eastAsia="方正仿宋_GBK"/>
          <w:bCs/>
          <w:sz w:val="24"/>
          <w:highlight w:val="none"/>
        </w:rPr>
        <w:t>份（不分正副本）</w:t>
      </w:r>
    </w:p>
    <w:p>
      <w:pPr>
        <w:snapToGrid w:val="0"/>
        <w:spacing w:beforeAutospacing="0" w:afterAutospacing="0" w:line="400" w:lineRule="exact"/>
        <w:ind w:firstLine="480" w:firstLineChars="200"/>
        <w:rPr>
          <w:rFonts w:hint="eastAsia" w:ascii="方正仿宋_GBK" w:hAnsi="宋体" w:eastAsia="方正仿宋_GBK"/>
          <w:sz w:val="24"/>
          <w:highlight w:val="none"/>
        </w:rPr>
      </w:pPr>
      <w:r>
        <w:rPr>
          <w:rFonts w:hint="eastAsia" w:ascii="方正仿宋_GBK" w:hAnsi="宋体" w:eastAsia="方正仿宋_GBK"/>
          <w:sz w:val="24"/>
          <w:szCs w:val="24"/>
          <w:highlight w:val="none"/>
        </w:rPr>
        <w:t>2.</w:t>
      </w:r>
      <w:r>
        <w:rPr>
          <w:rFonts w:hint="eastAsia" w:ascii="方正仿宋_GBK" w:hAnsi="宋体" w:eastAsia="方正仿宋_GBK"/>
          <w:sz w:val="24"/>
          <w:highlight w:val="none"/>
        </w:rPr>
        <w:t>响应文件按竞争性磋商文件“第七篇响应文件编制要求”要求签署或盖章。</w:t>
      </w:r>
    </w:p>
    <w:p>
      <w:pPr>
        <w:pStyle w:val="3"/>
        <w:ind w:firstLine="480" w:firstLineChars="200"/>
        <w:rPr>
          <w:rFonts w:hint="eastAsia" w:eastAsia="方正仿宋_GBK"/>
          <w:sz w:val="24"/>
          <w:highlight w:val="none"/>
        </w:rPr>
      </w:pPr>
      <w:r>
        <w:rPr>
          <w:rFonts w:hint="eastAsia" w:ascii="方正仿宋_GBK" w:hAnsi="宋体" w:eastAsia="方正仿宋_GBK"/>
          <w:sz w:val="24"/>
          <w:highlight w:val="none"/>
          <w:lang w:val="en-US" w:eastAsia="zh-CN"/>
        </w:rPr>
        <w:t>3.</w:t>
      </w:r>
      <w:r>
        <w:rPr>
          <w:rFonts w:hint="eastAsia" w:eastAsia="方正仿宋_GBK"/>
          <w:sz w:val="24"/>
          <w:highlight w:val="none"/>
        </w:rPr>
        <w:t>本项目“实施方案”采用暗标评审，</w:t>
      </w:r>
      <w:r>
        <w:rPr>
          <w:rFonts w:hint="eastAsia" w:eastAsia="方正仿宋_GBK"/>
          <w:kern w:val="0"/>
          <w:sz w:val="24"/>
          <w:szCs w:val="24"/>
          <w:highlight w:val="none"/>
        </w:rPr>
        <w:t>投标文件</w:t>
      </w:r>
      <w:r>
        <w:rPr>
          <w:rFonts w:eastAsia="方正仿宋_GBK"/>
          <w:kern w:val="0"/>
          <w:sz w:val="24"/>
          <w:szCs w:val="24"/>
          <w:highlight w:val="none"/>
        </w:rPr>
        <w:t>“实施方案”</w:t>
      </w:r>
      <w:r>
        <w:rPr>
          <w:rFonts w:hint="eastAsia" w:eastAsia="方正仿宋_GBK"/>
          <w:kern w:val="0"/>
          <w:sz w:val="24"/>
          <w:szCs w:val="24"/>
          <w:highlight w:val="none"/>
        </w:rPr>
        <w:t>不得更改招标文件规定的具体方案名称</w:t>
      </w:r>
      <w:r>
        <w:rPr>
          <w:rFonts w:hint="eastAsia" w:eastAsia="方正仿宋_GBK"/>
          <w:kern w:val="0"/>
          <w:sz w:val="24"/>
          <w:szCs w:val="24"/>
          <w:highlight w:val="none"/>
          <w:lang w:eastAsia="zh-CN"/>
        </w:rPr>
        <w:t>，</w:t>
      </w:r>
      <w:r>
        <w:rPr>
          <w:rFonts w:hint="eastAsia" w:eastAsia="方正仿宋_GBK"/>
          <w:sz w:val="24"/>
          <w:highlight w:val="none"/>
        </w:rPr>
        <w:t>整个“实施方案”均不得出现可识别投标人身份的任何字符、徽标（包括文字、符号、图案、标识、标志、人员姓名、企业名称、以往工程名称、投标人独有的标准名称或编号等），也不得出现其他具有标识性作用的符号、图案或对文字进行加粗、加黑、倾斜、加下划线等修饰，须标注页码但不得编制目录、不得使用图片、</w:t>
      </w:r>
      <w:r>
        <w:rPr>
          <w:rFonts w:hint="eastAsia" w:eastAsia="方正仿宋_GBK"/>
          <w:sz w:val="24"/>
          <w:highlight w:val="none"/>
          <w:lang w:eastAsia="zh-CN"/>
        </w:rPr>
        <w:t>表格，</w:t>
      </w:r>
      <w:r>
        <w:rPr>
          <w:rFonts w:hint="eastAsia" w:eastAsia="方正仿宋_GBK"/>
          <w:sz w:val="24"/>
          <w:highlight w:val="none"/>
        </w:rPr>
        <w:t>不得出现与本项目无关的内容、须采用</w:t>
      </w:r>
      <w:r>
        <w:rPr>
          <w:rFonts w:hint="eastAsia" w:eastAsia="方正仿宋_GBK"/>
          <w:sz w:val="24"/>
          <w:highlight w:val="none"/>
          <w:lang w:val="en-US" w:eastAsia="zh-CN"/>
        </w:rPr>
        <w:t>单</w:t>
      </w:r>
      <w:r>
        <w:rPr>
          <w:rFonts w:hint="eastAsia" w:eastAsia="方正仿宋_GBK"/>
          <w:sz w:val="24"/>
          <w:highlight w:val="none"/>
        </w:rPr>
        <w:t>面打印、不得有重页、漏页、残页、倒页、横页、</w:t>
      </w:r>
      <w:r>
        <w:rPr>
          <w:rFonts w:hint="eastAsia" w:eastAsia="方正仿宋_GBK"/>
          <w:sz w:val="24"/>
          <w:highlight w:val="none"/>
          <w:lang w:eastAsia="zh-CN"/>
        </w:rPr>
        <w:t>章节不得重复或缺少、</w:t>
      </w:r>
      <w:r>
        <w:rPr>
          <w:rFonts w:hint="eastAsia" w:eastAsia="方正仿宋_GBK"/>
          <w:sz w:val="24"/>
          <w:highlight w:val="none"/>
        </w:rPr>
        <w:t>同一</w:t>
      </w:r>
      <w:r>
        <w:rPr>
          <w:rFonts w:hint="eastAsia" w:eastAsia="方正仿宋_GBK"/>
          <w:sz w:val="24"/>
          <w:highlight w:val="none"/>
          <w:lang w:eastAsia="zh-CN"/>
        </w:rPr>
        <w:t>层级</w:t>
      </w:r>
      <w:r>
        <w:rPr>
          <w:rFonts w:hint="eastAsia" w:eastAsia="方正仿宋_GBK"/>
          <w:sz w:val="24"/>
          <w:highlight w:val="none"/>
        </w:rPr>
        <w:t>内的序号不得有缺少或重复、不得使用塑料夹条、薄膜外皮等饰物，否则“实施方案”作0分处理。</w:t>
      </w:r>
    </w:p>
    <w:p>
      <w:pPr>
        <w:snapToGrid w:val="0"/>
        <w:spacing w:beforeAutospacing="0" w:afterAutospacing="0" w:line="500" w:lineRule="exact"/>
        <w:ind w:firstLine="480" w:firstLineChars="200"/>
        <w:rPr>
          <w:rFonts w:eastAsia="方正仿宋_GBK"/>
          <w:sz w:val="24"/>
          <w:highlight w:val="none"/>
        </w:rPr>
      </w:pPr>
      <w:r>
        <w:rPr>
          <w:rFonts w:hint="eastAsia" w:eastAsia="方正仿宋_GBK"/>
          <w:sz w:val="24"/>
          <w:highlight w:val="none"/>
          <w:lang w:val="en-US" w:eastAsia="zh-CN"/>
        </w:rPr>
        <w:t>4</w:t>
      </w:r>
      <w:r>
        <w:rPr>
          <w:rFonts w:eastAsia="方正仿宋_GBK"/>
          <w:sz w:val="24"/>
          <w:highlight w:val="none"/>
        </w:rPr>
        <w:t>.装订</w:t>
      </w:r>
    </w:p>
    <w:p>
      <w:pPr>
        <w:snapToGrid w:val="0"/>
        <w:spacing w:beforeAutospacing="0" w:afterAutospacing="0" w:line="500" w:lineRule="exact"/>
        <w:ind w:firstLine="480" w:firstLineChars="200"/>
        <w:rPr>
          <w:rFonts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.1</w:t>
      </w:r>
      <w:r>
        <w:rPr>
          <w:rFonts w:hint="eastAsia" w:eastAsia="方正仿宋_GBK"/>
          <w:sz w:val="24"/>
          <w:highlight w:val="none"/>
          <w:lang w:val="en-US" w:eastAsia="zh-CN"/>
        </w:rPr>
        <w:t>响应文件</w:t>
      </w:r>
      <w:r>
        <w:rPr>
          <w:rFonts w:eastAsia="方正仿宋_GBK"/>
          <w:sz w:val="24"/>
          <w:highlight w:val="none"/>
        </w:rPr>
        <w:t>的装订要求</w:t>
      </w:r>
    </w:p>
    <w:p>
      <w:pPr>
        <w:snapToGrid w:val="0"/>
        <w:spacing w:beforeAutospacing="0" w:afterAutospacing="0" w:line="500" w:lineRule="exact"/>
        <w:ind w:firstLine="480" w:firstLineChars="200"/>
        <w:rPr>
          <w:rFonts w:eastAsia="方正仿宋_GBK"/>
          <w:sz w:val="24"/>
          <w:highlight w:val="none"/>
        </w:rPr>
      </w:pPr>
      <w:r>
        <w:rPr>
          <w:rFonts w:eastAsia="方正仿宋_GBK"/>
          <w:sz w:val="24"/>
          <w:highlight w:val="none"/>
        </w:rPr>
        <w:t>应按照第七章规定内容和格式使用不可拆卸的胶装方式装订成册，装订必须牢固，标注“正本”、“副本”字样，编制目录，并逐页标注页码。</w:t>
      </w:r>
    </w:p>
    <w:p>
      <w:pPr>
        <w:snapToGrid w:val="0"/>
        <w:spacing w:beforeAutospacing="0" w:afterAutospacing="0" w:line="500" w:lineRule="exact"/>
        <w:ind w:firstLine="480" w:firstLineChars="200"/>
        <w:rPr>
          <w:rFonts w:hint="eastAsia"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w:t>
      </w:r>
      <w:r>
        <w:rPr>
          <w:rFonts w:hint="eastAsia" w:eastAsia="方正仿宋_GBK"/>
          <w:sz w:val="24"/>
          <w:highlight w:val="none"/>
          <w:lang w:val="en-US" w:eastAsia="zh-CN"/>
        </w:rPr>
        <w:t>2</w:t>
      </w:r>
      <w:r>
        <w:rPr>
          <w:rFonts w:hint="eastAsia" w:eastAsia="方正仿宋_GBK"/>
          <w:sz w:val="24"/>
          <w:highlight w:val="none"/>
        </w:rPr>
        <w:t>实施方案的装订及排版要求（投标人违反下列任何一项，其实施方案作0分处理。）</w:t>
      </w:r>
    </w:p>
    <w:p>
      <w:pPr>
        <w:snapToGrid w:val="0"/>
        <w:spacing w:beforeAutospacing="0" w:afterAutospacing="0" w:line="500" w:lineRule="exact"/>
        <w:ind w:firstLine="480" w:firstLineChars="200"/>
        <w:rPr>
          <w:rFonts w:hint="eastAsia"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.3.1《实施方案》</w:t>
      </w:r>
      <w:r>
        <w:rPr>
          <w:rFonts w:hint="eastAsia" w:eastAsia="方正仿宋_GBK"/>
          <w:sz w:val="24"/>
          <w:highlight w:val="none"/>
          <w:lang w:eastAsia="zh-CN"/>
        </w:rPr>
        <w:t>长宽为</w:t>
      </w:r>
      <w:r>
        <w:rPr>
          <w:rFonts w:hint="eastAsia" w:eastAsia="方正仿宋_GBK"/>
          <w:sz w:val="24"/>
          <w:highlight w:val="none"/>
          <w:lang w:val="en-US" w:eastAsia="zh-CN"/>
        </w:rPr>
        <w:t>A4纸尺寸，</w:t>
      </w:r>
      <w:r>
        <w:rPr>
          <w:rFonts w:hint="eastAsia" w:eastAsia="方正仿宋_GBK"/>
          <w:sz w:val="24"/>
          <w:highlight w:val="none"/>
          <w:lang w:eastAsia="zh-CN"/>
        </w:rPr>
        <w:t>封面和封底</w:t>
      </w:r>
      <w:r>
        <w:rPr>
          <w:rFonts w:hint="eastAsia" w:eastAsia="方正仿宋_GBK"/>
          <w:sz w:val="24"/>
          <w:highlight w:val="none"/>
        </w:rPr>
        <w:t>使用白色厚型纸（以对折后不能看清投标单位名称为标准），</w:t>
      </w:r>
      <w:r>
        <w:rPr>
          <w:rFonts w:hint="eastAsia" w:eastAsia="方正仿宋_GBK"/>
          <w:sz w:val="24"/>
          <w:highlight w:val="none"/>
          <w:lang w:eastAsia="zh-CN"/>
        </w:rPr>
        <w:t>封面</w:t>
      </w:r>
      <w:r>
        <w:rPr>
          <w:rFonts w:hint="eastAsia" w:eastAsia="方正仿宋_GBK"/>
          <w:sz w:val="24"/>
          <w:highlight w:val="none"/>
        </w:rPr>
        <w:t>用初号仿宋字体标明“实施方案”；面页右下角加盖投标人单位章（格式见附件）。</w:t>
      </w:r>
    </w:p>
    <w:p>
      <w:pPr>
        <w:snapToGrid w:val="0"/>
        <w:spacing w:beforeAutospacing="0" w:afterAutospacing="0" w:line="500" w:lineRule="exact"/>
        <w:ind w:firstLine="480" w:firstLineChars="200"/>
        <w:rPr>
          <w:rFonts w:hint="eastAsia"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.3.2《实施方案》应使用WORD文件形式，文字部分纸张采用A4白纸，四号仿宋字体；不允许使用彩色打印。</w:t>
      </w:r>
    </w:p>
    <w:p>
      <w:pPr>
        <w:snapToGrid w:val="0"/>
        <w:spacing w:beforeAutospacing="0" w:afterAutospacing="0" w:line="500" w:lineRule="exact"/>
        <w:ind w:firstLine="480" w:firstLineChars="200"/>
        <w:rPr>
          <w:rFonts w:hint="eastAsia" w:eastAsia="方正仿宋_GBK"/>
          <w:sz w:val="24"/>
          <w:highlight w:val="none"/>
        </w:rPr>
      </w:pPr>
      <w:r>
        <w:rPr>
          <w:rFonts w:hint="eastAsia" w:eastAsia="方正仿宋_GBK"/>
          <w:sz w:val="24"/>
          <w:highlight w:val="none"/>
          <w:lang w:val="en-US" w:eastAsia="zh-CN"/>
        </w:rPr>
        <w:t>4</w:t>
      </w:r>
      <w:r>
        <w:rPr>
          <w:rFonts w:hint="eastAsia" w:eastAsia="方正仿宋_GBK"/>
          <w:sz w:val="24"/>
          <w:highlight w:val="none"/>
        </w:rPr>
        <w:t>.3.3《实施方案》结构层次依次为“第一章”、“一”、“（一）”、“1.”、“1.1”、“1.1.1”，以此类推。</w:t>
      </w:r>
    </w:p>
    <w:p>
      <w:pPr>
        <w:snapToGrid w:val="0"/>
        <w:spacing w:beforeAutospacing="0" w:afterAutospacing="0" w:line="500" w:lineRule="exact"/>
        <w:ind w:firstLine="480" w:firstLineChars="200"/>
        <w:rPr>
          <w:rFonts w:eastAsia="方正仿宋_GBK"/>
          <w:kern w:val="0"/>
          <w:sz w:val="24"/>
          <w:szCs w:val="24"/>
          <w:highlight w:val="none"/>
        </w:rPr>
      </w:pPr>
      <w:r>
        <w:rPr>
          <w:rFonts w:hint="eastAsia" w:eastAsia="方正仿宋_GBK"/>
          <w:kern w:val="0"/>
          <w:sz w:val="24"/>
          <w:szCs w:val="24"/>
          <w:highlight w:val="none"/>
          <w:lang w:val="en-US" w:eastAsia="zh-CN"/>
        </w:rPr>
        <w:t>4</w:t>
      </w:r>
      <w:r>
        <w:rPr>
          <w:rFonts w:eastAsia="方正仿宋_GBK"/>
          <w:kern w:val="0"/>
          <w:sz w:val="24"/>
          <w:szCs w:val="24"/>
          <w:highlight w:val="none"/>
        </w:rPr>
        <w:t>.</w:t>
      </w:r>
      <w:r>
        <w:rPr>
          <w:rFonts w:hint="eastAsia" w:eastAsia="方正仿宋_GBK"/>
          <w:kern w:val="0"/>
          <w:sz w:val="24"/>
          <w:szCs w:val="24"/>
          <w:highlight w:val="none"/>
          <w:lang w:val="en-US" w:eastAsia="zh-CN"/>
        </w:rPr>
        <w:t>3.</w:t>
      </w:r>
      <w:r>
        <w:rPr>
          <w:rFonts w:eastAsia="方正仿宋_GBK"/>
          <w:kern w:val="0"/>
          <w:sz w:val="24"/>
          <w:szCs w:val="24"/>
          <w:highlight w:val="none"/>
        </w:rPr>
        <w:t>4正文每页须为29行，正文内容须靠左对齐，每个自然段首行须空两个汉字距离并编注层级序号。</w:t>
      </w:r>
    </w:p>
    <w:p>
      <w:pPr>
        <w:snapToGrid w:val="0"/>
        <w:spacing w:beforeAutospacing="0" w:afterAutospacing="0" w:line="500" w:lineRule="exact"/>
        <w:ind w:firstLine="480" w:firstLineChars="200"/>
        <w:rPr>
          <w:rFonts w:eastAsia="方正仿宋_GBK"/>
          <w:kern w:val="0"/>
          <w:sz w:val="24"/>
          <w:szCs w:val="24"/>
          <w:highlight w:val="none"/>
        </w:rPr>
      </w:pPr>
      <w:r>
        <w:rPr>
          <w:rFonts w:hint="eastAsia" w:eastAsia="方正仿宋_GBK"/>
          <w:kern w:val="0"/>
          <w:sz w:val="24"/>
          <w:szCs w:val="24"/>
          <w:highlight w:val="none"/>
          <w:lang w:val="en-US" w:eastAsia="zh-CN"/>
        </w:rPr>
        <w:t>4</w:t>
      </w:r>
      <w:r>
        <w:rPr>
          <w:rFonts w:eastAsia="方正仿宋_GBK"/>
          <w:kern w:val="0"/>
          <w:sz w:val="24"/>
          <w:szCs w:val="24"/>
          <w:highlight w:val="none"/>
        </w:rPr>
        <w:t>.</w:t>
      </w:r>
      <w:r>
        <w:rPr>
          <w:rFonts w:hint="eastAsia" w:eastAsia="方正仿宋_GBK"/>
          <w:kern w:val="0"/>
          <w:sz w:val="24"/>
          <w:szCs w:val="24"/>
          <w:highlight w:val="none"/>
          <w:lang w:val="en-US" w:eastAsia="zh-CN"/>
        </w:rPr>
        <w:t>3.</w:t>
      </w:r>
      <w:r>
        <w:rPr>
          <w:rFonts w:eastAsia="方正仿宋_GBK"/>
          <w:kern w:val="0"/>
          <w:sz w:val="24"/>
          <w:szCs w:val="24"/>
          <w:highlight w:val="none"/>
        </w:rPr>
        <w:t>5正文内容每一自然段之前必须编制层级符号，不得出现空行（封面、封底和正文最后一页除外）。</w:t>
      </w:r>
    </w:p>
    <w:p>
      <w:pPr>
        <w:snapToGrid w:val="0"/>
        <w:spacing w:beforeAutospacing="0" w:afterAutospacing="0" w:line="500" w:lineRule="exact"/>
        <w:ind w:firstLine="480" w:firstLineChars="200"/>
        <w:rPr>
          <w:rFonts w:eastAsia="方正仿宋_GBK"/>
          <w:kern w:val="0"/>
          <w:sz w:val="24"/>
          <w:szCs w:val="24"/>
          <w:highlight w:val="none"/>
        </w:rPr>
      </w:pPr>
      <w:r>
        <w:rPr>
          <w:rFonts w:hint="eastAsia" w:eastAsia="方正仿宋_GBK"/>
          <w:kern w:val="0"/>
          <w:sz w:val="24"/>
          <w:szCs w:val="24"/>
          <w:highlight w:val="none"/>
          <w:lang w:val="en-US" w:eastAsia="zh-CN"/>
        </w:rPr>
        <w:t>4</w:t>
      </w:r>
      <w:r>
        <w:rPr>
          <w:rFonts w:eastAsia="方正仿宋_GBK"/>
          <w:kern w:val="0"/>
          <w:sz w:val="24"/>
          <w:szCs w:val="24"/>
          <w:highlight w:val="none"/>
        </w:rPr>
        <w:t>.</w:t>
      </w:r>
      <w:r>
        <w:rPr>
          <w:rFonts w:hint="eastAsia" w:eastAsia="方正仿宋_GBK"/>
          <w:kern w:val="0"/>
          <w:sz w:val="24"/>
          <w:szCs w:val="24"/>
          <w:highlight w:val="none"/>
          <w:lang w:val="en-US" w:eastAsia="zh-CN"/>
        </w:rPr>
        <w:t>3.</w:t>
      </w:r>
      <w:r>
        <w:rPr>
          <w:rFonts w:eastAsia="方正仿宋_GBK"/>
          <w:kern w:val="0"/>
          <w:sz w:val="24"/>
          <w:szCs w:val="24"/>
          <w:highlight w:val="none"/>
        </w:rPr>
        <w:t>6不允许出现页眉，页脚仅允许采用阿拉伯数字居中标注页码，四号仿宋字体，从正文开始编制页码，页码应当连续，不得跳页，不得分层级、分章节单独编码。</w:t>
      </w:r>
    </w:p>
    <w:p>
      <w:pPr>
        <w:snapToGrid w:val="0"/>
        <w:spacing w:beforeAutospacing="0" w:afterAutospacing="0" w:line="500" w:lineRule="exact"/>
        <w:ind w:firstLine="480" w:firstLineChars="200"/>
        <w:rPr>
          <w:rFonts w:eastAsia="方正仿宋_GBK"/>
          <w:kern w:val="0"/>
          <w:sz w:val="24"/>
          <w:szCs w:val="24"/>
          <w:highlight w:val="none"/>
        </w:rPr>
      </w:pPr>
      <w:r>
        <w:rPr>
          <w:rFonts w:hint="eastAsia" w:eastAsia="方正仿宋_GBK"/>
          <w:kern w:val="0"/>
          <w:sz w:val="24"/>
          <w:szCs w:val="24"/>
          <w:highlight w:val="none"/>
          <w:lang w:val="en-US" w:eastAsia="zh-CN"/>
        </w:rPr>
        <w:t>4</w:t>
      </w:r>
      <w:r>
        <w:rPr>
          <w:rFonts w:eastAsia="方正仿宋_GBK"/>
          <w:kern w:val="0"/>
          <w:sz w:val="24"/>
          <w:szCs w:val="24"/>
          <w:highlight w:val="none"/>
        </w:rPr>
        <w:t>.</w:t>
      </w:r>
      <w:r>
        <w:rPr>
          <w:rFonts w:hint="eastAsia" w:eastAsia="方正仿宋_GBK"/>
          <w:kern w:val="0"/>
          <w:sz w:val="24"/>
          <w:szCs w:val="24"/>
          <w:highlight w:val="none"/>
          <w:lang w:val="en-US" w:eastAsia="zh-CN"/>
        </w:rPr>
        <w:t>3.</w:t>
      </w:r>
      <w:r>
        <w:rPr>
          <w:rFonts w:eastAsia="方正仿宋_GBK"/>
          <w:kern w:val="0"/>
          <w:sz w:val="24"/>
          <w:szCs w:val="24"/>
          <w:highlight w:val="none"/>
        </w:rPr>
        <w:t>7所用纸张不得有花纹(包括暗纹)。</w:t>
      </w:r>
    </w:p>
    <w:p>
      <w:pPr>
        <w:pStyle w:val="3"/>
        <w:ind w:firstLine="480" w:firstLineChars="200"/>
        <w:rPr>
          <w:rFonts w:hint="eastAsia" w:ascii="Times New Roman" w:hAnsi="Times New Roman" w:eastAsia="方正仿宋_GBK" w:cs="Times New Roman"/>
          <w:kern w:val="0"/>
          <w:sz w:val="24"/>
          <w:szCs w:val="24"/>
          <w:highlight w:val="none"/>
          <w:lang w:val="en-US" w:eastAsia="zh-CN" w:bidi="ar-SA"/>
        </w:rPr>
      </w:pPr>
      <w:r>
        <w:rPr>
          <w:rFonts w:hint="eastAsia" w:ascii="Times New Roman" w:hAnsi="Times New Roman" w:eastAsia="方正仿宋_GBK" w:cs="Times New Roman"/>
          <w:kern w:val="0"/>
          <w:sz w:val="24"/>
          <w:szCs w:val="24"/>
          <w:highlight w:val="none"/>
          <w:lang w:val="en-US" w:eastAsia="zh-CN" w:bidi="ar-SA"/>
        </w:rPr>
        <w:t>4.3.8《实施方案》内容采用单面打印，内容不得超过</w:t>
      </w:r>
      <w:r>
        <w:rPr>
          <w:rFonts w:hint="eastAsia" w:ascii="Times New Roman" w:eastAsia="方正仿宋_GBK" w:cs="Times New Roman"/>
          <w:kern w:val="0"/>
          <w:sz w:val="24"/>
          <w:szCs w:val="24"/>
          <w:highlight w:val="none"/>
          <w:lang w:val="en-US" w:eastAsia="zh-CN" w:bidi="ar-SA"/>
        </w:rPr>
        <w:t>2</w:t>
      </w:r>
      <w:r>
        <w:rPr>
          <w:rFonts w:hint="eastAsia" w:ascii="Times New Roman" w:hAnsi="Times New Roman" w:eastAsia="方正仿宋_GBK" w:cs="Times New Roman"/>
          <w:kern w:val="0"/>
          <w:sz w:val="24"/>
          <w:szCs w:val="24"/>
          <w:highlight w:val="none"/>
          <w:lang w:val="en-US" w:eastAsia="zh-CN" w:bidi="ar-SA"/>
        </w:rPr>
        <w:t>00页。</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（六）响应文件的递交</w:t>
      </w:r>
    </w:p>
    <w:p>
      <w:pPr>
        <w:pStyle w:val="5"/>
        <w:spacing w:beforeAutospacing="0" w:afterAutospacing="0" w:line="400" w:lineRule="exact"/>
        <w:ind w:firstLine="480" w:firstLineChars="200"/>
        <w:rPr>
          <w:rFonts w:hint="eastAsia" w:ascii="方正仿宋_GBK" w:hAnsi="宋体" w:eastAsia="方正仿宋_GBK"/>
          <w:sz w:val="24"/>
          <w:highlight w:val="none"/>
        </w:rPr>
      </w:pPr>
      <w:r>
        <w:rPr>
          <w:rFonts w:hint="eastAsia" w:ascii="方正仿宋_GBK" w:hAnsi="宋体" w:eastAsia="方正仿宋_GBK"/>
          <w:sz w:val="24"/>
          <w:highlight w:val="none"/>
        </w:rPr>
        <w:t>响应文件的正本、副本</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lang w:val="en-US" w:eastAsia="zh-CN"/>
        </w:rPr>
        <w:t>实施方案</w:t>
      </w:r>
      <w:r>
        <w:rPr>
          <w:rFonts w:hint="eastAsia" w:ascii="方正仿宋_GBK" w:hAnsi="宋体" w:eastAsia="方正仿宋_GBK"/>
          <w:sz w:val="24"/>
          <w:highlight w:val="none"/>
        </w:rPr>
        <w:t>以及电子文档均应密封送达磋商地点，应在封套上注明磋商项目名称、供应商名称。若正本、副本以及电子文档分别进行密封的，还应在封套上注明“正本”、“副本”、“电子文档”</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lang w:val="en-US" w:eastAsia="zh-CN"/>
        </w:rPr>
        <w:t>实施方案</w:t>
      </w:r>
      <w:r>
        <w:rPr>
          <w:rFonts w:hint="eastAsia" w:ascii="方正仿宋_GBK" w:hAnsi="宋体" w:eastAsia="方正仿宋_GBK"/>
          <w:sz w:val="24"/>
          <w:highlight w:val="none"/>
          <w:lang w:eastAsia="zh-CN"/>
        </w:rPr>
        <w:t>”</w:t>
      </w:r>
      <w:r>
        <w:rPr>
          <w:rFonts w:hint="eastAsia" w:ascii="方正仿宋_GBK" w:hAnsi="宋体" w:eastAsia="方正仿宋_GBK"/>
          <w:sz w:val="24"/>
          <w:highlight w:val="none"/>
        </w:rPr>
        <w:t>字样。</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（七）供应商参与人员</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各个供应商应当派1-2名代表参与磋商，至少1人应为法定代表人（或其授权代表）或自然人（供应商为自然人）。</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highlight w:val="none"/>
        </w:rPr>
      </w:pPr>
      <w:bookmarkStart w:id="68" w:name="_Toc106030896"/>
      <w:bookmarkEnd w:id="68"/>
      <w:bookmarkStart w:id="69" w:name="_Toc76462341"/>
      <w:bookmarkEnd w:id="69"/>
      <w:r>
        <w:rPr>
          <w:rFonts w:hint="eastAsia" w:ascii="方正仿宋_GBK" w:hAnsi="宋体" w:eastAsia="方正仿宋_GBK"/>
          <w:sz w:val="24"/>
          <w:highlight w:val="none"/>
        </w:rPr>
        <w:t>四、成交供应商的确认和变更</w:t>
      </w:r>
    </w:p>
    <w:p>
      <w:pPr>
        <w:snapToGrid w:val="0"/>
        <w:spacing w:beforeAutospacing="0" w:afterAutospacing="0" w:line="400" w:lineRule="exact"/>
        <w:ind w:firstLine="480" w:firstLineChars="200"/>
        <w:outlineLvl w:val="2"/>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（一）成交供应商的确认</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ascii="方正仿宋_GBK" w:hAnsi="宋体" w:eastAsia="方正仿宋_GBK"/>
          <w:sz w:val="24"/>
          <w:szCs w:val="24"/>
          <w:highlight w:val="none"/>
        </w:rPr>
        <w:t>采购代理机构应当在评审结束后2个工作日内将评审报告送采购人确认。采购人应当在收到评审报告后5个工作日内</w:t>
      </w:r>
      <w:r>
        <w:rPr>
          <w:rFonts w:hint="eastAsia" w:ascii="方正仿宋_GBK" w:hAnsi="宋体" w:eastAsia="方正仿宋_GBK"/>
          <w:sz w:val="24"/>
          <w:szCs w:val="24"/>
          <w:highlight w:val="none"/>
        </w:rPr>
        <w:t>，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napToGrid w:val="0"/>
        <w:spacing w:beforeAutospacing="0" w:afterAutospacing="0" w:line="400" w:lineRule="exact"/>
        <w:ind w:firstLine="480" w:firstLineChars="200"/>
        <w:outlineLvl w:val="2"/>
        <w:rPr>
          <w:rFonts w:hint="eastAsia" w:ascii="方正仿宋_GBK" w:hAnsi="宋体" w:eastAsia="方正仿宋_GBK"/>
          <w:sz w:val="24"/>
          <w:szCs w:val="24"/>
          <w:highlight w:val="none"/>
        </w:rPr>
      </w:pPr>
      <w:r>
        <w:rPr>
          <w:rFonts w:hint="eastAsia" w:ascii="方正仿宋_GBK" w:hAnsi="宋体" w:eastAsia="方正仿宋_GBK"/>
          <w:sz w:val="24"/>
          <w:szCs w:val="24"/>
          <w:highlight w:val="none"/>
        </w:rPr>
        <w:t>（二）成交供应商的变更</w:t>
      </w:r>
    </w:p>
    <w:p>
      <w:pPr>
        <w:snapToGrid w:val="0"/>
        <w:spacing w:beforeAutospacing="0" w:afterAutospacing="0" w:line="400" w:lineRule="exact"/>
        <w:ind w:firstLine="480" w:firstLineChars="200"/>
        <w:rPr>
          <w:rFonts w:hint="eastAsia" w:ascii="方正仿宋_GBK" w:hAnsi="宋体" w:eastAsia="方正仿宋_GBK"/>
          <w:sz w:val="24"/>
          <w:szCs w:val="24"/>
          <w:highlight w:val="none"/>
        </w:rPr>
      </w:pPr>
      <w:r>
        <w:rPr>
          <w:rFonts w:hint="eastAsia" w:ascii="方正仿宋_GBK" w:eastAsia="方正仿宋_GBK"/>
          <w:sz w:val="24"/>
          <w:highlight w:val="none"/>
        </w:rPr>
        <w:t>成交供应商拒绝与采购人签订合同的，采购人可以按照评标报告推荐的成交候选供应商顺序，确定排名下一位的候选人为成交供应商，也可以重新开展政府采购活动。</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70" w:name="_Toc102227321"/>
      <w:bookmarkEnd w:id="70"/>
      <w:bookmarkStart w:id="71" w:name="_Toc342913395"/>
      <w:bookmarkEnd w:id="71"/>
      <w:bookmarkStart w:id="72" w:name="_Toc76462342"/>
      <w:bookmarkEnd w:id="72"/>
      <w:bookmarkStart w:id="73" w:name="_Toc106030897"/>
      <w:bookmarkEnd w:id="73"/>
      <w:r>
        <w:rPr>
          <w:rFonts w:hint="eastAsia" w:ascii="方正仿宋_GBK" w:hAnsi="宋体" w:eastAsia="方正仿宋_GBK"/>
          <w:sz w:val="24"/>
        </w:rPr>
        <w:t>五、成交通知</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（一）成交供应商确定后，采购代理机构将在重庆市政府采购网（</w:t>
      </w:r>
      <w:r>
        <w:rPr>
          <w:rFonts w:hint="eastAsia" w:ascii="方正仿宋_GBK" w:hAnsi="宋体" w:eastAsia="方正仿宋_GBK"/>
          <w:sz w:val="24"/>
          <w:szCs w:val="24"/>
        </w:rPr>
        <w:fldChar w:fldCharType="begin"/>
      </w:r>
      <w:r>
        <w:rPr>
          <w:rFonts w:hint="eastAsia" w:ascii="方正仿宋_GBK" w:hAnsi="宋体" w:eastAsia="方正仿宋_GBK"/>
          <w:sz w:val="24"/>
          <w:szCs w:val="24"/>
        </w:rPr>
        <w:instrText xml:space="preserve"> HYPERLINK "http://www.cqgp.gov.cn" </w:instrText>
      </w:r>
      <w:r>
        <w:rPr>
          <w:rFonts w:hint="eastAsia" w:ascii="方正仿宋_GBK" w:hAnsi="宋体" w:eastAsia="方正仿宋_GBK"/>
          <w:sz w:val="24"/>
          <w:szCs w:val="24"/>
        </w:rPr>
        <w:fldChar w:fldCharType="separate"/>
      </w:r>
      <w:r>
        <w:rPr>
          <w:rFonts w:hint="eastAsia" w:ascii="方正仿宋_GBK" w:hAnsi="宋体" w:eastAsia="方正仿宋_GBK"/>
          <w:sz w:val="24"/>
          <w:szCs w:val="24"/>
        </w:rPr>
        <w:t>www.ccgp-chongqing.gov.cn</w:t>
      </w:r>
      <w:r>
        <w:rPr>
          <w:rFonts w:hint="eastAsia" w:ascii="方正仿宋_GBK" w:hAnsi="宋体" w:eastAsia="方正仿宋_GBK"/>
          <w:sz w:val="24"/>
          <w:szCs w:val="24"/>
        </w:rPr>
        <w:fldChar w:fldCharType="end"/>
      </w:r>
      <w:r>
        <w:rPr>
          <w:rFonts w:hint="eastAsia" w:ascii="方正仿宋_GBK" w:hAnsi="宋体" w:eastAsia="方正仿宋_GBK"/>
          <w:sz w:val="24"/>
          <w:szCs w:val="24"/>
        </w:rPr>
        <w:t>）上发布成交结果公告。</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（二）结果公告发出同时，采购代理机构将以书面形式发出《成交通知书》。《成交通知书》一经发出即发生法律效力。</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（三）《成交通知书》将作为签订合同的依据。</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74" w:name="_Toc76462343"/>
      <w:bookmarkEnd w:id="74"/>
      <w:bookmarkStart w:id="75" w:name="_Toc106030898"/>
      <w:bookmarkEnd w:id="75"/>
      <w:r>
        <w:rPr>
          <w:rFonts w:hint="eastAsia" w:ascii="方正仿宋_GBK" w:hAnsi="宋体" w:eastAsia="方正仿宋_GBK"/>
          <w:sz w:val="24"/>
        </w:rPr>
        <w:t>六、关于质疑和投诉</w:t>
      </w:r>
    </w:p>
    <w:p>
      <w:pPr>
        <w:spacing w:beforeAutospacing="0" w:afterAutospacing="0" w:line="400" w:lineRule="exact"/>
        <w:ind w:firstLine="480" w:firstLineChars="200"/>
        <w:outlineLvl w:val="2"/>
        <w:rPr>
          <w:rFonts w:ascii="方正仿宋_GBK" w:hAnsi="宋体" w:eastAsia="方正仿宋_GBK"/>
          <w:sz w:val="24"/>
          <w:szCs w:val="24"/>
        </w:rPr>
      </w:pPr>
      <w:r>
        <w:rPr>
          <w:rFonts w:hint="eastAsia" w:ascii="方正仿宋_GBK" w:hAnsi="宋体" w:eastAsia="方正仿宋_GBK"/>
          <w:sz w:val="24"/>
          <w:szCs w:val="24"/>
        </w:rPr>
        <w:t>（一）质疑</w:t>
      </w:r>
    </w:p>
    <w:p>
      <w:pPr>
        <w:spacing w:beforeAutospacing="0" w:afterAutospacing="0"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供应商认为采购文件、采购过程和成交结果使自己的权益收到伤害的，可</w:t>
      </w:r>
      <w:r>
        <w:rPr>
          <w:rFonts w:hint="eastAsia" w:ascii="方正仿宋_GBK" w:hAnsi="宋体" w:eastAsia="方正仿宋_GBK"/>
          <w:sz w:val="24"/>
          <w:szCs w:val="24"/>
          <w:lang w:eastAsia="zh-CN"/>
        </w:rPr>
        <w:t>向</w:t>
      </w:r>
      <w:r>
        <w:rPr>
          <w:rFonts w:hint="eastAsia" w:ascii="方正仿宋_GBK" w:hAnsi="宋体" w:eastAsia="方正仿宋_GBK"/>
          <w:sz w:val="24"/>
          <w:szCs w:val="24"/>
        </w:rPr>
        <w:t>采购代理机构以书面形式提出质疑。</w:t>
      </w:r>
    </w:p>
    <w:p>
      <w:pPr>
        <w:spacing w:beforeAutospacing="0" w:afterAutospacing="0" w:line="400" w:lineRule="exact"/>
        <w:ind w:firstLine="480" w:firstLineChars="200"/>
        <w:rPr>
          <w:rFonts w:ascii="方正仿宋_GBK" w:hAnsi="宋体" w:eastAsia="方正仿宋_GBK"/>
          <w:sz w:val="24"/>
          <w:szCs w:val="24"/>
        </w:rPr>
      </w:pPr>
      <w:r>
        <w:rPr>
          <w:rFonts w:hint="eastAsia" w:ascii="方正仿宋_GBK" w:hAnsi="宋体" w:eastAsia="方正仿宋_GBK"/>
          <w:sz w:val="24"/>
          <w:szCs w:val="24"/>
        </w:rPr>
        <w:t xml:space="preserve">提出质疑的应当是参与所质疑项目采购活动的供应商。 </w:t>
      </w:r>
    </w:p>
    <w:p>
      <w:pPr>
        <w:spacing w:beforeAutospacing="0" w:afterAutospacing="0"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1.质疑时限、内容</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供应商认为采购文件、采购过程、成交结果使自己的权益受到损害的，可以在知道或者应知其权益受到损害之日起7个工作日内，以书面形式向采购人、采购代理机构提出质疑。</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1.2供应商提出质疑应当提交质疑函和必要的证明材料，质疑函应当包括下列内容：</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1.2.1供应商的姓名或者名称、地址、邮编、联系人及联系电话；</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1.2.2质疑项目的名称、项目号以及采购执行编号；</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1.2.3具体、明确的质疑事项和与质疑事项相关的请求；</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1.2.4事实依据；</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1.2.5必要的法律依据；</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1.2.6提出质疑的日期；</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1.2.7营业执照（或事业单位法人证书，或个体工商户营业执照或有效的自然人身份证明）复印件；</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1.2.8法定代表人授权委托书原件、法定代表人身份证复印件和其授权代表的身份证复印件（供应商为自然人的提供自然人身份证复印件）；</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1.3供应商为自然人的，质疑函应当由本人签字；供应商为法人或者其他组织的，质疑函应当由法定代表人、主要负责人，或者其授权代表签字或者盖章，并加盖公章。</w:t>
      </w:r>
    </w:p>
    <w:p>
      <w:pPr>
        <w:spacing w:beforeAutospacing="0" w:afterAutospacing="0"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2.质疑答复</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采购人、采购代理机构应当在收到供应商的书面质疑后七个工作日内作出答复，并以书面形式通知质疑供应商和其他有关供应商。</w:t>
      </w:r>
    </w:p>
    <w:p>
      <w:pPr>
        <w:spacing w:beforeAutospacing="0" w:afterAutospacing="0"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3.其他</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3.1供应商应按照《政府采购质疑和投诉办法》（财政部令第94号）及相关法律法规要求，在法定质疑期内一次性提出针对同一采购程序环节的质疑。</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3.2质疑函范本可在财政部门户网站和中国政府采购网下载。</w:t>
      </w:r>
    </w:p>
    <w:p>
      <w:pPr>
        <w:spacing w:beforeAutospacing="0" w:afterAutospacing="0" w:line="400" w:lineRule="exact"/>
        <w:ind w:right="12" w:firstLine="480"/>
        <w:outlineLvl w:val="2"/>
        <w:rPr>
          <w:rFonts w:ascii="方正仿宋_GBK" w:hAnsi="仿宋" w:eastAsia="方正仿宋_GBK" w:cs="仿宋"/>
          <w:sz w:val="24"/>
        </w:rPr>
      </w:pPr>
      <w:r>
        <w:rPr>
          <w:rFonts w:hint="eastAsia" w:ascii="方正仿宋_GBK" w:hAnsi="仿宋" w:eastAsia="方正仿宋_GBK" w:cs="仿宋"/>
          <w:sz w:val="24"/>
        </w:rPr>
        <w:t>（二）投诉</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1.供应商对采购人、采购代理机构的答复不满意，或者采购人、采购代理机构未在规定时间内作出答复的，可以在答复期满后15个工作日内按照相关法律法规向财政部门提起投诉。</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2.供应商应按照《政府采购质疑和投诉办法》（财政部令第94号）及相关法律法规要求递交投诉书和必要的证明材料。投诉书范本可在财政部门户网站和中国政府采购网下载。</w:t>
      </w:r>
    </w:p>
    <w:p>
      <w:pPr>
        <w:spacing w:beforeAutospacing="0" w:afterAutospacing="0" w:line="400" w:lineRule="exact"/>
        <w:ind w:right="12" w:firstLine="480"/>
        <w:rPr>
          <w:rFonts w:ascii="方正仿宋_GBK" w:hAnsi="仿宋" w:eastAsia="方正仿宋_GBK" w:cs="仿宋"/>
          <w:sz w:val="24"/>
        </w:rPr>
      </w:pPr>
      <w:r>
        <w:rPr>
          <w:rFonts w:hint="eastAsia" w:ascii="方正仿宋_GBK" w:hAnsi="仿宋" w:eastAsia="方正仿宋_GBK" w:cs="仿宋"/>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仿宋" w:eastAsia="方正仿宋_GBK" w:cs="仿宋"/>
          <w:sz w:val="24"/>
        </w:rPr>
        <w:t>4.在确定受理投诉后，财政部门自受理投诉之日起30个工作日内（需要检验、检测、鉴定、专家评审以及需要投诉人补正材料的，所需时间不计算在投诉处理期限内）对投诉事项做出处理决定。</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76" w:name="_Toc102227322"/>
      <w:bookmarkEnd w:id="76"/>
      <w:bookmarkStart w:id="77" w:name="_Toc76462346"/>
      <w:bookmarkEnd w:id="77"/>
      <w:bookmarkStart w:id="78" w:name="_Toc76462344"/>
      <w:bookmarkEnd w:id="78"/>
      <w:bookmarkStart w:id="79" w:name="_Toc342913396"/>
      <w:bookmarkEnd w:id="79"/>
      <w:bookmarkStart w:id="80" w:name="_Toc106030899"/>
      <w:bookmarkEnd w:id="80"/>
      <w:bookmarkStart w:id="81" w:name="_Toc106030901"/>
      <w:bookmarkEnd w:id="81"/>
      <w:bookmarkStart w:id="82" w:name="_Toc11641055"/>
      <w:bookmarkStart w:id="83" w:name="_Toc12789059"/>
      <w:r>
        <w:rPr>
          <w:rFonts w:hint="eastAsia" w:ascii="方正仿宋_GBK" w:hAnsi="宋体" w:eastAsia="方正仿宋_GBK"/>
          <w:sz w:val="24"/>
        </w:rPr>
        <w:t>七、签订合同</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（一）</w:t>
      </w:r>
      <w:r>
        <w:rPr>
          <w:rFonts w:hint="eastAsia" w:ascii="方正仿宋_GBK" w:hAnsi="方正仿宋_GBK" w:eastAsia="方正仿宋_GBK"/>
          <w:sz w:val="24"/>
        </w:rPr>
        <w:t>采购人原则上应在成交通知书发出之日起二十日内和成交供应商签订政府采购合同，无正当理由不得拒绝或拖延合同签订</w:t>
      </w:r>
      <w:r>
        <w:rPr>
          <w:rFonts w:hint="eastAsia" w:ascii="方正仿宋_GBK" w:hAnsi="宋体" w:eastAsia="方正仿宋_GBK"/>
          <w:sz w:val="24"/>
          <w:szCs w:val="24"/>
        </w:rPr>
        <w:t>。所签订的合同不得对竞争性磋商文件和供应商的响应文件作实质性修改。其他未尽事宜由采购人和成交供应商在采购合同中详细约定。</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rPr>
        <w:t>采购人应当自合同签订之日起7个工作日内，在“政府采购业务管理系统”进行合同登记备案；2个工作日内按相关管理要求在重庆市政府采购网上公告政府采购合同，但政府采购合同中涉及国家秘密、商业秘密的内容除外。未按要求公告及备案的，应当及时进行补充公告及备案。</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（三）竞争性磋商文件、供应商的响应文件及澄清文件等，均为签订政府采购合同的依据。</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（四）合同生效条款由供需双方约定，法律、行政法规规定应当办理批准、登记等手续后生效的合同，依照其规定。</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（五）合同原则上应按照《重庆市政府采购合同》签订，相关单位要求适用合同通用格式版本的，应按其要求另行签订其他合同。</w:t>
      </w:r>
    </w:p>
    <w:p>
      <w:pPr>
        <w:spacing w:beforeAutospacing="0" w:afterAutospacing="0" w:line="400" w:lineRule="exact"/>
        <w:ind w:firstLine="360" w:firstLineChars="150"/>
        <w:rPr>
          <w:rFonts w:hint="eastAsia" w:ascii="方正仿宋_GBK" w:hAnsi="宋体" w:eastAsia="方正仿宋_GBK"/>
          <w:sz w:val="24"/>
          <w:szCs w:val="24"/>
        </w:rPr>
      </w:pPr>
      <w:r>
        <w:rPr>
          <w:rFonts w:hint="eastAsia" w:ascii="方正仿宋_GBK" w:hAnsi="宋体" w:eastAsia="方正仿宋_GBK"/>
          <w:sz w:val="24"/>
          <w:szCs w:val="24"/>
        </w:rPr>
        <w:t>（六）采购人要求成交供应商提供履约保证金的，应当在竞争性磋商文件中予以约定。成交供应商履约完毕后，采购人根据采购文件规定无息退还其履约保证金。</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84" w:name="_Toc106030902"/>
      <w:bookmarkEnd w:id="84"/>
      <w:r>
        <w:rPr>
          <w:rFonts w:hint="eastAsia" w:ascii="方正仿宋_GBK" w:hAnsi="宋体" w:eastAsia="方正仿宋_GBK"/>
          <w:sz w:val="24"/>
          <w:lang w:eastAsia="zh-CN"/>
        </w:rPr>
        <w:t>八</w:t>
      </w:r>
      <w:r>
        <w:rPr>
          <w:rFonts w:hint="eastAsia" w:ascii="方正仿宋_GBK" w:hAnsi="宋体" w:eastAsia="方正仿宋_GBK"/>
          <w:sz w:val="24"/>
        </w:rPr>
        <w:t>、项目验收</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方正仿宋_GBK" w:eastAsia="方正仿宋_GBK"/>
          <w:sz w:val="24"/>
        </w:rPr>
        <w:t>合同执行完毕，采购人原则上应在7个工作日内组织履约情况验收，不得无故拖延或附加额外条件。</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85" w:name="_Toc14780"/>
      <w:bookmarkEnd w:id="85"/>
      <w:bookmarkStart w:id="86" w:name="_Toc106030903"/>
      <w:bookmarkEnd w:id="86"/>
      <w:bookmarkStart w:id="87" w:name="_Toc76462347"/>
      <w:bookmarkEnd w:id="87"/>
      <w:r>
        <w:rPr>
          <w:rFonts w:hint="eastAsia" w:ascii="方正仿宋_GBK" w:hAnsi="宋体" w:eastAsia="方正仿宋_GBK"/>
          <w:sz w:val="24"/>
          <w:lang w:eastAsia="zh-CN"/>
        </w:rPr>
        <w:t>九</w:t>
      </w:r>
      <w:r>
        <w:rPr>
          <w:rFonts w:hint="eastAsia" w:ascii="方正仿宋_GBK" w:hAnsi="宋体" w:eastAsia="方正仿宋_GBK"/>
          <w:sz w:val="24"/>
        </w:rPr>
        <w:t>、政府采购信用融资</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供应商参与重庆市政府采购活动，成为成交供应商，并与采购人签订政府采购合同后，可按照重庆市政府采购支持中小企业信用融资办法的规定，向开展政府采购信用融资业务的银行申请贷款。具体内容详见重庆市政府采购网“信用融资”信息专栏。</w:t>
      </w:r>
    </w:p>
    <w:bookmarkEnd w:id="82"/>
    <w:bookmarkEnd w:id="83"/>
    <w:p>
      <w:pPr>
        <w:pStyle w:val="2"/>
        <w:spacing w:before="0" w:beforeAutospacing="0" w:after="0" w:afterAutospacing="0" w:line="360" w:lineRule="auto"/>
        <w:jc w:val="center"/>
        <w:rPr>
          <w:rFonts w:hint="eastAsia" w:ascii="方正小标宋_GBK" w:hAnsi="宋体" w:eastAsia="方正小标宋_GBK"/>
          <w:b w:val="0"/>
          <w:sz w:val="36"/>
          <w:szCs w:val="30"/>
        </w:rPr>
      </w:pPr>
      <w:bookmarkStart w:id="88" w:name="_Toc76462348"/>
      <w:bookmarkEnd w:id="88"/>
      <w:bookmarkStart w:id="89" w:name="_Toc106030904"/>
      <w:bookmarkEnd w:id="89"/>
      <w:r>
        <w:rPr>
          <w:rFonts w:ascii="宋体" w:hAnsi="宋体" w:eastAsia="宋体"/>
          <w:sz w:val="36"/>
          <w:szCs w:val="30"/>
        </w:rPr>
        <w:br w:type="page"/>
      </w:r>
      <w:r>
        <w:rPr>
          <w:rFonts w:hint="eastAsia" w:ascii="方正小标宋_GBK" w:hAnsi="宋体" w:eastAsia="方正小标宋_GBK"/>
          <w:b w:val="0"/>
          <w:sz w:val="36"/>
          <w:szCs w:val="30"/>
        </w:rPr>
        <w:t>第六篇  政府采购合同</w:t>
      </w:r>
    </w:p>
    <w:p>
      <w:pPr>
        <w:spacing w:beforeAutospacing="0" w:afterAutospacing="0" w:line="500" w:lineRule="exact"/>
        <w:jc w:val="center"/>
        <w:rPr>
          <w:rFonts w:hint="eastAsia" w:ascii="方正仿宋_GBK" w:eastAsia="方正仿宋_GBK"/>
          <w:b/>
          <w:sz w:val="44"/>
        </w:rPr>
      </w:pPr>
      <w:r>
        <w:rPr>
          <w:rFonts w:hint="eastAsia" w:ascii="方正仿宋_GBK" w:eastAsia="方正仿宋_GBK"/>
          <w:b/>
          <w:sz w:val="44"/>
        </w:rPr>
        <w:t>重庆市政府采购合同</w:t>
      </w:r>
    </w:p>
    <w:p>
      <w:pPr>
        <w:spacing w:beforeAutospacing="0" w:afterAutospacing="0" w:line="500" w:lineRule="exact"/>
        <w:jc w:val="center"/>
        <w:rPr>
          <w:rFonts w:hint="eastAsia" w:ascii="方正仿宋_GBK" w:eastAsia="方正仿宋_GBK"/>
        </w:rPr>
      </w:pPr>
      <w:r>
        <w:rPr>
          <w:rFonts w:hint="eastAsia" w:ascii="方正仿宋_GBK" w:eastAsia="方正仿宋_GBK"/>
        </w:rPr>
        <w:t>（项目号：     ）</w:t>
      </w:r>
    </w:p>
    <w:p>
      <w:pPr>
        <w:spacing w:beforeAutospacing="0" w:afterAutospacing="0" w:line="500" w:lineRule="exact"/>
        <w:rPr>
          <w:rFonts w:hint="eastAsia" w:ascii="方正仿宋_GBK" w:eastAsia="方正仿宋_GBK"/>
          <w:sz w:val="24"/>
        </w:rPr>
      </w:pPr>
      <w:r>
        <w:rPr>
          <w:rFonts w:hint="eastAsia" w:ascii="方正仿宋_GBK" w:eastAsia="方正仿宋_GBK"/>
          <w:sz w:val="24"/>
        </w:rPr>
        <w:t>甲方（需方）：___________________________      计价单位：____________</w:t>
      </w:r>
    </w:p>
    <w:p>
      <w:pPr>
        <w:spacing w:beforeAutospacing="0" w:afterAutospacing="0" w:line="500" w:lineRule="exact"/>
        <w:rPr>
          <w:rFonts w:hint="eastAsia" w:ascii="方正仿宋_GBK" w:eastAsia="方正仿宋_GBK"/>
          <w:sz w:val="24"/>
        </w:rPr>
      </w:pPr>
      <w:r>
        <w:rPr>
          <w:rFonts w:hint="eastAsia" w:ascii="方正仿宋_GBK" w:eastAsia="方正仿宋_GBK"/>
          <w:sz w:val="24"/>
        </w:rPr>
        <w:t>乙方（供方）：___________________________      计量单位：_____________</w:t>
      </w:r>
    </w:p>
    <w:p>
      <w:pPr>
        <w:spacing w:beforeAutospacing="0" w:afterAutospacing="0" w:line="500" w:lineRule="exact"/>
        <w:rPr>
          <w:rFonts w:hint="eastAsia" w:ascii="方正仿宋_GBK" w:eastAsia="方正仿宋_GBK"/>
          <w:sz w:val="24"/>
        </w:rPr>
      </w:pPr>
    </w:p>
    <w:p>
      <w:pPr>
        <w:spacing w:beforeAutospacing="0" w:afterAutospacing="0" w:line="500" w:lineRule="exact"/>
        <w:rPr>
          <w:rFonts w:hint="eastAsia" w:ascii="方正仿宋_GBK" w:eastAsia="方正仿宋_GBK"/>
          <w:sz w:val="24"/>
        </w:rPr>
      </w:pPr>
      <w:r>
        <w:rPr>
          <w:rFonts w:hint="eastAsia" w:ascii="方正仿宋_GBK" w:eastAsia="方正仿宋_GBK"/>
          <w:sz w:val="24"/>
        </w:rPr>
        <w:t>经双方协商一致，达成以下购销合同：</w:t>
      </w:r>
    </w:p>
    <w:tbl>
      <w:tblPr>
        <w:tblStyle w:val="13"/>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984"/>
        <w:gridCol w:w="589"/>
        <w:gridCol w:w="709"/>
        <w:gridCol w:w="1134"/>
        <w:gridCol w:w="1559"/>
        <w:gridCol w:w="1567"/>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磋商项目名称</w:t>
            </w:r>
          </w:p>
        </w:tc>
        <w:tc>
          <w:tcPr>
            <w:tcW w:w="984" w:type="dxa"/>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数量</w:t>
            </w:r>
          </w:p>
        </w:tc>
        <w:tc>
          <w:tcPr>
            <w:tcW w:w="1298" w:type="dxa"/>
            <w:gridSpan w:val="2"/>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综合单价</w:t>
            </w:r>
          </w:p>
        </w:tc>
        <w:tc>
          <w:tcPr>
            <w:tcW w:w="1134" w:type="dxa"/>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总价</w:t>
            </w:r>
          </w:p>
        </w:tc>
        <w:tc>
          <w:tcPr>
            <w:tcW w:w="1559" w:type="dxa"/>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服务时间</w:t>
            </w:r>
          </w:p>
        </w:tc>
        <w:tc>
          <w:tcPr>
            <w:tcW w:w="1567" w:type="dxa"/>
            <w:vAlign w:val="center"/>
          </w:tcPr>
          <w:p>
            <w:pPr>
              <w:spacing w:beforeAutospacing="0" w:afterAutospacing="0" w:line="240" w:lineRule="atLeast"/>
              <w:jc w:val="center"/>
              <w:rPr>
                <w:rFonts w:hint="eastAsia" w:ascii="方正仿宋_GBK" w:eastAsia="方正仿宋_GBK"/>
                <w:sz w:val="21"/>
                <w:szCs w:val="21"/>
              </w:rPr>
            </w:pPr>
            <w:r>
              <w:rPr>
                <w:rFonts w:hint="eastAsia" w:ascii="方正仿宋_GBK" w:eastAsia="方正仿宋_GBK"/>
                <w:sz w:val="21"/>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beforeAutospacing="0" w:afterAutospacing="0" w:line="240" w:lineRule="atLeast"/>
              <w:jc w:val="center"/>
              <w:rPr>
                <w:rFonts w:hint="eastAsia" w:ascii="方正仿宋_GBK" w:eastAsia="方正仿宋_GBK"/>
                <w:sz w:val="21"/>
                <w:szCs w:val="21"/>
              </w:rPr>
            </w:pPr>
          </w:p>
        </w:tc>
        <w:tc>
          <w:tcPr>
            <w:tcW w:w="984" w:type="dxa"/>
            <w:vAlign w:val="center"/>
          </w:tcPr>
          <w:p>
            <w:pPr>
              <w:spacing w:beforeAutospacing="0" w:afterAutospacing="0" w:line="240" w:lineRule="atLeast"/>
              <w:jc w:val="center"/>
              <w:rPr>
                <w:rFonts w:hint="eastAsia" w:ascii="方正仿宋_GBK" w:eastAsia="方正仿宋_GBK"/>
                <w:sz w:val="21"/>
                <w:szCs w:val="21"/>
              </w:rPr>
            </w:pPr>
          </w:p>
        </w:tc>
        <w:tc>
          <w:tcPr>
            <w:tcW w:w="1298" w:type="dxa"/>
            <w:gridSpan w:val="2"/>
            <w:vAlign w:val="center"/>
          </w:tcPr>
          <w:p>
            <w:pPr>
              <w:spacing w:beforeAutospacing="0" w:afterAutospacing="0" w:line="240" w:lineRule="atLeast"/>
              <w:jc w:val="center"/>
              <w:rPr>
                <w:rFonts w:hint="eastAsia" w:ascii="方正仿宋_GBK" w:eastAsia="方正仿宋_GBK"/>
                <w:sz w:val="21"/>
                <w:szCs w:val="21"/>
              </w:rPr>
            </w:pPr>
          </w:p>
        </w:tc>
        <w:tc>
          <w:tcPr>
            <w:tcW w:w="1134" w:type="dxa"/>
            <w:vAlign w:val="center"/>
          </w:tcPr>
          <w:p>
            <w:pPr>
              <w:spacing w:beforeAutospacing="0" w:afterAutospacing="0" w:line="240" w:lineRule="atLeast"/>
              <w:jc w:val="center"/>
              <w:rPr>
                <w:rFonts w:hint="eastAsia" w:ascii="方正仿宋_GBK" w:eastAsia="方正仿宋_GBK"/>
                <w:sz w:val="21"/>
                <w:szCs w:val="21"/>
              </w:rPr>
            </w:pPr>
          </w:p>
        </w:tc>
        <w:tc>
          <w:tcPr>
            <w:tcW w:w="1559" w:type="dxa"/>
            <w:vAlign w:val="center"/>
          </w:tcPr>
          <w:p>
            <w:pPr>
              <w:spacing w:beforeAutospacing="0" w:afterAutospacing="0" w:line="240" w:lineRule="atLeast"/>
              <w:jc w:val="center"/>
              <w:rPr>
                <w:rFonts w:hint="eastAsia" w:ascii="方正仿宋_GBK" w:eastAsia="方正仿宋_GBK"/>
                <w:sz w:val="21"/>
                <w:szCs w:val="21"/>
              </w:rPr>
            </w:pPr>
          </w:p>
        </w:tc>
        <w:tc>
          <w:tcPr>
            <w:tcW w:w="1567" w:type="dxa"/>
            <w:vAlign w:val="center"/>
          </w:tcPr>
          <w:p>
            <w:pPr>
              <w:spacing w:beforeAutospacing="0" w:afterAutospacing="0"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3071" w:type="dxa"/>
            <w:vAlign w:val="center"/>
          </w:tcPr>
          <w:p>
            <w:pPr>
              <w:spacing w:beforeAutospacing="0" w:afterAutospacing="0" w:line="240" w:lineRule="atLeast"/>
              <w:jc w:val="center"/>
              <w:rPr>
                <w:rFonts w:hint="eastAsia" w:ascii="方正仿宋_GBK" w:eastAsia="方正仿宋_GBK"/>
                <w:sz w:val="21"/>
                <w:szCs w:val="21"/>
              </w:rPr>
            </w:pPr>
          </w:p>
        </w:tc>
        <w:tc>
          <w:tcPr>
            <w:tcW w:w="984" w:type="dxa"/>
            <w:vAlign w:val="center"/>
          </w:tcPr>
          <w:p>
            <w:pPr>
              <w:spacing w:beforeAutospacing="0" w:afterAutospacing="0" w:line="240" w:lineRule="atLeast"/>
              <w:jc w:val="center"/>
              <w:rPr>
                <w:rFonts w:hint="eastAsia" w:ascii="方正仿宋_GBK" w:eastAsia="方正仿宋_GBK"/>
                <w:sz w:val="21"/>
                <w:szCs w:val="21"/>
              </w:rPr>
            </w:pPr>
          </w:p>
        </w:tc>
        <w:tc>
          <w:tcPr>
            <w:tcW w:w="1298" w:type="dxa"/>
            <w:gridSpan w:val="2"/>
            <w:vAlign w:val="center"/>
          </w:tcPr>
          <w:p>
            <w:pPr>
              <w:spacing w:beforeAutospacing="0" w:afterAutospacing="0" w:line="240" w:lineRule="atLeast"/>
              <w:jc w:val="center"/>
              <w:rPr>
                <w:rFonts w:hint="eastAsia" w:ascii="方正仿宋_GBK" w:eastAsia="方正仿宋_GBK"/>
                <w:sz w:val="21"/>
                <w:szCs w:val="21"/>
              </w:rPr>
            </w:pPr>
          </w:p>
        </w:tc>
        <w:tc>
          <w:tcPr>
            <w:tcW w:w="1134" w:type="dxa"/>
            <w:vAlign w:val="center"/>
          </w:tcPr>
          <w:p>
            <w:pPr>
              <w:spacing w:beforeAutospacing="0" w:afterAutospacing="0" w:line="240" w:lineRule="atLeast"/>
              <w:jc w:val="center"/>
              <w:rPr>
                <w:rFonts w:hint="eastAsia" w:ascii="方正仿宋_GBK" w:eastAsia="方正仿宋_GBK"/>
                <w:sz w:val="21"/>
                <w:szCs w:val="21"/>
              </w:rPr>
            </w:pPr>
          </w:p>
        </w:tc>
        <w:tc>
          <w:tcPr>
            <w:tcW w:w="1559" w:type="dxa"/>
            <w:vAlign w:val="center"/>
          </w:tcPr>
          <w:p>
            <w:pPr>
              <w:spacing w:beforeAutospacing="0" w:afterAutospacing="0" w:line="240" w:lineRule="atLeast"/>
              <w:jc w:val="center"/>
              <w:rPr>
                <w:rFonts w:hint="eastAsia" w:ascii="方正仿宋_GBK" w:eastAsia="方正仿宋_GBK"/>
                <w:sz w:val="21"/>
                <w:szCs w:val="21"/>
              </w:rPr>
            </w:pPr>
          </w:p>
        </w:tc>
        <w:tc>
          <w:tcPr>
            <w:tcW w:w="1567" w:type="dxa"/>
            <w:vAlign w:val="center"/>
          </w:tcPr>
          <w:p>
            <w:pPr>
              <w:spacing w:beforeAutospacing="0" w:afterAutospacing="0" w:line="240" w:lineRule="atLeast"/>
              <w:jc w:val="center"/>
              <w:rPr>
                <w:rFonts w:hint="eastAsia" w:ascii="方正仿宋_GBK"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5" w:type="dxa"/>
        </w:trPr>
        <w:tc>
          <w:tcPr>
            <w:tcW w:w="9613" w:type="dxa"/>
            <w:gridSpan w:val="7"/>
            <w:vAlign w:val="center"/>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合计人民币（小写）：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Pr>
        <w:tc>
          <w:tcPr>
            <w:tcW w:w="9613" w:type="dxa"/>
            <w:gridSpan w:val="7"/>
            <w:vAlign w:val="center"/>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合计人民币（大写）：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776" w:hRule="atLeast"/>
        </w:trPr>
        <w:tc>
          <w:tcPr>
            <w:tcW w:w="9613" w:type="dxa"/>
            <w:gridSpan w:val="7"/>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一、服务要求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9628" w:type="dxa"/>
            <w:gridSpan w:val="8"/>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二、考核方式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9628" w:type="dxa"/>
            <w:gridSpan w:val="8"/>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三、付款方式：</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trPr>
        <w:tc>
          <w:tcPr>
            <w:tcW w:w="9628" w:type="dxa"/>
            <w:gridSpan w:val="8"/>
            <w:vAlign w:val="top"/>
          </w:tcPr>
          <w:p>
            <w:pPr>
              <w:rPr>
                <w:rFonts w:hint="eastAsia" w:ascii="方正仿宋_GBK" w:eastAsia="方正仿宋_GBK"/>
                <w:sz w:val="21"/>
                <w:szCs w:val="21"/>
              </w:rPr>
            </w:pPr>
            <w:r>
              <w:rPr>
                <w:rFonts w:hint="eastAsia" w:ascii="方正仿宋_GBK" w:eastAsia="方正仿宋_GBK"/>
                <w:sz w:val="21"/>
                <w:szCs w:val="21"/>
              </w:rPr>
              <w:t>X、履约保证金</w:t>
            </w:r>
            <w:r>
              <w:rPr>
                <w:rFonts w:ascii="方正仿宋_GBK" w:eastAsia="方正仿宋_GBK"/>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四、违约责任：</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按《中华人民共和国民法典》、《中华人民共和国政府采购法》执行，或按双方约定。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五、其他约定事项：</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1.采购文件及其澄清文件、响应文件和承诺是本合同不可分割的部分。</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2.本合同如发生争议由双方协商解决，协商不成向需方所在人民法院提请诉讼。</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3.本合同一式__份， 需方__份，供方__份，具同等法律效力。</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4.其他：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644" w:type="dxa"/>
            <w:gridSpan w:val="3"/>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需方：</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联系电话：</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授权代表：</w:t>
            </w:r>
          </w:p>
        </w:tc>
        <w:tc>
          <w:tcPr>
            <w:tcW w:w="4984" w:type="dxa"/>
            <w:gridSpan w:val="5"/>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供方：</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地址：</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电话：</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传真：</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开户银行：</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账号：</w:t>
            </w:r>
          </w:p>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授权代表：</w:t>
            </w:r>
          </w:p>
          <w:p>
            <w:pPr>
              <w:widowControl/>
              <w:spacing w:beforeAutospacing="0" w:afterAutospacing="0" w:line="240" w:lineRule="atLeast"/>
              <w:jc w:val="left"/>
              <w:rPr>
                <w:rFonts w:hint="eastAsia" w:ascii="方正仿宋_GBK" w:eastAsia="方正仿宋_GBK"/>
                <w:sz w:val="21"/>
                <w:szCs w:val="21"/>
              </w:rPr>
            </w:pPr>
            <w:r>
              <w:rPr>
                <w:rFonts w:hint="eastAsia" w:ascii="方正仿宋_GBK" w:eastAsia="方正仿宋_GBK"/>
                <w:sz w:val="21"/>
                <w:szCs w:val="21"/>
              </w:rPr>
              <w:t>（本栏请用计算机打印以便于准确付款）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gridSpan w:val="8"/>
            <w:vAlign w:val="top"/>
          </w:tcPr>
          <w:p>
            <w:pPr>
              <w:spacing w:beforeAutospacing="0" w:afterAutospacing="0" w:line="240" w:lineRule="atLeast"/>
              <w:rPr>
                <w:rFonts w:hint="eastAsia" w:ascii="方正仿宋_GBK" w:eastAsia="方正仿宋_GBK"/>
                <w:sz w:val="21"/>
                <w:szCs w:val="21"/>
              </w:rPr>
            </w:pPr>
            <w:r>
              <w:rPr>
                <w:rFonts w:hint="eastAsia" w:ascii="方正仿宋_GBK" w:eastAsia="方正仿宋_GBK"/>
                <w:sz w:val="21"/>
                <w:szCs w:val="21"/>
              </w:rPr>
              <w:t>备注：</w:t>
            </w:r>
          </w:p>
          <w:p>
            <w:pPr>
              <w:spacing w:beforeAutospacing="0" w:afterAutospacing="0" w:line="240" w:lineRule="atLeast"/>
              <w:rPr>
                <w:rFonts w:hint="eastAsia" w:ascii="方正仿宋_GBK" w:eastAsia="方正仿宋_GBK"/>
                <w:sz w:val="21"/>
                <w:szCs w:val="21"/>
              </w:rPr>
            </w:pPr>
          </w:p>
          <w:p>
            <w:pPr>
              <w:spacing w:beforeAutospacing="0" w:afterAutospacing="0" w:line="240" w:lineRule="atLeast"/>
              <w:rPr>
                <w:rFonts w:hint="eastAsia" w:ascii="方正仿宋_GBK" w:eastAsia="方正仿宋_GBK"/>
                <w:sz w:val="21"/>
                <w:szCs w:val="21"/>
              </w:rPr>
            </w:pPr>
          </w:p>
        </w:tc>
      </w:tr>
    </w:tbl>
    <w:p>
      <w:pPr>
        <w:rPr>
          <w:rFonts w:hint="eastAsia" w:ascii="方正仿宋_GBK" w:eastAsia="方正仿宋_GBK"/>
          <w:sz w:val="24"/>
        </w:rPr>
      </w:pPr>
      <w:r>
        <w:rPr>
          <w:rFonts w:hint="eastAsia" w:ascii="方正仿宋_GBK" w:eastAsia="方正仿宋_GBK"/>
          <w:sz w:val="24"/>
        </w:rPr>
        <w:t>签约时间：           年   月   日      签约地点：</w:t>
      </w:r>
    </w:p>
    <w:p>
      <w:pPr>
        <w:tabs>
          <w:tab w:val="left" w:pos="9000"/>
        </w:tabs>
        <w:spacing w:beforeAutospacing="0" w:afterAutospacing="0" w:line="276" w:lineRule="auto"/>
        <w:jc w:val="center"/>
        <w:rPr>
          <w:rFonts w:hint="eastAsia" w:ascii="方正仿宋_GBK" w:eastAsia="方正仿宋_GBK"/>
          <w:sz w:val="21"/>
          <w:szCs w:val="21"/>
        </w:rPr>
        <w:sectPr>
          <w:footerReference r:id="rId10" w:type="default"/>
          <w:footerReference r:id="rId11" w:type="even"/>
          <w:pgSz w:w="11907" w:h="16840"/>
          <w:pgMar w:top="1134" w:right="1191" w:bottom="1134" w:left="1304" w:header="964" w:footer="992" w:gutter="0"/>
          <w:pgNumType w:fmt="numberInDash"/>
          <w:cols w:space="720" w:num="1"/>
          <w:docGrid w:linePitch="312" w:charSpace="0"/>
        </w:sectPr>
      </w:pPr>
    </w:p>
    <w:p>
      <w:pPr>
        <w:pStyle w:val="2"/>
        <w:spacing w:before="0" w:beforeAutospacing="0" w:after="0" w:afterAutospacing="0" w:line="360" w:lineRule="auto"/>
        <w:jc w:val="center"/>
        <w:rPr>
          <w:rFonts w:hint="eastAsia" w:ascii="方正小标宋_GBK" w:hAnsi="宋体" w:eastAsia="方正小标宋_GBK"/>
          <w:b w:val="0"/>
          <w:sz w:val="36"/>
          <w:szCs w:val="30"/>
        </w:rPr>
      </w:pPr>
      <w:bookmarkStart w:id="90" w:name="_Hlt41879464"/>
      <w:bookmarkEnd w:id="90"/>
      <w:bookmarkStart w:id="91" w:name="_Toc106030905"/>
      <w:bookmarkEnd w:id="91"/>
      <w:bookmarkStart w:id="92" w:name="_Toc76462349"/>
      <w:bookmarkEnd w:id="92"/>
      <w:r>
        <w:rPr>
          <w:rFonts w:hint="eastAsia" w:ascii="方正小标宋_GBK" w:hAnsi="宋体" w:eastAsia="方正小标宋_GBK"/>
          <w:b w:val="0"/>
          <w:sz w:val="36"/>
          <w:szCs w:val="30"/>
        </w:rPr>
        <w:t>第七篇  响应文件编制要求</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一、经济部分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w:t>
      </w:r>
      <w:r>
        <w:rPr>
          <w:rFonts w:hint="eastAsia" w:ascii="方正仿宋_GBK" w:hAnsi="宋体" w:eastAsia="方正仿宋_GBK"/>
          <w:sz w:val="24"/>
          <w:szCs w:val="24"/>
          <w:lang w:val="en-US" w:eastAsia="zh-CN"/>
        </w:rPr>
        <w:t>报价一览表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（三）</w:t>
      </w:r>
      <w:r>
        <w:rPr>
          <w:rFonts w:hint="eastAsia" w:ascii="方正仿宋_GBK" w:hAnsi="宋体" w:eastAsia="方正仿宋_GBK"/>
          <w:sz w:val="24"/>
          <w:szCs w:val="24"/>
        </w:rPr>
        <w:t>明细报价表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二、服务部分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（一）服务响应偏离表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（二）其他资料（格式自定）</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三、商务部分</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pStyle w:val="3"/>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sz w:val="24"/>
          <w:szCs w:val="24"/>
        </w:rPr>
        <w:t>（二）</w:t>
      </w:r>
      <w:r>
        <w:rPr>
          <w:rFonts w:hint="eastAsia" w:ascii="方正仿宋_GBK" w:hAnsi="宋体" w:eastAsia="方正仿宋_GBK" w:cs="Times New Roman"/>
          <w:kern w:val="2"/>
          <w:sz w:val="24"/>
          <w:szCs w:val="24"/>
          <w:lang w:val="en-US" w:eastAsia="zh-CN" w:bidi="ar-SA"/>
        </w:rPr>
        <w:t>成本测算方案（响应供应商按照磋商文件第四篇评审标准自行拟定内容和格式）</w:t>
      </w:r>
    </w:p>
    <w:p>
      <w:pPr>
        <w:pStyle w:val="3"/>
        <w:ind w:firstLine="480" w:firstLineChars="200"/>
        <w:rPr>
          <w:rFonts w:hint="default"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（三）企业管理</w:t>
      </w:r>
    </w:p>
    <w:p>
      <w:pPr>
        <w:spacing w:beforeAutospacing="0" w:afterAutospacing="0"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四</w:t>
      </w:r>
      <w:r>
        <w:rPr>
          <w:rFonts w:hint="eastAsia" w:ascii="方正仿宋_GBK" w:hAnsi="宋体" w:eastAsia="方正仿宋_GBK"/>
          <w:sz w:val="24"/>
          <w:szCs w:val="24"/>
          <w:lang w:eastAsia="zh-CN"/>
        </w:rPr>
        <w:t>）</w:t>
      </w:r>
      <w:r>
        <w:rPr>
          <w:rFonts w:hint="eastAsia" w:ascii="方正仿宋_GBK" w:hAnsi="宋体" w:eastAsia="方正仿宋_GBK" w:cs="Times New Roman"/>
          <w:kern w:val="2"/>
          <w:sz w:val="24"/>
          <w:szCs w:val="24"/>
          <w:lang w:val="en-US" w:eastAsia="zh-CN" w:bidi="ar-SA"/>
        </w:rPr>
        <w:t>业绩</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四、资格条件及其他</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（二）法定代表人身份证明书（格式）</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（三）法定代表人授权委托书（格式）</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（四）基本资格条件承诺函（格式）</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（五）落实政府采购政策需满足的资格要求</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（六）</w:t>
      </w:r>
      <w:r>
        <w:rPr>
          <w:rFonts w:hint="eastAsia" w:ascii="方正仿宋_GBK" w:hAnsi="宋体" w:eastAsia="方正仿宋_GBK"/>
          <w:sz w:val="24"/>
          <w:szCs w:val="24"/>
        </w:rPr>
        <w:t>特定资格条件证书或证明文件</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五、其他资料</w:t>
      </w:r>
    </w:p>
    <w:p>
      <w:pPr>
        <w:spacing w:beforeAutospacing="0" w:afterAutospacing="0" w:line="400" w:lineRule="exact"/>
        <w:ind w:firstLine="480" w:firstLineChars="200"/>
        <w:rPr>
          <w:rFonts w:hint="eastAsia" w:ascii="方正仿宋_GBK" w:hAnsi="宋体" w:eastAsia="方正仿宋_GBK"/>
          <w:b/>
          <w:sz w:val="24"/>
          <w:szCs w:val="24"/>
        </w:rPr>
      </w:pPr>
      <w:r>
        <w:rPr>
          <w:rFonts w:hint="eastAsia" w:ascii="方正仿宋_GBK" w:hAnsi="宋体" w:eastAsia="方正仿宋_GBK"/>
          <w:sz w:val="24"/>
          <w:szCs w:val="24"/>
        </w:rPr>
        <w:t>（一）中小企业声明函、监狱企业证明文件、残疾人福利性单位声明函</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（二）联合体协议或分包意向协议（格式自定）</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w:t>
      </w:r>
    </w:p>
    <w:p>
      <w:pPr>
        <w:pStyle w:val="3"/>
        <w:ind w:firstLine="480" w:firstLineChars="200"/>
        <w:rPr>
          <w:rFonts w:hint="eastAsia" w:ascii="方正仿宋_GBK" w:hAnsi="宋体" w:eastAsia="方正仿宋_GBK" w:cs="Times New Roman"/>
          <w:kern w:val="2"/>
          <w:sz w:val="24"/>
          <w:szCs w:val="24"/>
          <w:lang w:val="en-US" w:eastAsia="zh-CN" w:bidi="ar-SA"/>
        </w:rPr>
      </w:pPr>
      <w:r>
        <w:rPr>
          <w:rFonts w:hint="eastAsia" w:ascii="方正仿宋_GBK" w:hAnsi="宋体" w:eastAsia="方正仿宋_GBK" w:cs="Times New Roman"/>
          <w:kern w:val="2"/>
          <w:sz w:val="24"/>
          <w:szCs w:val="24"/>
          <w:lang w:val="en-US" w:eastAsia="zh-CN" w:bidi="ar-SA"/>
        </w:rPr>
        <w:t>六、实施方案（单独封装，包括但不限于）</w:t>
      </w:r>
    </w:p>
    <w:p>
      <w:pPr>
        <w:pStyle w:val="3"/>
        <w:ind w:firstLine="480" w:firstLineChars="200"/>
        <w:rPr>
          <w:rFonts w:hint="eastAsia" w:ascii="方正仿宋_GBK" w:hAnsi="宋体" w:eastAsia="方正仿宋_GBK" w:cs="Times New Roman"/>
          <w:kern w:val="2"/>
          <w:sz w:val="24"/>
          <w:szCs w:val="24"/>
          <w:lang w:val="en-US" w:eastAsia="zh-CN" w:bidi="ar-SA"/>
        </w:rPr>
        <w:sectPr>
          <w:pgSz w:w="11907" w:h="16840"/>
          <w:pgMar w:top="1134" w:right="1191" w:bottom="1134" w:left="1304" w:header="851" w:footer="992" w:gutter="0"/>
          <w:pgNumType w:fmt="numberInDash"/>
          <w:cols w:space="720" w:num="1"/>
          <w:docGrid w:linePitch="380" w:charSpace="-5735"/>
        </w:sectPr>
      </w:pPr>
      <w:r>
        <w:rPr>
          <w:rFonts w:hint="eastAsia" w:ascii="微软雅黑" w:hAnsi="微软雅黑" w:eastAsia="微软雅黑" w:cs="微软雅黑"/>
          <w:kern w:val="2"/>
          <w:sz w:val="24"/>
          <w:szCs w:val="24"/>
          <w:lang w:val="en-US" w:eastAsia="zh-CN" w:bidi="ar-SA"/>
        </w:rPr>
        <w:t>“养护服务方案”、“现场踏勘”、“组织机构”、“安全保障措施”、“应急预案”</w:t>
      </w: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93" w:name="_Toc76462350"/>
      <w:bookmarkEnd w:id="93"/>
      <w:bookmarkStart w:id="94" w:name="_Toc313008356"/>
      <w:bookmarkEnd w:id="94"/>
      <w:bookmarkStart w:id="95" w:name="_Toc106030906"/>
      <w:bookmarkEnd w:id="95"/>
      <w:bookmarkStart w:id="96" w:name="_Toc313888360"/>
      <w:bookmarkEnd w:id="96"/>
      <w:bookmarkStart w:id="97" w:name="_Toc342913419"/>
      <w:bookmarkEnd w:id="97"/>
      <w:r>
        <w:rPr>
          <w:rFonts w:hint="eastAsia" w:ascii="方正仿宋_GBK" w:hAnsi="宋体" w:eastAsia="方正仿宋_GBK"/>
          <w:sz w:val="24"/>
        </w:rPr>
        <w:t>一、经济部分</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（一）竞争性磋商报价函</w:t>
      </w:r>
    </w:p>
    <w:p>
      <w:pPr>
        <w:jc w:val="center"/>
        <w:rPr>
          <w:rFonts w:hint="eastAsia" w:ascii="方正仿宋_GBK" w:eastAsia="方正仿宋_GBK"/>
          <w:b/>
          <w:szCs w:val="28"/>
        </w:rPr>
      </w:pPr>
      <w:r>
        <w:rPr>
          <w:rFonts w:hint="eastAsia" w:ascii="方正仿宋_GBK" w:eastAsia="方正仿宋_GBK"/>
          <w:b/>
          <w:szCs w:val="28"/>
        </w:rPr>
        <w:t>竞争性磋商报价函</w:t>
      </w:r>
    </w:p>
    <w:p>
      <w:pPr>
        <w:tabs>
          <w:tab w:val="left" w:pos="6300"/>
        </w:tabs>
        <w:snapToGrid w:val="0"/>
        <w:spacing w:beforeAutospacing="0" w:afterAutospacing="0" w:line="312" w:lineRule="auto"/>
        <w:rPr>
          <w:rFonts w:hint="eastAsia" w:ascii="方正仿宋_GBK" w:hAnsi="宋体" w:eastAsia="方正仿宋_GBK"/>
          <w:sz w:val="24"/>
          <w:szCs w:val="24"/>
        </w:rPr>
      </w:pPr>
      <w:r>
        <w:rPr>
          <w:rFonts w:hint="eastAsia" w:ascii="方正仿宋_GBK" w:hAnsi="宋体" w:eastAsia="方正仿宋_GBK"/>
          <w:sz w:val="24"/>
          <w:szCs w:val="24"/>
          <w:u w:val="single"/>
        </w:rPr>
        <w:t>（采购代理机构名称）</w:t>
      </w:r>
      <w:r>
        <w:rPr>
          <w:rFonts w:hint="eastAsia" w:ascii="方正仿宋_GBK" w:hAnsi="宋体" w:eastAsia="方正仿宋_GBK"/>
          <w:sz w:val="24"/>
          <w:szCs w:val="24"/>
        </w:rPr>
        <w:t>：</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我方收到____________________________（磋商项目名称）的竞争性磋商文件，经详细研究，决定参加该项目的磋商。</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1.愿意按照竞争性磋商文件中的一切要求，提供本项目的服务，初始报价为人民币大写：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元整；人民币小写：</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元。以我公司最后报价为准。</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2.我方现提交的响应文件为：响应文件正本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份，副本</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份，电子文档</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r>
        <w:rPr>
          <w:rFonts w:hint="eastAsia" w:ascii="方正仿宋_GBK" w:hAnsi="宋体" w:eastAsia="方正仿宋_GBK"/>
          <w:sz w:val="24"/>
          <w:szCs w:val="24"/>
          <w:lang w:eastAsia="zh-CN"/>
        </w:rPr>
        <w:t>，</w:t>
      </w:r>
      <w:r>
        <w:rPr>
          <w:rFonts w:hint="eastAsia" w:ascii="方正仿宋_GBK" w:hAnsi="宋体" w:eastAsia="方正仿宋_GBK"/>
          <w:sz w:val="24"/>
          <w:szCs w:val="24"/>
          <w:lang w:val="en-US" w:eastAsia="zh-CN"/>
        </w:rPr>
        <w:t>实施方案</w:t>
      </w:r>
      <w:r>
        <w:rPr>
          <w:rFonts w:hint="eastAsia" w:ascii="方正仿宋_GBK" w:hAnsi="宋体" w:eastAsia="方正仿宋_GBK"/>
          <w:sz w:val="24"/>
          <w:szCs w:val="24"/>
          <w:u w:val="single"/>
        </w:rPr>
        <w:t xml:space="preserve">   </w:t>
      </w:r>
      <w:r>
        <w:rPr>
          <w:rFonts w:hint="eastAsia" w:ascii="方正仿宋_GBK" w:hAnsi="宋体" w:eastAsia="方正仿宋_GBK"/>
          <w:sz w:val="24"/>
          <w:szCs w:val="24"/>
        </w:rPr>
        <w:t>份。</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3.我方承诺：本次磋商的有效期为提交响应文件截止时间起90天。</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4.我方完全理解和接受贵方竞争性磋商文件的一切规定和要求及评审办法。</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5.在整个竞争性磋商过程中，我方若有违规行为，接受按照《中华人民共和国政府采购法》和《竞争性磋商文件》之规定给予惩罚。</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6.我方若成为成交供应商，将按照最终磋商结果签订合同，并且严格履行合同义务。本承诺函将成为合同不可分割的一部分，与合同具有同等的法律效力。</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7.如果我方成为成交供应商，保证在接到成交通知书后，向采购代理机构和</w:t>
      </w:r>
      <w:r>
        <w:rPr>
          <w:rFonts w:hint="eastAsia" w:ascii="方正仿宋_GBK" w:hAnsi="宋体" w:eastAsia="方正仿宋_GBK"/>
          <w:sz w:val="24"/>
        </w:rPr>
        <w:t>重庆联合产权交易所集团股份有限公司缴纳</w:t>
      </w:r>
      <w:r>
        <w:rPr>
          <w:rFonts w:hint="eastAsia" w:ascii="方正仿宋_GBK" w:hAnsi="宋体" w:eastAsia="方正仿宋_GBK"/>
          <w:sz w:val="24"/>
          <w:szCs w:val="24"/>
        </w:rPr>
        <w:t>竞争性磋商文件规定的采购代理服务费和交易服务费。</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8.</w:t>
      </w:r>
      <w:r>
        <w:rPr>
          <w:rFonts w:hint="eastAsia" w:ascii="方正仿宋_GBK" w:hAnsi="宋体" w:eastAsia="方正仿宋_GBK"/>
          <w:sz w:val="24"/>
          <w:szCs w:val="28"/>
        </w:rPr>
        <w:t>我方未</w:t>
      </w:r>
      <w:r>
        <w:rPr>
          <w:rFonts w:ascii="方正仿宋_GBK" w:hAnsi="宋体" w:eastAsia="方正仿宋_GBK"/>
          <w:sz w:val="24"/>
          <w:szCs w:val="24"/>
        </w:rPr>
        <w:t>为采购项目提供整体设计、规范编制或者项目管理、监理、检测等服务。</w:t>
      </w:r>
    </w:p>
    <w:p>
      <w:pPr>
        <w:tabs>
          <w:tab w:val="left" w:pos="6300"/>
        </w:tabs>
        <w:snapToGrid w:val="0"/>
        <w:spacing w:beforeAutospacing="0" w:afterAutospacing="0"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供应商（公章）或自然人签署：</w:t>
      </w:r>
    </w:p>
    <w:p>
      <w:pPr>
        <w:tabs>
          <w:tab w:val="left" w:pos="6300"/>
        </w:tabs>
        <w:snapToGrid w:val="0"/>
        <w:spacing w:beforeAutospacing="0" w:afterAutospacing="0"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 xml:space="preserve">地址：  </w:t>
      </w:r>
    </w:p>
    <w:p>
      <w:pPr>
        <w:tabs>
          <w:tab w:val="left" w:pos="6300"/>
        </w:tabs>
        <w:snapToGrid w:val="0"/>
        <w:spacing w:beforeAutospacing="0" w:afterAutospacing="0"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电话：                                             传真：</w:t>
      </w:r>
    </w:p>
    <w:p>
      <w:pPr>
        <w:tabs>
          <w:tab w:val="left" w:pos="6300"/>
        </w:tabs>
        <w:snapToGrid w:val="0"/>
        <w:spacing w:beforeAutospacing="0" w:afterAutospacing="0"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网址：                                             邮编：</w:t>
      </w:r>
    </w:p>
    <w:p>
      <w:pPr>
        <w:tabs>
          <w:tab w:val="left" w:pos="6300"/>
        </w:tabs>
        <w:snapToGrid w:val="0"/>
        <w:spacing w:beforeAutospacing="0" w:afterAutospacing="0" w:line="312" w:lineRule="auto"/>
        <w:ind w:firstLine="570"/>
        <w:rPr>
          <w:rFonts w:hint="eastAsia" w:ascii="方正仿宋_GBK" w:hAnsi="宋体" w:eastAsia="方正仿宋_GBK"/>
          <w:sz w:val="24"/>
          <w:szCs w:val="24"/>
        </w:rPr>
      </w:pPr>
      <w:r>
        <w:rPr>
          <w:rFonts w:hint="eastAsia" w:ascii="方正仿宋_GBK" w:hAnsi="宋体" w:eastAsia="方正仿宋_GBK"/>
          <w:sz w:val="24"/>
          <w:szCs w:val="24"/>
        </w:rPr>
        <w:t>联系人：</w:t>
      </w:r>
    </w:p>
    <w:p>
      <w:pPr>
        <w:snapToGrid w:val="0"/>
        <w:spacing w:beforeAutospacing="0" w:afterAutospacing="0" w:line="312" w:lineRule="auto"/>
        <w:ind w:firstLine="480" w:firstLineChars="200"/>
        <w:rPr>
          <w:rFonts w:hint="eastAsia" w:ascii="方正仿宋_GBK" w:hAnsi="宋体" w:eastAsia="方正仿宋_GBK"/>
          <w:sz w:val="24"/>
          <w:szCs w:val="24"/>
        </w:rPr>
        <w:sectPr>
          <w:pgSz w:w="11907" w:h="16840"/>
          <w:pgMar w:top="1134" w:right="1191" w:bottom="1134" w:left="1304" w:header="851" w:footer="992" w:gutter="0"/>
          <w:pgNumType w:fmt="numberInDash"/>
          <w:cols w:space="720" w:num="1"/>
          <w:docGrid w:linePitch="380" w:charSpace="-5735"/>
        </w:sectPr>
      </w:pPr>
      <w:r>
        <w:rPr>
          <w:rFonts w:hint="eastAsia" w:ascii="方正仿宋_GBK" w:hAnsi="宋体" w:eastAsia="方正仿宋_GBK"/>
          <w:sz w:val="24"/>
          <w:szCs w:val="24"/>
        </w:rPr>
        <w:t xml:space="preserve">                                                  年   月   日</w:t>
      </w:r>
    </w:p>
    <w:p>
      <w:pPr>
        <w:snapToGrid w:val="0"/>
        <w:spacing w:beforeAutospacing="0" w:afterAutospacing="0" w:line="500" w:lineRule="exact"/>
        <w:ind w:firstLine="480" w:firstLineChars="200"/>
        <w:jc w:val="left"/>
        <w:rPr>
          <w:rFonts w:hint="eastAsia" w:ascii="仿宋_GB2312" w:hAnsi="宋体" w:eastAsia="仿宋_GB2312"/>
          <w:b/>
          <w:color w:val="000000"/>
          <w:szCs w:val="28"/>
        </w:rPr>
      </w:pPr>
      <w:r>
        <w:rPr>
          <w:rFonts w:hint="eastAsia" w:ascii="方正仿宋_GBK" w:hAnsi="宋体" w:eastAsia="方正仿宋_GBK"/>
          <w:sz w:val="24"/>
          <w:szCs w:val="24"/>
        </w:rPr>
        <w:t>（二）</w:t>
      </w:r>
      <w:r>
        <w:rPr>
          <w:rFonts w:hint="eastAsia" w:ascii="仿宋_GB2312" w:hAnsi="宋体" w:eastAsia="仿宋_GB2312"/>
          <w:b/>
          <w:color w:val="000000"/>
          <w:szCs w:val="28"/>
        </w:rPr>
        <w:t>报价一览表</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采购项目名称：</w:t>
      </w:r>
    </w:p>
    <w:tbl>
      <w:tblPr>
        <w:tblStyle w:val="13"/>
        <w:tblW w:w="9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3609"/>
        <w:gridCol w:w="2271"/>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508" w:type="dxa"/>
            <w:vAlign w:val="center"/>
          </w:tcPr>
          <w:p>
            <w:pPr>
              <w:tabs>
                <w:tab w:val="left" w:pos="6300"/>
              </w:tabs>
              <w:snapToGrid w:val="0"/>
              <w:spacing w:beforeAutospacing="0" w:afterAutospacing="0" w:line="312" w:lineRule="auto"/>
              <w:rPr>
                <w:rFonts w:hint="eastAsia" w:ascii="方正仿宋_GBK" w:hAnsi="宋体" w:eastAsia="方正仿宋_GBK"/>
                <w:sz w:val="24"/>
                <w:szCs w:val="24"/>
              </w:rPr>
            </w:pPr>
            <w:r>
              <w:rPr>
                <w:rFonts w:hint="eastAsia" w:ascii="方正仿宋_GBK" w:hAnsi="宋体" w:eastAsia="方正仿宋_GBK"/>
                <w:sz w:val="24"/>
                <w:szCs w:val="24"/>
              </w:rPr>
              <w:t>供应商全称</w:t>
            </w:r>
          </w:p>
        </w:tc>
        <w:tc>
          <w:tcPr>
            <w:tcW w:w="7784" w:type="dxa"/>
            <w:gridSpan w:val="3"/>
            <w:vAlign w:val="top"/>
          </w:tcPr>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17" w:type="dxa"/>
            <w:gridSpan w:val="2"/>
            <w:vAlign w:val="center"/>
          </w:tcPr>
          <w:p>
            <w:pPr>
              <w:tabs>
                <w:tab w:val="left" w:pos="6300"/>
              </w:tabs>
              <w:snapToGrid w:val="0"/>
              <w:spacing w:beforeAutospacing="0" w:afterAutospacing="0" w:line="312" w:lineRule="auto"/>
              <w:jc w:val="center"/>
              <w:rPr>
                <w:rFonts w:hint="eastAsia" w:ascii="方正仿宋_GBK" w:hAnsi="宋体" w:eastAsia="方正仿宋_GBK"/>
                <w:sz w:val="24"/>
                <w:szCs w:val="24"/>
                <w:lang w:eastAsia="zh-CN"/>
              </w:rPr>
            </w:pPr>
            <w:r>
              <w:rPr>
                <w:rFonts w:hint="eastAsia" w:ascii="方正仿宋_GBK" w:hAnsi="宋体" w:eastAsia="方正仿宋_GBK"/>
                <w:sz w:val="24"/>
                <w:szCs w:val="24"/>
              </w:rPr>
              <w:t>响应项目名称</w:t>
            </w:r>
          </w:p>
        </w:tc>
        <w:tc>
          <w:tcPr>
            <w:tcW w:w="2271" w:type="dxa"/>
            <w:vAlign w:val="center"/>
          </w:tcPr>
          <w:p>
            <w:pPr>
              <w:tabs>
                <w:tab w:val="left" w:pos="6300"/>
              </w:tabs>
              <w:snapToGrid w:val="0"/>
              <w:spacing w:beforeAutospacing="0" w:afterAutospacing="0" w:line="312" w:lineRule="auto"/>
              <w:jc w:val="center"/>
              <w:rPr>
                <w:rFonts w:hint="eastAsia" w:ascii="方正仿宋_GBK" w:hAnsi="宋体" w:eastAsia="方正仿宋_GBK"/>
                <w:sz w:val="24"/>
                <w:szCs w:val="24"/>
              </w:rPr>
            </w:pPr>
            <w:r>
              <w:rPr>
                <w:rFonts w:hint="eastAsia" w:ascii="方正仿宋_GBK" w:hAnsi="宋体" w:eastAsia="方正仿宋_GBK"/>
                <w:sz w:val="24"/>
                <w:szCs w:val="24"/>
              </w:rPr>
              <w:t>响应报价（小写）</w:t>
            </w:r>
          </w:p>
          <w:p>
            <w:pPr>
              <w:tabs>
                <w:tab w:val="left" w:pos="6300"/>
              </w:tabs>
              <w:snapToGrid w:val="0"/>
              <w:spacing w:beforeAutospacing="0" w:afterAutospacing="0" w:line="312" w:lineRule="auto"/>
              <w:jc w:val="center"/>
              <w:rPr>
                <w:rFonts w:hint="eastAsia" w:ascii="方正仿宋_GBK" w:hAnsi="宋体" w:eastAsia="方正仿宋_GBK"/>
                <w:sz w:val="24"/>
                <w:szCs w:val="24"/>
              </w:rPr>
            </w:pPr>
            <w:r>
              <w:rPr>
                <w:rFonts w:hint="eastAsia" w:ascii="方正仿宋_GBK" w:hAnsi="宋体" w:eastAsia="方正仿宋_GBK"/>
                <w:sz w:val="24"/>
                <w:szCs w:val="24"/>
              </w:rPr>
              <w:t>单位（元）</w:t>
            </w:r>
          </w:p>
        </w:tc>
        <w:tc>
          <w:tcPr>
            <w:tcW w:w="1904" w:type="dxa"/>
            <w:vAlign w:val="center"/>
          </w:tcPr>
          <w:p>
            <w:pPr>
              <w:tabs>
                <w:tab w:val="left" w:pos="6300"/>
              </w:tabs>
              <w:snapToGrid w:val="0"/>
              <w:spacing w:beforeAutospacing="0" w:afterAutospacing="0" w:line="312" w:lineRule="auto"/>
              <w:jc w:val="center"/>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5117" w:type="dxa"/>
            <w:gridSpan w:val="2"/>
            <w:vAlign w:val="center"/>
          </w:tcPr>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tc>
        <w:tc>
          <w:tcPr>
            <w:tcW w:w="2271" w:type="dxa"/>
            <w:vAlign w:val="top"/>
          </w:tcPr>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tc>
        <w:tc>
          <w:tcPr>
            <w:tcW w:w="1904" w:type="dxa"/>
            <w:vAlign w:val="top"/>
          </w:tcPr>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9292" w:type="dxa"/>
            <w:gridSpan w:val="4"/>
            <w:vAlign w:val="center"/>
          </w:tcPr>
          <w:p>
            <w:pPr>
              <w:tabs>
                <w:tab w:val="left" w:pos="6300"/>
              </w:tabs>
              <w:snapToGrid w:val="0"/>
              <w:spacing w:beforeAutospacing="0" w:afterAutospacing="0" w:line="312" w:lineRule="auto"/>
              <w:rPr>
                <w:rFonts w:hint="eastAsia" w:ascii="方正仿宋_GBK" w:hAnsi="宋体" w:eastAsia="方正仿宋_GBK"/>
                <w:sz w:val="24"/>
                <w:szCs w:val="24"/>
              </w:rPr>
            </w:pPr>
            <w:r>
              <w:rPr>
                <w:rFonts w:hint="eastAsia" w:ascii="方正仿宋_GBK" w:hAnsi="宋体" w:eastAsia="方正仿宋_GBK"/>
                <w:sz w:val="24"/>
                <w:szCs w:val="24"/>
              </w:rPr>
              <w:t>响应报价（大写）：                            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9292" w:type="dxa"/>
            <w:gridSpan w:val="4"/>
            <w:vAlign w:val="center"/>
          </w:tcPr>
          <w:p>
            <w:pPr>
              <w:tabs>
                <w:tab w:val="left" w:pos="6300"/>
              </w:tabs>
              <w:snapToGrid w:val="0"/>
              <w:spacing w:beforeAutospacing="0" w:afterAutospacing="0" w:line="312" w:lineRule="auto"/>
              <w:rPr>
                <w:rFonts w:hint="eastAsia" w:ascii="方正仿宋_GBK" w:hAnsi="宋体" w:eastAsia="方正仿宋_GBK"/>
                <w:sz w:val="24"/>
                <w:szCs w:val="24"/>
              </w:rPr>
            </w:pPr>
            <w:r>
              <w:rPr>
                <w:rFonts w:hint="eastAsia" w:ascii="方正仿宋_GBK" w:hAnsi="宋体" w:eastAsia="方正仿宋_GBK"/>
                <w:sz w:val="24"/>
                <w:szCs w:val="24"/>
              </w:rPr>
              <w:t>备注：不得高于本次采购人给定的响应最高限价，报价高于本限价的为无效响应。</w:t>
            </w:r>
          </w:p>
        </w:tc>
      </w:tr>
    </w:tbl>
    <w:p>
      <w:pPr>
        <w:spacing w:beforeAutospacing="0" w:afterAutospacing="0" w:line="500" w:lineRule="exact"/>
        <w:ind w:firstLine="560" w:firstLineChars="200"/>
        <w:rPr>
          <w:rFonts w:hint="eastAsia" w:ascii="仿宋_GB2312" w:hAnsi="宋体" w:eastAsia="仿宋_GB2312"/>
          <w:color w:val="000000"/>
          <w:szCs w:val="28"/>
        </w:rPr>
      </w:pPr>
    </w:p>
    <w:p>
      <w:pPr>
        <w:spacing w:beforeAutospacing="0" w:afterAutospacing="0" w:line="500" w:lineRule="exact"/>
        <w:ind w:firstLine="560" w:firstLineChars="200"/>
        <w:rPr>
          <w:rFonts w:hint="eastAsia" w:ascii="仿宋_GB2312" w:hAnsi="宋体" w:eastAsia="仿宋_GB2312"/>
          <w:color w:val="000000"/>
          <w:szCs w:val="28"/>
        </w:rPr>
      </w:pP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响应供应商：                            法人授权代表：</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  （响应供应商公章）                          （签字或盖章）</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                                     年     月     日</w:t>
      </w:r>
    </w:p>
    <w:p>
      <w:pPr>
        <w:snapToGrid w:val="0"/>
        <w:spacing w:beforeAutospacing="0" w:afterAutospacing="0" w:line="500" w:lineRule="exact"/>
        <w:rPr>
          <w:rFonts w:hint="eastAsia" w:ascii="仿宋_GB2312" w:hAnsi="宋体" w:eastAsia="仿宋_GB2312"/>
          <w:color w:val="000000"/>
          <w:szCs w:val="28"/>
        </w:rPr>
      </w:pP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说明：</w:t>
      </w:r>
    </w:p>
    <w:p>
      <w:pPr>
        <w:tabs>
          <w:tab w:val="left" w:pos="6300"/>
        </w:tabs>
        <w:snapToGrid w:val="0"/>
        <w:spacing w:beforeAutospacing="0" w:afterAutospacing="0" w:line="312" w:lineRule="auto"/>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1.</w:t>
      </w:r>
      <w:r>
        <w:rPr>
          <w:rFonts w:hint="eastAsia" w:ascii="方正仿宋_GBK" w:hAnsi="宋体" w:eastAsia="方正仿宋_GBK"/>
          <w:sz w:val="24"/>
          <w:szCs w:val="24"/>
        </w:rPr>
        <w:t>报价一览表在评审大会上当众宣读，</w:t>
      </w:r>
      <w:r>
        <w:rPr>
          <w:rFonts w:hint="eastAsia" w:ascii="方正仿宋_GBK" w:hAnsi="宋体" w:eastAsia="方正仿宋_GBK"/>
          <w:sz w:val="24"/>
          <w:szCs w:val="24"/>
          <w:lang w:val="en-US" w:eastAsia="zh-CN"/>
        </w:rPr>
        <w:t>供应商须按格式填写且</w:t>
      </w:r>
      <w:r>
        <w:rPr>
          <w:rFonts w:hint="eastAsia" w:ascii="方正仿宋_GBK" w:hAnsi="宋体" w:eastAsia="方正仿宋_GBK"/>
          <w:sz w:val="24"/>
          <w:szCs w:val="24"/>
        </w:rPr>
        <w:t>务必填写清楚，准确无误。</w:t>
      </w:r>
    </w:p>
    <w:p>
      <w:pPr>
        <w:tabs>
          <w:tab w:val="left" w:pos="2895"/>
        </w:tabs>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2.</w:t>
      </w:r>
      <w:r>
        <w:rPr>
          <w:rFonts w:hint="eastAsia" w:ascii="方正仿宋_GBK" w:hAnsi="宋体" w:eastAsia="方正仿宋_GBK"/>
          <w:sz w:val="24"/>
          <w:szCs w:val="24"/>
        </w:rPr>
        <w:t>若以联合体参与</w:t>
      </w:r>
      <w:r>
        <w:rPr>
          <w:rFonts w:hint="eastAsia" w:ascii="方正仿宋_GBK" w:hAnsi="宋体" w:eastAsia="方正仿宋_GBK"/>
          <w:sz w:val="24"/>
          <w:szCs w:val="24"/>
          <w:lang w:val="en-US" w:eastAsia="zh-CN"/>
        </w:rPr>
        <w:t>询价</w:t>
      </w:r>
      <w:r>
        <w:rPr>
          <w:rFonts w:hint="eastAsia" w:ascii="方正仿宋_GBK" w:hAnsi="宋体" w:eastAsia="方正仿宋_GBK"/>
          <w:sz w:val="24"/>
          <w:szCs w:val="24"/>
        </w:rPr>
        <w:t>的，应在“</w:t>
      </w:r>
      <w:r>
        <w:rPr>
          <w:rFonts w:hint="eastAsia" w:ascii="方正仿宋_GBK" w:hAnsi="宋体" w:eastAsia="方正仿宋_GBK"/>
          <w:sz w:val="24"/>
          <w:szCs w:val="24"/>
          <w:lang w:val="en-US" w:eastAsia="zh-CN"/>
        </w:rPr>
        <w:t>响应供应商</w:t>
      </w:r>
      <w:r>
        <w:rPr>
          <w:rFonts w:hint="eastAsia" w:ascii="方正仿宋_GBK" w:hAnsi="宋体" w:eastAsia="方正仿宋_GBK"/>
          <w:sz w:val="24"/>
          <w:szCs w:val="24"/>
        </w:rPr>
        <w:t>”处注明所有联合体名称</w:t>
      </w:r>
      <w:r>
        <w:rPr>
          <w:rFonts w:hint="eastAsia" w:ascii="方正仿宋_GBK" w:hAnsi="宋体" w:eastAsia="方正仿宋_GBK"/>
          <w:sz w:val="24"/>
          <w:szCs w:val="24"/>
          <w:lang w:eastAsia="zh-CN"/>
        </w:rPr>
        <w:t>，</w:t>
      </w:r>
      <w:r>
        <w:rPr>
          <w:rFonts w:hint="eastAsia" w:ascii="方正仿宋_GBK" w:hAnsi="宋体" w:eastAsia="方正仿宋_GBK"/>
          <w:sz w:val="24"/>
          <w:szCs w:val="24"/>
        </w:rPr>
        <w:t>至少应加盖联合体主办方（主体）公章。</w:t>
      </w:r>
      <w:r>
        <w:rPr>
          <w:rFonts w:hint="eastAsia" w:ascii="方正仿宋_GBK" w:hAnsi="宋体" w:eastAsia="方正仿宋_GBK"/>
          <w:sz w:val="24"/>
          <w:szCs w:val="24"/>
        </w:rPr>
        <w:br w:type="page"/>
      </w:r>
    </w:p>
    <w:p>
      <w:pPr>
        <w:tabs>
          <w:tab w:val="left" w:pos="2895"/>
        </w:tabs>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w:t>
      </w:r>
      <w:r>
        <w:rPr>
          <w:rFonts w:hint="eastAsia" w:ascii="方正仿宋_GBK" w:hAnsi="宋体" w:eastAsia="方正仿宋_GBK"/>
          <w:sz w:val="24"/>
          <w:szCs w:val="24"/>
          <w:lang w:eastAsia="zh-CN"/>
        </w:rPr>
        <w:t>三</w:t>
      </w:r>
      <w:r>
        <w:rPr>
          <w:rFonts w:hint="eastAsia" w:ascii="方正仿宋_GBK" w:hAnsi="宋体" w:eastAsia="方正仿宋_GBK"/>
          <w:sz w:val="24"/>
          <w:szCs w:val="24"/>
        </w:rPr>
        <w:t>）明细报价表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pacing w:beforeAutospacing="0" w:afterAutospacing="0" w:line="400" w:lineRule="exact"/>
        <w:ind w:firstLine="480" w:firstLineChars="200"/>
        <w:rPr>
          <w:rFonts w:hint="eastAsia" w:ascii="方正仿宋_GBK" w:hAnsi="宋体" w:eastAsia="方正仿宋_GBK"/>
          <w:sz w:val="24"/>
          <w:szCs w:val="24"/>
          <w:u w:val="single"/>
        </w:rPr>
      </w:pPr>
      <w:r>
        <w:rPr>
          <w:rFonts w:hint="eastAsia" w:ascii="方正仿宋_GBK" w:hAnsi="宋体" w:eastAsia="方正仿宋_GBK"/>
          <w:sz w:val="24"/>
          <w:szCs w:val="24"/>
        </w:rPr>
        <w:t xml:space="preserve">磋商项目名称： </w:t>
      </w:r>
    </w:p>
    <w:tbl>
      <w:tblPr>
        <w:tblStyle w:val="13"/>
        <w:tblW w:w="93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557"/>
        <w:gridCol w:w="3127"/>
        <w:gridCol w:w="1235"/>
        <w:gridCol w:w="1235"/>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939"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序号</w:t>
            </w:r>
          </w:p>
        </w:tc>
        <w:tc>
          <w:tcPr>
            <w:tcW w:w="1557"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名称</w:t>
            </w:r>
          </w:p>
        </w:tc>
        <w:tc>
          <w:tcPr>
            <w:tcW w:w="3127"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相关信息</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数量</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单价</w:t>
            </w:r>
          </w:p>
        </w:tc>
        <w:tc>
          <w:tcPr>
            <w:tcW w:w="1235" w:type="dxa"/>
            <w:vAlign w:val="center"/>
          </w:tcPr>
          <w:p>
            <w:pPr>
              <w:jc w:val="center"/>
              <w:rPr>
                <w:rFonts w:hint="eastAsia" w:ascii="方正仿宋_GBK" w:hAnsi="宋体" w:eastAsia="方正仿宋_GBK"/>
                <w:b/>
                <w:sz w:val="21"/>
                <w:szCs w:val="21"/>
              </w:rPr>
            </w:pPr>
            <w:r>
              <w:rPr>
                <w:rFonts w:hint="eastAsia" w:ascii="方正仿宋_GBK" w:hAnsi="宋体" w:eastAsia="方正仿宋_GBK"/>
                <w:b/>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ascii="方正仿宋_GBK" w:hAnsi="宋体" w:eastAsia="方正仿宋_GBK"/>
                <w:sz w:val="21"/>
                <w:szCs w:val="21"/>
              </w:rPr>
            </w:pPr>
          </w:p>
        </w:tc>
        <w:tc>
          <w:tcPr>
            <w:tcW w:w="1235" w:type="dxa"/>
            <w:vAlign w:val="center"/>
          </w:tcPr>
          <w:p>
            <w:pPr>
              <w:jc w:val="center"/>
              <w:rPr>
                <w:rFonts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2</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3</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4</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5</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6</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7</w:t>
            </w:r>
          </w:p>
        </w:tc>
        <w:tc>
          <w:tcPr>
            <w:tcW w:w="1557" w:type="dxa"/>
            <w:vAlign w:val="center"/>
          </w:tcPr>
          <w:p>
            <w:pPr>
              <w:jc w:val="center"/>
              <w:rPr>
                <w:rFonts w:hint="eastAsia" w:ascii="方正仿宋_GBK" w:hAnsi="宋体" w:eastAsia="方正仿宋_GBK"/>
                <w:sz w:val="21"/>
                <w:szCs w:val="21"/>
              </w:rPr>
            </w:pP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8</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人工费</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9</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运输费</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10</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其他费用</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11</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3127" w:type="dxa"/>
            <w:vAlign w:val="top"/>
          </w:tcPr>
          <w:p>
            <w:pPr>
              <w:jc w:val="center"/>
              <w:rPr>
                <w:rFonts w:hint="eastAsia" w:ascii="方正仿宋_GBK" w:hAnsi="宋体" w:eastAsia="方正仿宋_GBK"/>
                <w:sz w:val="21"/>
                <w:szCs w:val="21"/>
              </w:rPr>
            </w:pPr>
          </w:p>
        </w:tc>
        <w:tc>
          <w:tcPr>
            <w:tcW w:w="1235"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w:t>
            </w:r>
          </w:p>
        </w:tc>
        <w:tc>
          <w:tcPr>
            <w:tcW w:w="1235" w:type="dxa"/>
            <w:vAlign w:val="top"/>
          </w:tcPr>
          <w:p>
            <w:pPr>
              <w:jc w:val="center"/>
              <w:rPr>
                <w:rFonts w:hint="eastAsia" w:ascii="方正仿宋_GBK" w:hAnsi="宋体" w:eastAsia="方正仿宋_GBK"/>
                <w:sz w:val="21"/>
                <w:szCs w:val="21"/>
              </w:rPr>
            </w:pPr>
          </w:p>
        </w:tc>
        <w:tc>
          <w:tcPr>
            <w:tcW w:w="1235" w:type="dxa"/>
            <w:vAlign w:val="top"/>
          </w:tcPr>
          <w:p>
            <w:pPr>
              <w:jc w:val="center"/>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39" w:type="dxa"/>
            <w:vAlign w:val="center"/>
          </w:tcPr>
          <w:p>
            <w:pPr>
              <w:pStyle w:val="4"/>
              <w:spacing w:beforeAutospacing="0" w:afterAutospacing="0" w:line="240" w:lineRule="atLeast"/>
              <w:ind w:left="3920"/>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12</w:t>
            </w:r>
          </w:p>
        </w:tc>
        <w:tc>
          <w:tcPr>
            <w:tcW w:w="1557" w:type="dxa"/>
            <w:vAlign w:val="center"/>
          </w:tcPr>
          <w:p>
            <w:pPr>
              <w:jc w:val="center"/>
              <w:rPr>
                <w:rFonts w:hint="eastAsia" w:ascii="方正仿宋_GBK" w:hAnsi="宋体" w:eastAsia="方正仿宋_GBK"/>
                <w:sz w:val="21"/>
                <w:szCs w:val="21"/>
              </w:rPr>
            </w:pPr>
            <w:r>
              <w:rPr>
                <w:rFonts w:hint="eastAsia" w:ascii="方正仿宋_GBK" w:hAnsi="宋体" w:eastAsia="方正仿宋_GBK"/>
                <w:sz w:val="21"/>
                <w:szCs w:val="21"/>
              </w:rPr>
              <w:t>总计</w:t>
            </w:r>
          </w:p>
        </w:tc>
        <w:tc>
          <w:tcPr>
            <w:tcW w:w="6832" w:type="dxa"/>
            <w:gridSpan w:val="4"/>
            <w:vAlign w:val="top"/>
          </w:tcPr>
          <w:p>
            <w:pPr>
              <w:rPr>
                <w:rFonts w:hint="eastAsia" w:ascii="方正仿宋_GBK" w:hAnsi="宋体" w:eastAsia="方正仿宋_GBK"/>
                <w:sz w:val="21"/>
                <w:szCs w:val="21"/>
              </w:rPr>
            </w:pPr>
          </w:p>
        </w:tc>
      </w:tr>
    </w:tbl>
    <w:p>
      <w:pPr>
        <w:snapToGrid w:val="0"/>
        <w:spacing w:beforeAutospacing="0" w:afterAutospacing="0" w:line="500" w:lineRule="exact"/>
        <w:ind w:firstLine="480" w:firstLineChars="200"/>
        <w:rPr>
          <w:rFonts w:hint="eastAsia" w:ascii="方正仿宋_GBK" w:hAnsi="宋体" w:eastAsia="方正仿宋_GBK"/>
          <w:sz w:val="24"/>
          <w:szCs w:val="28"/>
        </w:rPr>
      </w:pPr>
    </w:p>
    <w:p>
      <w:pPr>
        <w:snapToGrid w:val="0"/>
        <w:spacing w:beforeAutospacing="0" w:afterAutospacing="0" w:line="500" w:lineRule="exact"/>
        <w:ind w:firstLine="480" w:firstLineChars="200"/>
        <w:rPr>
          <w:rFonts w:hint="eastAsia" w:ascii="方正仿宋_GBK" w:hAnsi="宋体" w:eastAsia="方正仿宋_GBK"/>
          <w:sz w:val="24"/>
          <w:szCs w:val="28"/>
        </w:rPr>
      </w:pPr>
      <w:r>
        <w:rPr>
          <w:rFonts w:hint="eastAsia" w:ascii="方正仿宋_GBK" w:hAnsi="宋体" w:eastAsia="方正仿宋_GBK"/>
          <w:sz w:val="24"/>
          <w:szCs w:val="28"/>
        </w:rPr>
        <w:t>注：1.供应商应完整填写本表</w:t>
      </w:r>
      <w:r>
        <w:rPr>
          <w:rFonts w:eastAsia="方正仿宋_GBK"/>
          <w:sz w:val="24"/>
          <w:szCs w:val="28"/>
        </w:rPr>
        <w:t>，没有填写或填</w:t>
      </w:r>
      <w:r>
        <w:rPr>
          <w:rFonts w:hint="eastAsia" w:eastAsia="方正仿宋_GBK"/>
          <w:sz w:val="24"/>
          <w:szCs w:val="28"/>
          <w:lang w:val="en-US" w:eastAsia="zh-CN"/>
        </w:rPr>
        <w:t>写</w:t>
      </w:r>
      <w:r>
        <w:rPr>
          <w:rFonts w:eastAsia="方正仿宋_GBK"/>
          <w:sz w:val="24"/>
          <w:szCs w:val="28"/>
        </w:rPr>
        <w:t>不完整的按无明细</w:t>
      </w:r>
      <w:r>
        <w:rPr>
          <w:rFonts w:hint="eastAsia" w:eastAsia="方正仿宋_GBK"/>
          <w:sz w:val="24"/>
          <w:szCs w:val="28"/>
          <w:lang w:val="en-US" w:eastAsia="zh-CN"/>
        </w:rPr>
        <w:t>报价表</w:t>
      </w:r>
      <w:r>
        <w:rPr>
          <w:rFonts w:eastAsia="方正仿宋_GBK"/>
          <w:sz w:val="24"/>
          <w:szCs w:val="28"/>
        </w:rPr>
        <w:t>处理</w:t>
      </w:r>
      <w:r>
        <w:rPr>
          <w:rFonts w:hint="eastAsia" w:ascii="方正仿宋_GBK" w:hAnsi="宋体" w:eastAsia="方正仿宋_GBK"/>
          <w:sz w:val="24"/>
          <w:szCs w:val="28"/>
        </w:rPr>
        <w:t>。</w:t>
      </w:r>
    </w:p>
    <w:p>
      <w:pPr>
        <w:snapToGrid w:val="0"/>
        <w:spacing w:beforeAutospacing="0" w:afterAutospacing="0" w:line="500" w:lineRule="exact"/>
        <w:rPr>
          <w:rFonts w:hint="eastAsia" w:ascii="方正仿宋_GBK" w:hAnsi="宋体" w:eastAsia="方正仿宋_GBK"/>
          <w:sz w:val="24"/>
          <w:szCs w:val="28"/>
        </w:rPr>
      </w:pPr>
      <w:bookmarkStart w:id="98" w:name="OLE_LINK1"/>
      <w:bookmarkEnd w:id="98"/>
      <w:bookmarkStart w:id="99" w:name="OLE_LINK2"/>
      <w:bookmarkEnd w:id="99"/>
      <w:r>
        <w:rPr>
          <w:rFonts w:hint="eastAsia" w:ascii="方正仿宋_GBK" w:hAnsi="宋体" w:eastAsia="方正仿宋_GBK"/>
          <w:sz w:val="24"/>
          <w:szCs w:val="28"/>
        </w:rPr>
        <w:t xml:space="preserve">        2.该表可扩展。</w:t>
      </w:r>
    </w:p>
    <w:p>
      <w:pPr>
        <w:snapToGrid w:val="0"/>
        <w:spacing w:beforeAutospacing="0" w:afterAutospacing="0" w:line="500" w:lineRule="exact"/>
        <w:rPr>
          <w:rFonts w:hint="eastAsia" w:ascii="方正仿宋_GBK" w:hAnsi="宋体" w:eastAsia="方正仿宋_GBK"/>
          <w:sz w:val="24"/>
          <w:szCs w:val="28"/>
          <w:lang w:val="en-US" w:eastAsia="zh-CN"/>
        </w:rPr>
      </w:pPr>
      <w:r>
        <w:rPr>
          <w:rFonts w:hint="eastAsia" w:ascii="方正仿宋_GBK" w:hAnsi="宋体" w:eastAsia="方正仿宋_GBK"/>
          <w:sz w:val="24"/>
          <w:szCs w:val="28"/>
          <w:lang w:val="en-US" w:eastAsia="zh-CN"/>
        </w:rPr>
        <w:t xml:space="preserve">        3.无此项费用的，以“单价”和“合计”栏以“0”表示。</w:t>
      </w:r>
    </w:p>
    <w:p>
      <w:pPr>
        <w:pStyle w:val="10"/>
        <w:spacing w:beforeAutospacing="0" w:afterAutospacing="0" w:line="360" w:lineRule="auto"/>
        <w:rPr>
          <w:rFonts w:hint="eastAsia" w:ascii="方正仿宋_GBK" w:hAnsi="宋体" w:eastAsia="方正仿宋_GBK"/>
          <w:sz w:val="24"/>
          <w:szCs w:val="24"/>
        </w:rPr>
      </w:pPr>
    </w:p>
    <w:p>
      <w:pPr>
        <w:pStyle w:val="10"/>
        <w:spacing w:beforeAutospacing="0" w:afterAutospacing="0" w:line="360" w:lineRule="auto"/>
        <w:rPr>
          <w:rFonts w:hint="eastAsia" w:ascii="方正仿宋_GBK" w:hAnsi="宋体" w:eastAsia="方正仿宋_GBK"/>
          <w:sz w:val="24"/>
          <w:szCs w:val="24"/>
        </w:rPr>
      </w:pPr>
      <w:r>
        <w:rPr>
          <w:rFonts w:hint="eastAsia" w:ascii="方正仿宋_GBK" w:hAnsi="宋体" w:eastAsia="方正仿宋_GBK"/>
          <w:sz w:val="24"/>
          <w:szCs w:val="24"/>
        </w:rPr>
        <w:t xml:space="preserve">            </w:t>
      </w:r>
    </w:p>
    <w:p>
      <w:pPr>
        <w:rPr>
          <w:rFonts w:hint="eastAsia"/>
        </w:rPr>
      </w:pPr>
    </w:p>
    <w:p>
      <w:pPr>
        <w:rPr>
          <w:rFonts w:hint="eastAsia"/>
        </w:rPr>
      </w:pPr>
    </w:p>
    <w:p>
      <w:pPr>
        <w:spacing w:beforeAutospacing="0" w:afterAutospacing="0" w:line="360" w:lineRule="auto"/>
        <w:rPr>
          <w:rFonts w:hint="eastAsia"/>
        </w:rPr>
      </w:pPr>
      <w:r>
        <w:rPr>
          <w:rFonts w:hint="eastAsia" w:ascii="方正仿宋_GBK" w:hAnsi="宋体" w:eastAsia="方正仿宋_GBK"/>
          <w:sz w:val="24"/>
          <w:szCs w:val="24"/>
        </w:rPr>
        <w:t xml:space="preserve">                                             供应商名称（公章）或自然人签署：</w:t>
      </w:r>
    </w:p>
    <w:p>
      <w:pPr>
        <w:spacing w:beforeAutospacing="0" w:afterAutospacing="0" w:line="360" w:lineRule="auto"/>
        <w:ind w:right="480" w:firstLine="6480" w:firstLineChars="2700"/>
        <w:rPr>
          <w:rFonts w:hint="eastAsia" w:ascii="方正仿宋_GBK" w:hAnsi="宋体" w:eastAsia="方正仿宋_GBK"/>
          <w:sz w:val="24"/>
          <w:szCs w:val="24"/>
        </w:rPr>
      </w:pPr>
      <w:r>
        <w:rPr>
          <w:rFonts w:hint="eastAsia" w:ascii="方正仿宋_GBK" w:hAnsi="宋体" w:eastAsia="方正仿宋_GBK"/>
          <w:sz w:val="24"/>
          <w:szCs w:val="24"/>
        </w:rPr>
        <w:t>年     月    日</w:t>
      </w:r>
    </w:p>
    <w:p>
      <w:pPr>
        <w:snapToGrid w:val="0"/>
        <w:spacing w:beforeAutospacing="0" w:afterAutospacing="0" w:line="360" w:lineRule="auto"/>
        <w:ind w:firstLine="480" w:firstLineChars="200"/>
        <w:rPr>
          <w:rFonts w:hint="eastAsia" w:ascii="方正仿宋_GBK" w:hAnsi="宋体" w:eastAsia="方正仿宋_GBK"/>
          <w:sz w:val="24"/>
          <w:szCs w:val="24"/>
          <w:bdr w:val="single" w:color="auto" w:sz="4" w:space="0"/>
        </w:rPr>
        <w:sectPr>
          <w:headerReference r:id="rId12" w:type="default"/>
          <w:pgSz w:w="11907" w:h="16840"/>
          <w:pgMar w:top="1134" w:right="1191" w:bottom="1134" w:left="1304" w:header="851" w:footer="992" w:gutter="0"/>
          <w:pgNumType w:fmt="numberInDash"/>
          <w:cols w:space="720" w:num="1"/>
          <w:docGrid w:linePitch="380" w:charSpace="-5735"/>
        </w:sectPr>
      </w:pPr>
    </w:p>
    <w:p>
      <w:pPr>
        <w:pStyle w:val="2"/>
        <w:adjustRightInd w:val="0"/>
        <w:snapToGrid w:val="0"/>
        <w:spacing w:before="0" w:beforeAutospacing="0" w:after="0" w:afterAutospacing="0" w:line="400" w:lineRule="exact"/>
        <w:ind w:firstLine="481" w:firstLineChars="200"/>
        <w:rPr>
          <w:rFonts w:hint="eastAsia" w:ascii="方正仿宋_GBK" w:hAnsi="宋体" w:eastAsia="方正仿宋_GBK"/>
          <w:sz w:val="24"/>
        </w:rPr>
      </w:pPr>
      <w:bookmarkStart w:id="100" w:name="_Toc106030907"/>
      <w:bookmarkEnd w:id="100"/>
      <w:bookmarkStart w:id="101" w:name="_Toc342913420"/>
      <w:bookmarkEnd w:id="101"/>
      <w:bookmarkStart w:id="102" w:name="_Toc76462351"/>
      <w:bookmarkEnd w:id="102"/>
      <w:bookmarkStart w:id="103" w:name="_Toc313888361"/>
      <w:bookmarkEnd w:id="103"/>
      <w:bookmarkStart w:id="104" w:name="_Toc313008357"/>
      <w:bookmarkEnd w:id="104"/>
      <w:r>
        <w:rPr>
          <w:rFonts w:hint="eastAsia" w:ascii="方正仿宋_GBK" w:hAnsi="宋体" w:eastAsia="方正仿宋_GBK"/>
          <w:sz w:val="24"/>
        </w:rPr>
        <w:t>二、服务部分</w:t>
      </w:r>
    </w:p>
    <w:p>
      <w:pPr>
        <w:tabs>
          <w:tab w:val="left" w:pos="6300"/>
        </w:tabs>
        <w:snapToGrid w:val="0"/>
        <w:spacing w:beforeAutospacing="0" w:afterAutospacing="0" w:line="400" w:lineRule="exact"/>
        <w:ind w:firstLine="480" w:firstLineChars="200"/>
        <w:rPr>
          <w:rFonts w:hint="eastAsia" w:ascii="方正仿宋_GBK" w:hAnsi="宋体" w:eastAsia="方正仿宋_GBK"/>
          <w:szCs w:val="24"/>
        </w:rPr>
      </w:pPr>
      <w:r>
        <w:rPr>
          <w:rFonts w:hint="eastAsia" w:ascii="方正仿宋_GBK" w:hAnsi="宋体" w:eastAsia="方正仿宋_GBK"/>
          <w:sz w:val="24"/>
          <w:szCs w:val="24"/>
        </w:rPr>
        <w:t>（一）服务响应偏离表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磋商项目名称：</w:t>
      </w:r>
    </w:p>
    <w:tbl>
      <w:tblPr>
        <w:tblStyle w:val="13"/>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967"/>
        <w:gridCol w:w="3081"/>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序号</w:t>
            </w: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采购需求</w:t>
            </w: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响应情况</w:t>
            </w: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r>
              <w:rPr>
                <w:rFonts w:hint="eastAsia" w:ascii="方正仿宋_GBK" w:hAnsi="宋体" w:eastAsia="方正仿宋_GBK"/>
                <w:sz w:val="21"/>
                <w:szCs w:val="21"/>
              </w:rPr>
              <w:t>差异说明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27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967"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3081"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c>
          <w:tcPr>
            <w:tcW w:w="2309" w:type="dxa"/>
            <w:vAlign w:val="center"/>
          </w:tcPr>
          <w:p>
            <w:pPr>
              <w:tabs>
                <w:tab w:val="left" w:pos="6300"/>
              </w:tabs>
              <w:snapToGrid w:val="0"/>
              <w:spacing w:beforeAutospacing="0" w:afterAutospacing="0" w:line="500" w:lineRule="exact"/>
              <w:jc w:val="center"/>
              <w:outlineLvl w:val="0"/>
              <w:rPr>
                <w:rFonts w:hint="eastAsia" w:ascii="方正仿宋_GBK" w:hAnsi="宋体" w:eastAsia="方正仿宋_GBK"/>
                <w:sz w:val="21"/>
                <w:szCs w:val="21"/>
              </w:rPr>
            </w:pPr>
          </w:p>
        </w:tc>
      </w:tr>
    </w:tbl>
    <w:p>
      <w:pPr>
        <w:spacing w:beforeAutospacing="0" w:afterAutospacing="0"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beforeAutospacing="0" w:afterAutospacing="0"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beforeAutospacing="0" w:afterAutospacing="0" w:line="500" w:lineRule="exact"/>
        <w:ind w:firstLine="720" w:firstLineChars="30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本表即为对本项目“第二篇  项目服务需求”中所列条款进行比较和响应；</w:t>
      </w:r>
    </w:p>
    <w:p>
      <w:pPr>
        <w:tabs>
          <w:tab w:val="left" w:pos="6300"/>
        </w:tabs>
        <w:snapToGrid w:val="0"/>
        <w:spacing w:beforeAutospacing="0" w:afterAutospacing="0" w:line="48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rPr>
        <w:t>2.本表可扩展</w:t>
      </w:r>
      <w:r>
        <w:rPr>
          <w:rFonts w:hint="eastAsia" w:ascii="方正仿宋_GBK" w:hAnsi="仿宋" w:eastAsia="方正仿宋_GBK"/>
          <w:sz w:val="24"/>
          <w:szCs w:val="24"/>
          <w:lang w:eastAsia="zh-CN"/>
        </w:rPr>
        <w:t>，</w:t>
      </w:r>
      <w:r>
        <w:rPr>
          <w:rFonts w:eastAsia="方正仿宋_GBK"/>
          <w:sz w:val="24"/>
          <w:szCs w:val="28"/>
        </w:rPr>
        <w:t>请</w:t>
      </w:r>
      <w:r>
        <w:rPr>
          <w:rFonts w:hint="eastAsia" w:eastAsia="方正仿宋_GBK"/>
          <w:sz w:val="24"/>
          <w:szCs w:val="28"/>
          <w:lang w:val="en-US" w:eastAsia="zh-CN"/>
        </w:rPr>
        <w:t>供应商</w:t>
      </w:r>
      <w:r>
        <w:rPr>
          <w:rFonts w:eastAsia="方正仿宋_GBK"/>
          <w:sz w:val="24"/>
          <w:szCs w:val="28"/>
        </w:rPr>
        <w:t>完整填写本表，没有填写或填</w:t>
      </w:r>
      <w:r>
        <w:rPr>
          <w:rFonts w:hint="eastAsia" w:eastAsia="方正仿宋_GBK"/>
          <w:sz w:val="24"/>
          <w:szCs w:val="28"/>
          <w:lang w:val="en-US" w:eastAsia="zh-CN"/>
        </w:rPr>
        <w:t>写</w:t>
      </w:r>
      <w:r>
        <w:rPr>
          <w:rFonts w:eastAsia="方正仿宋_GBK"/>
          <w:sz w:val="24"/>
          <w:szCs w:val="28"/>
        </w:rPr>
        <w:t>不完整的按无</w:t>
      </w:r>
      <w:r>
        <w:rPr>
          <w:rFonts w:hint="eastAsia" w:ascii="方正仿宋_GBK" w:hAnsi="宋体" w:eastAsia="方正仿宋_GBK"/>
          <w:sz w:val="24"/>
          <w:szCs w:val="28"/>
          <w:lang w:val="en-US" w:eastAsia="zh-CN"/>
        </w:rPr>
        <w:t>服务响应偏离表</w:t>
      </w:r>
      <w:r>
        <w:rPr>
          <w:rFonts w:eastAsia="方正仿宋_GBK"/>
          <w:sz w:val="24"/>
          <w:szCs w:val="28"/>
        </w:rPr>
        <w:t>处理</w:t>
      </w:r>
      <w:r>
        <w:rPr>
          <w:rFonts w:hint="eastAsia" w:ascii="方正仿宋_GBK" w:hAnsi="仿宋" w:eastAsia="方正仿宋_GBK"/>
          <w:sz w:val="24"/>
          <w:szCs w:val="24"/>
        </w:rPr>
        <w:t>。</w:t>
      </w:r>
    </w:p>
    <w:p>
      <w:pPr>
        <w:snapToGrid w:val="0"/>
        <w:spacing w:beforeAutospacing="0" w:afterAutospacing="0" w:line="400" w:lineRule="exact"/>
        <w:ind w:firstLine="480" w:firstLineChars="200"/>
        <w:jc w:val="left"/>
        <w:rPr>
          <w:rFonts w:hint="eastAsia" w:ascii="方正仿宋_GBK" w:hAnsi="宋体" w:eastAsia="方正仿宋_GBK"/>
          <w:sz w:val="24"/>
          <w:szCs w:val="24"/>
        </w:rPr>
      </w:pPr>
      <w:r>
        <w:rPr>
          <w:rFonts w:hint="eastAsia" w:ascii="方正仿宋_GBK" w:hAnsi="仿宋" w:eastAsia="方正仿宋_GBK"/>
          <w:sz w:val="24"/>
          <w:szCs w:val="28"/>
        </w:rPr>
        <w:t>3.</w:t>
      </w:r>
      <w:r>
        <w:rPr>
          <w:rFonts w:hint="eastAsia" w:ascii="方正仿宋_GBK" w:hAnsi="仿宋" w:eastAsia="方正仿宋_GBK"/>
          <w:sz w:val="24"/>
          <w:szCs w:val="28"/>
          <w:lang w:val="en-US" w:eastAsia="zh-CN"/>
        </w:rPr>
        <w:t>响应情况</w:t>
      </w:r>
      <w:r>
        <w:rPr>
          <w:rFonts w:hint="eastAsia" w:ascii="方正仿宋_GBK" w:hAnsi="仿宋" w:eastAsia="方正仿宋_GBK"/>
          <w:sz w:val="24"/>
          <w:szCs w:val="28"/>
        </w:rPr>
        <w:t>栏</w:t>
      </w:r>
      <w:r>
        <w:rPr>
          <w:rFonts w:ascii="方正仿宋_GBK" w:hAnsi="仿宋" w:eastAsia="方正仿宋_GBK"/>
          <w:sz w:val="24"/>
          <w:szCs w:val="28"/>
        </w:rPr>
        <w:t>中</w:t>
      </w:r>
      <w:r>
        <w:rPr>
          <w:rFonts w:hint="eastAsia" w:ascii="方正仿宋_GBK" w:hAnsi="仿宋" w:eastAsia="方正仿宋_GBK"/>
          <w:sz w:val="24"/>
          <w:szCs w:val="28"/>
        </w:rPr>
        <w:t>应当注明</w:t>
      </w:r>
      <w:r>
        <w:rPr>
          <w:rFonts w:ascii="方正仿宋_GBK" w:hAnsi="仿宋" w:eastAsia="方正仿宋_GBK"/>
          <w:sz w:val="24"/>
          <w:szCs w:val="28"/>
        </w:rPr>
        <w:t>具体内容，且必须标注具体内容</w:t>
      </w:r>
      <w:r>
        <w:rPr>
          <w:rFonts w:hint="eastAsia" w:ascii="方正仿宋_GBK" w:hAnsi="仿宋" w:eastAsia="方正仿宋_GBK"/>
          <w:sz w:val="24"/>
          <w:szCs w:val="28"/>
        </w:rPr>
        <w:t>在</w:t>
      </w:r>
      <w:r>
        <w:rPr>
          <w:rFonts w:hint="eastAsia" w:ascii="方正仿宋_GBK" w:hAnsi="仿宋" w:eastAsia="方正仿宋_GBK"/>
          <w:sz w:val="24"/>
          <w:szCs w:val="28"/>
          <w:lang w:val="en-US" w:eastAsia="zh-CN"/>
        </w:rPr>
        <w:t>响应</w:t>
      </w:r>
      <w:r>
        <w:rPr>
          <w:rFonts w:ascii="方正仿宋_GBK" w:hAnsi="仿宋" w:eastAsia="方正仿宋_GBK"/>
          <w:sz w:val="24"/>
          <w:szCs w:val="28"/>
        </w:rPr>
        <w:t>文件中的位置（</w:t>
      </w:r>
      <w:r>
        <w:rPr>
          <w:rFonts w:hint="eastAsia" w:ascii="方正仿宋_GBK" w:hAnsi="仿宋" w:eastAsia="方正仿宋_GBK"/>
          <w:sz w:val="24"/>
          <w:szCs w:val="28"/>
        </w:rPr>
        <w:t>页码</w:t>
      </w:r>
      <w:r>
        <w:rPr>
          <w:rFonts w:ascii="方正仿宋_GBK" w:hAnsi="仿宋" w:eastAsia="方正仿宋_GBK"/>
          <w:sz w:val="24"/>
          <w:szCs w:val="28"/>
        </w:rPr>
        <w:t>）</w:t>
      </w:r>
      <w:r>
        <w:rPr>
          <w:rFonts w:hint="eastAsia" w:ascii="方正仿宋_GBK" w:hAnsi="仿宋" w:eastAsia="方正仿宋_GBK"/>
          <w:sz w:val="24"/>
          <w:szCs w:val="28"/>
        </w:rPr>
        <w:t>。</w:t>
      </w:r>
    </w:p>
    <w:p>
      <w:pPr>
        <w:tabs>
          <w:tab w:val="left" w:pos="6300"/>
        </w:tabs>
        <w:snapToGrid w:val="0"/>
        <w:spacing w:beforeAutospacing="0" w:afterAutospacing="0" w:line="400" w:lineRule="exact"/>
        <w:ind w:firstLine="560" w:firstLineChars="200"/>
        <w:rPr>
          <w:rFonts w:hint="eastAsia" w:ascii="方正仿宋_GBK" w:hAnsi="宋体" w:eastAsia="方正仿宋_GBK"/>
          <w:szCs w:val="24"/>
        </w:rPr>
      </w:pPr>
      <w:r>
        <w:rPr>
          <w:rFonts w:ascii="方正仿宋_GBK" w:hAnsi="宋体" w:eastAsia="方正仿宋_GBK"/>
          <w:szCs w:val="24"/>
        </w:rPr>
        <w:br w:type="page"/>
      </w:r>
      <w:r>
        <w:rPr>
          <w:rFonts w:hint="eastAsia" w:ascii="方正仿宋_GBK" w:hAnsi="宋体" w:eastAsia="方正仿宋_GBK"/>
          <w:sz w:val="24"/>
          <w:szCs w:val="24"/>
        </w:rPr>
        <w:t>（二）其他资料（格式自定）</w:t>
      </w:r>
    </w:p>
    <w:p>
      <w:pPr>
        <w:pStyle w:val="2"/>
        <w:adjustRightInd w:val="0"/>
        <w:snapToGrid w:val="0"/>
        <w:spacing w:before="0" w:beforeAutospacing="0" w:after="0" w:afterAutospacing="0" w:line="400" w:lineRule="exact"/>
        <w:ind w:firstLine="640" w:firstLineChars="200"/>
        <w:rPr>
          <w:rFonts w:hint="eastAsia" w:ascii="方正仿宋_GBK" w:hAnsi="宋体" w:eastAsia="方正仿宋_GBK"/>
          <w:sz w:val="24"/>
        </w:rPr>
      </w:pPr>
      <w:bookmarkStart w:id="105" w:name="_Toc313888362"/>
      <w:bookmarkEnd w:id="105"/>
      <w:bookmarkStart w:id="106" w:name="_Toc106030908"/>
      <w:bookmarkEnd w:id="106"/>
      <w:bookmarkStart w:id="107" w:name="_Toc342913421"/>
      <w:bookmarkEnd w:id="107"/>
      <w:bookmarkStart w:id="108" w:name="_Toc76462352"/>
      <w:bookmarkEnd w:id="108"/>
      <w:bookmarkStart w:id="109" w:name="_Toc313008358"/>
      <w:bookmarkEnd w:id="109"/>
      <w:r>
        <w:rPr>
          <w:rFonts w:ascii="方正仿宋_GBK" w:eastAsia="方正仿宋_GBK"/>
          <w:b w:val="0"/>
        </w:rPr>
        <w:br w:type="page"/>
      </w:r>
      <w:r>
        <w:rPr>
          <w:rFonts w:hint="eastAsia" w:ascii="方正仿宋_GBK" w:hAnsi="宋体" w:eastAsia="方正仿宋_GBK"/>
          <w:sz w:val="24"/>
        </w:rPr>
        <w:t>三、商务部分</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（一）商务响应偏离表</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项目号：                                </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 xml:space="preserve">磋商项目名称： </w:t>
      </w:r>
    </w:p>
    <w:tbl>
      <w:tblPr>
        <w:tblStyle w:val="13"/>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3179"/>
        <w:gridCol w:w="2434"/>
        <w:gridCol w:w="2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510" w:type="dxa"/>
            <w:vAlign w:val="center"/>
          </w:tcPr>
          <w:p>
            <w:pPr>
              <w:snapToGrid w:val="0"/>
              <w:spacing w:beforeAutospacing="0" w:afterAutospacing="0" w:line="360" w:lineRule="auto"/>
              <w:ind w:firstLine="465"/>
              <w:rPr>
                <w:rFonts w:hint="eastAsia" w:ascii="方正仿宋_GBK" w:hAnsi="宋体" w:eastAsia="方正仿宋_GBK"/>
                <w:sz w:val="21"/>
                <w:szCs w:val="24"/>
              </w:rPr>
            </w:pPr>
            <w:r>
              <w:rPr>
                <w:rFonts w:hint="eastAsia" w:ascii="方正仿宋_GBK" w:hAnsi="宋体" w:eastAsia="方正仿宋_GBK"/>
                <w:sz w:val="21"/>
                <w:szCs w:val="24"/>
              </w:rPr>
              <w:t>序号</w:t>
            </w: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磋商项目商务需求</w:t>
            </w: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响应情况</w:t>
            </w: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r>
              <w:rPr>
                <w:rFonts w:hint="eastAsia" w:ascii="方正仿宋_GBK" w:hAnsi="宋体" w:eastAsia="方正仿宋_GBK"/>
                <w:sz w:val="21"/>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510"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3179"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434"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c>
          <w:tcPr>
            <w:tcW w:w="2355" w:type="dxa"/>
            <w:vAlign w:val="center"/>
          </w:tcPr>
          <w:p>
            <w:pPr>
              <w:tabs>
                <w:tab w:val="left" w:pos="6300"/>
              </w:tabs>
              <w:snapToGrid w:val="0"/>
              <w:spacing w:beforeAutospacing="0" w:afterAutospacing="0" w:line="360" w:lineRule="auto"/>
              <w:jc w:val="center"/>
              <w:outlineLvl w:val="0"/>
              <w:rPr>
                <w:rFonts w:hint="eastAsia" w:ascii="方正仿宋_GBK" w:hAnsi="宋体" w:eastAsia="方正仿宋_GBK"/>
                <w:sz w:val="21"/>
                <w:szCs w:val="24"/>
              </w:rPr>
            </w:pPr>
          </w:p>
        </w:tc>
      </w:tr>
    </w:tbl>
    <w:p>
      <w:pPr>
        <w:snapToGrid w:val="0"/>
        <w:spacing w:beforeAutospacing="0" w:afterAutospacing="0" w:line="360" w:lineRule="auto"/>
        <w:ind w:firstLine="465"/>
        <w:rPr>
          <w:rFonts w:hint="eastAsia" w:ascii="方正仿宋_GBK" w:hAnsi="宋体" w:eastAsia="方正仿宋_GBK"/>
          <w:sz w:val="24"/>
          <w:szCs w:val="24"/>
        </w:rPr>
      </w:pPr>
    </w:p>
    <w:p>
      <w:pPr>
        <w:spacing w:beforeAutospacing="0" w:afterAutospacing="0" w:line="500" w:lineRule="exact"/>
        <w:ind w:firstLine="600" w:firstLineChars="250"/>
        <w:rPr>
          <w:rFonts w:hint="eastAsia" w:ascii="方正仿宋_GBK" w:hAnsi="宋体" w:eastAsia="方正仿宋_GBK"/>
          <w:sz w:val="24"/>
          <w:szCs w:val="28"/>
        </w:rPr>
      </w:pPr>
      <w:r>
        <w:rPr>
          <w:rFonts w:hint="eastAsia" w:ascii="方正仿宋_GBK" w:hAnsi="宋体" w:eastAsia="方正仿宋_GBK"/>
          <w:sz w:val="24"/>
          <w:szCs w:val="28"/>
        </w:rPr>
        <w:t xml:space="preserve">供应商：                          </w:t>
      </w:r>
      <w:r>
        <w:rPr>
          <w:rFonts w:hint="eastAsia" w:ascii="方正仿宋_GBK" w:hAnsi="宋体" w:eastAsia="方正仿宋_GBK"/>
          <w:sz w:val="24"/>
          <w:szCs w:val="24"/>
        </w:rPr>
        <w:t>法定代表人（或其授权代表）或自然人：</w:t>
      </w:r>
    </w:p>
    <w:p>
      <w:pPr>
        <w:spacing w:beforeAutospacing="0" w:afterAutospacing="0" w:line="500" w:lineRule="exact"/>
        <w:rPr>
          <w:rFonts w:hint="eastAsia" w:ascii="方正仿宋_GBK" w:hAnsi="宋体" w:eastAsia="方正仿宋_GBK"/>
          <w:sz w:val="24"/>
          <w:szCs w:val="28"/>
        </w:rPr>
      </w:pPr>
      <w:r>
        <w:rPr>
          <w:rFonts w:hint="eastAsia" w:ascii="方正仿宋_GBK" w:hAnsi="宋体" w:eastAsia="方正仿宋_GBK"/>
          <w:sz w:val="24"/>
          <w:szCs w:val="28"/>
        </w:rPr>
        <w:t xml:space="preserve">    </w:t>
      </w:r>
    </w:p>
    <w:p>
      <w:pPr>
        <w:spacing w:beforeAutospacing="0" w:afterAutospacing="0" w:line="500" w:lineRule="exact"/>
        <w:ind w:firstLine="360" w:firstLineChars="150"/>
        <w:rPr>
          <w:rFonts w:hint="eastAsia" w:ascii="方正仿宋_GBK" w:hAnsi="宋体" w:eastAsia="方正仿宋_GBK"/>
          <w:sz w:val="24"/>
          <w:szCs w:val="28"/>
        </w:rPr>
      </w:pPr>
      <w:r>
        <w:rPr>
          <w:rFonts w:hint="eastAsia" w:ascii="方正仿宋_GBK" w:hAnsi="宋体" w:eastAsia="方正仿宋_GBK"/>
          <w:sz w:val="24"/>
          <w:szCs w:val="28"/>
        </w:rPr>
        <w:t>（供应商公章）                                 （签署或盖章）</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szCs w:val="28"/>
        </w:rPr>
        <w:t xml:space="preserve">                                            年     月     日</w:t>
      </w:r>
    </w:p>
    <w:p>
      <w:pPr>
        <w:tabs>
          <w:tab w:val="left" w:pos="6300"/>
        </w:tabs>
        <w:snapToGrid w:val="0"/>
        <w:spacing w:beforeAutospacing="0" w:afterAutospacing="0" w:line="400" w:lineRule="exact"/>
        <w:ind w:firstLine="480" w:firstLineChars="200"/>
        <w:rPr>
          <w:rFonts w:hint="eastAsia" w:ascii="方正仿宋_GBK" w:hAnsi="宋体" w:eastAsia="方正仿宋_GBK"/>
          <w:sz w:val="24"/>
        </w:rPr>
      </w:pPr>
      <w:r>
        <w:rPr>
          <w:rFonts w:hint="eastAsia" w:ascii="方正仿宋_GBK" w:hAnsi="宋体" w:eastAsia="方正仿宋_GBK"/>
          <w:sz w:val="24"/>
        </w:rPr>
        <w:t>注：</w:t>
      </w:r>
    </w:p>
    <w:p>
      <w:pPr>
        <w:tabs>
          <w:tab w:val="left" w:pos="6300"/>
        </w:tabs>
        <w:snapToGrid w:val="0"/>
        <w:spacing w:beforeAutospacing="0" w:afterAutospacing="0" w:line="4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4"/>
        </w:rPr>
        <w:t>1</w:t>
      </w:r>
      <w:r>
        <w:rPr>
          <w:rFonts w:hint="eastAsia" w:ascii="方正仿宋_GBK" w:hAnsi="宋体" w:eastAsia="方正仿宋_GBK"/>
          <w:sz w:val="24"/>
        </w:rPr>
        <w:t>.</w:t>
      </w:r>
      <w:r>
        <w:rPr>
          <w:rFonts w:hint="eastAsia" w:ascii="方正仿宋_GBK" w:hAnsi="仿宋" w:eastAsia="方正仿宋_GBK"/>
          <w:sz w:val="24"/>
          <w:szCs w:val="24"/>
        </w:rPr>
        <w:t>本表即为对本项目“第三篇  项目商务需求”中所列条款进行比较和响应；</w:t>
      </w:r>
    </w:p>
    <w:p>
      <w:pPr>
        <w:tabs>
          <w:tab w:val="left" w:pos="6300"/>
        </w:tabs>
        <w:snapToGrid w:val="0"/>
        <w:spacing w:beforeAutospacing="0" w:afterAutospacing="0" w:line="480" w:lineRule="exact"/>
        <w:ind w:firstLine="480" w:firstLineChars="200"/>
        <w:rPr>
          <w:rFonts w:hint="eastAsia" w:ascii="方正仿宋_GBK" w:hAnsi="仿宋" w:eastAsia="方正仿宋_GBK"/>
          <w:sz w:val="24"/>
          <w:szCs w:val="24"/>
        </w:rPr>
      </w:pPr>
      <w:r>
        <w:rPr>
          <w:rFonts w:hint="eastAsia" w:ascii="方正仿宋_GBK" w:hAnsi="宋体" w:eastAsia="方正仿宋_GBK"/>
          <w:sz w:val="24"/>
        </w:rPr>
        <w:t>2.本表可扩展</w:t>
      </w:r>
      <w:r>
        <w:rPr>
          <w:rFonts w:hint="eastAsia" w:ascii="方正仿宋_GBK" w:hAnsi="仿宋" w:eastAsia="方正仿宋_GBK"/>
          <w:sz w:val="24"/>
          <w:szCs w:val="24"/>
          <w:lang w:eastAsia="zh-CN"/>
        </w:rPr>
        <w:t>，</w:t>
      </w:r>
      <w:r>
        <w:rPr>
          <w:rFonts w:eastAsia="方正仿宋_GBK"/>
          <w:sz w:val="24"/>
          <w:szCs w:val="28"/>
        </w:rPr>
        <w:t>请</w:t>
      </w:r>
      <w:r>
        <w:rPr>
          <w:rFonts w:hint="eastAsia" w:eastAsia="方正仿宋_GBK"/>
          <w:sz w:val="24"/>
          <w:szCs w:val="28"/>
          <w:lang w:val="en-US" w:eastAsia="zh-CN"/>
        </w:rPr>
        <w:t>供应商</w:t>
      </w:r>
      <w:r>
        <w:rPr>
          <w:rFonts w:eastAsia="方正仿宋_GBK"/>
          <w:sz w:val="24"/>
          <w:szCs w:val="28"/>
        </w:rPr>
        <w:t>完整填写本表，没有填写或填</w:t>
      </w:r>
      <w:r>
        <w:rPr>
          <w:rFonts w:hint="eastAsia" w:eastAsia="方正仿宋_GBK"/>
          <w:sz w:val="24"/>
          <w:szCs w:val="28"/>
          <w:lang w:val="en-US" w:eastAsia="zh-CN"/>
        </w:rPr>
        <w:t>写</w:t>
      </w:r>
      <w:r>
        <w:rPr>
          <w:rFonts w:eastAsia="方正仿宋_GBK"/>
          <w:sz w:val="24"/>
          <w:szCs w:val="28"/>
        </w:rPr>
        <w:t>不完整的按无</w:t>
      </w:r>
      <w:r>
        <w:rPr>
          <w:rFonts w:hint="eastAsia" w:ascii="方正仿宋_GBK" w:hAnsi="宋体" w:eastAsia="方正仿宋_GBK"/>
          <w:sz w:val="24"/>
          <w:szCs w:val="28"/>
          <w:lang w:val="en-US" w:eastAsia="zh-CN"/>
        </w:rPr>
        <w:t>商务响应偏离表</w:t>
      </w:r>
      <w:r>
        <w:rPr>
          <w:rFonts w:eastAsia="方正仿宋_GBK"/>
          <w:sz w:val="24"/>
          <w:szCs w:val="28"/>
        </w:rPr>
        <w:t>处理</w:t>
      </w:r>
      <w:r>
        <w:rPr>
          <w:rFonts w:hint="eastAsia" w:ascii="方正仿宋_GBK" w:hAnsi="仿宋" w:eastAsia="方正仿宋_GBK"/>
          <w:sz w:val="24"/>
          <w:szCs w:val="24"/>
        </w:rPr>
        <w:t>。</w:t>
      </w:r>
    </w:p>
    <w:p>
      <w:pPr>
        <w:snapToGrid w:val="0"/>
        <w:spacing w:beforeAutospacing="0" w:afterAutospacing="0" w:line="400" w:lineRule="exact"/>
        <w:ind w:firstLine="480" w:firstLineChars="200"/>
        <w:rPr>
          <w:rFonts w:hint="eastAsia" w:ascii="方正仿宋_GBK" w:eastAsia="方正仿宋_GBK"/>
          <w:b/>
        </w:rPr>
        <w:sectPr>
          <w:pgSz w:w="11907" w:h="16840"/>
          <w:pgMar w:top="1134" w:right="1191" w:bottom="1134" w:left="1304" w:header="851" w:footer="992" w:gutter="0"/>
          <w:pgNumType w:fmt="numberInDash"/>
          <w:cols w:space="720" w:num="1"/>
          <w:docGrid w:linePitch="380" w:charSpace="-5735"/>
        </w:sectPr>
      </w:pPr>
      <w:r>
        <w:rPr>
          <w:rFonts w:hint="eastAsia" w:ascii="方正仿宋_GBK" w:hAnsi="仿宋" w:eastAsia="方正仿宋_GBK"/>
          <w:sz w:val="24"/>
          <w:szCs w:val="28"/>
        </w:rPr>
        <w:t>3.</w:t>
      </w:r>
      <w:r>
        <w:rPr>
          <w:rFonts w:hint="eastAsia" w:ascii="方正仿宋_GBK" w:hAnsi="仿宋" w:eastAsia="方正仿宋_GBK"/>
          <w:sz w:val="24"/>
          <w:szCs w:val="28"/>
          <w:lang w:val="en-US" w:eastAsia="zh-CN"/>
        </w:rPr>
        <w:t>响应情况</w:t>
      </w:r>
      <w:r>
        <w:rPr>
          <w:rFonts w:hint="eastAsia" w:ascii="方正仿宋_GBK" w:hAnsi="仿宋" w:eastAsia="方正仿宋_GBK"/>
          <w:sz w:val="24"/>
          <w:szCs w:val="28"/>
        </w:rPr>
        <w:t>栏</w:t>
      </w:r>
      <w:r>
        <w:rPr>
          <w:rFonts w:ascii="方正仿宋_GBK" w:hAnsi="仿宋" w:eastAsia="方正仿宋_GBK"/>
          <w:sz w:val="24"/>
          <w:szCs w:val="28"/>
        </w:rPr>
        <w:t>中</w:t>
      </w:r>
      <w:r>
        <w:rPr>
          <w:rFonts w:hint="eastAsia" w:ascii="方正仿宋_GBK" w:hAnsi="仿宋" w:eastAsia="方正仿宋_GBK"/>
          <w:sz w:val="24"/>
          <w:szCs w:val="28"/>
        </w:rPr>
        <w:t>应当注明</w:t>
      </w:r>
      <w:r>
        <w:rPr>
          <w:rFonts w:ascii="方正仿宋_GBK" w:hAnsi="仿宋" w:eastAsia="方正仿宋_GBK"/>
          <w:sz w:val="24"/>
          <w:szCs w:val="28"/>
        </w:rPr>
        <w:t>具体内容，且必须标注具体内容</w:t>
      </w:r>
      <w:r>
        <w:rPr>
          <w:rFonts w:hint="eastAsia" w:ascii="方正仿宋_GBK" w:hAnsi="仿宋" w:eastAsia="方正仿宋_GBK"/>
          <w:sz w:val="24"/>
          <w:szCs w:val="28"/>
        </w:rPr>
        <w:t>在</w:t>
      </w:r>
      <w:r>
        <w:rPr>
          <w:rFonts w:hint="eastAsia" w:ascii="方正仿宋_GBK" w:hAnsi="仿宋" w:eastAsia="方正仿宋_GBK"/>
          <w:sz w:val="24"/>
          <w:szCs w:val="28"/>
          <w:lang w:val="en-US" w:eastAsia="zh-CN"/>
        </w:rPr>
        <w:t>响应</w:t>
      </w:r>
      <w:r>
        <w:rPr>
          <w:rFonts w:ascii="方正仿宋_GBK" w:hAnsi="仿宋" w:eastAsia="方正仿宋_GBK"/>
          <w:sz w:val="24"/>
          <w:szCs w:val="28"/>
        </w:rPr>
        <w:t>文件中的位置（</w:t>
      </w:r>
      <w:r>
        <w:rPr>
          <w:rFonts w:hint="eastAsia" w:ascii="方正仿宋_GBK" w:hAnsi="仿宋" w:eastAsia="方正仿宋_GBK"/>
          <w:sz w:val="24"/>
          <w:szCs w:val="28"/>
        </w:rPr>
        <w:t>页码</w:t>
      </w:r>
      <w:r>
        <w:rPr>
          <w:rFonts w:ascii="方正仿宋_GBK" w:hAnsi="仿宋" w:eastAsia="方正仿宋_GBK"/>
          <w:sz w:val="24"/>
          <w:szCs w:val="28"/>
        </w:rPr>
        <w:t>）</w:t>
      </w:r>
      <w:r>
        <w:rPr>
          <w:rFonts w:hint="eastAsia" w:ascii="方正仿宋_GBK" w:hAnsi="仿宋" w:eastAsia="方正仿宋_GBK"/>
          <w:sz w:val="24"/>
          <w:szCs w:val="28"/>
        </w:rPr>
        <w:t>。</w:t>
      </w:r>
    </w:p>
    <w:p>
      <w:pPr>
        <w:snapToGrid w:val="0"/>
        <w:spacing w:beforeAutospacing="0" w:afterAutospacing="0" w:line="400" w:lineRule="exact"/>
        <w:ind w:firstLine="480" w:firstLineChars="200"/>
        <w:rPr>
          <w:rFonts w:hint="eastAsia" w:ascii="方正仿宋_GBK" w:hAnsi="宋体" w:eastAsia="方正仿宋_GBK"/>
          <w:sz w:val="24"/>
          <w:szCs w:val="24"/>
          <w:lang w:eastAsia="zh-CN"/>
        </w:rPr>
      </w:pPr>
      <w:bookmarkStart w:id="110" w:name="_Toc283382459"/>
      <w:r>
        <w:rPr>
          <w:rFonts w:hint="eastAsia" w:ascii="方正仿宋_GBK" w:hAnsi="宋体" w:eastAsia="方正仿宋_GBK"/>
          <w:sz w:val="24"/>
          <w:szCs w:val="24"/>
        </w:rPr>
        <w:t>（二）</w:t>
      </w:r>
      <w:r>
        <w:rPr>
          <w:rFonts w:hint="eastAsia" w:ascii="方正仿宋_GBK" w:hAnsi="宋体" w:eastAsia="方正仿宋_GBK" w:cs="Times New Roman"/>
          <w:kern w:val="2"/>
          <w:sz w:val="24"/>
          <w:szCs w:val="24"/>
          <w:lang w:val="en-US" w:eastAsia="zh-CN" w:bidi="ar-SA"/>
        </w:rPr>
        <w:t>成本测算方案</w:t>
      </w:r>
    </w:p>
    <w:p>
      <w:pPr>
        <w:pStyle w:val="2"/>
        <w:adjustRightInd w:val="0"/>
        <w:snapToGrid w:val="0"/>
        <w:spacing w:before="0" w:beforeAutospacing="0" w:after="0" w:afterAutospacing="0" w:line="400" w:lineRule="exact"/>
        <w:ind w:firstLine="480" w:firstLineChars="200"/>
        <w:rPr>
          <w:rFonts w:hint="default" w:ascii="方正仿宋_GBK" w:hAnsi="宋体" w:eastAsia="方正仿宋_GBK" w:cs="Times New Roman"/>
          <w:b w:val="0"/>
          <w:kern w:val="2"/>
          <w:sz w:val="24"/>
          <w:szCs w:val="24"/>
          <w:lang w:val="en-US" w:eastAsia="zh-CN" w:bidi="ar-SA"/>
        </w:rPr>
      </w:pPr>
      <w:r>
        <w:rPr>
          <w:rFonts w:hint="eastAsia" w:ascii="方正仿宋_GBK" w:hAnsi="宋体" w:eastAsia="方正仿宋_GBK" w:cs="Times New Roman"/>
          <w:b w:val="0"/>
          <w:kern w:val="2"/>
          <w:sz w:val="24"/>
          <w:szCs w:val="24"/>
          <w:lang w:val="en-US" w:eastAsia="zh-CN" w:bidi="ar-SA"/>
        </w:rPr>
        <w:t>（三）企业管理</w:t>
      </w:r>
    </w:p>
    <w:bookmarkEnd w:id="110"/>
    <w:p>
      <w:pPr>
        <w:pStyle w:val="2"/>
        <w:adjustRightInd w:val="0"/>
        <w:snapToGrid w:val="0"/>
        <w:spacing w:before="0" w:beforeAutospacing="0" w:after="0" w:afterAutospacing="0" w:line="400" w:lineRule="exact"/>
        <w:ind w:firstLine="480" w:firstLineChars="200"/>
        <w:rPr>
          <w:rFonts w:hint="eastAsia" w:ascii="方正仿宋_GBK" w:hAnsi="宋体" w:eastAsia="方正仿宋_GBK"/>
          <w:sz w:val="24"/>
        </w:rPr>
      </w:pPr>
      <w:bookmarkStart w:id="111" w:name="_Toc313888363"/>
      <w:bookmarkEnd w:id="111"/>
      <w:bookmarkStart w:id="112" w:name="_Toc106030909"/>
      <w:bookmarkEnd w:id="112"/>
      <w:bookmarkStart w:id="113" w:name="_Toc342913422"/>
      <w:bookmarkEnd w:id="113"/>
      <w:bookmarkStart w:id="114" w:name="_Toc313008359"/>
      <w:bookmarkEnd w:id="114"/>
      <w:bookmarkStart w:id="115" w:name="_Toc76462353"/>
      <w:bookmarkEnd w:id="115"/>
      <w:r>
        <w:rPr>
          <w:rFonts w:hint="eastAsia" w:ascii="方正仿宋_GBK" w:hAnsi="宋体" w:eastAsia="方正仿宋_GBK" w:cs="Times New Roman"/>
          <w:b w:val="0"/>
          <w:kern w:val="2"/>
          <w:sz w:val="24"/>
          <w:szCs w:val="24"/>
          <w:lang w:val="en-US" w:eastAsia="zh-CN" w:bidi="ar-SA"/>
        </w:rPr>
        <w:t>（四）业绩</w:t>
      </w:r>
      <w:r>
        <w:rPr>
          <w:rFonts w:ascii="方正仿宋_GBK" w:hAnsi="宋体" w:eastAsia="方正仿宋_GBK"/>
          <w:sz w:val="24"/>
          <w:szCs w:val="24"/>
        </w:rPr>
        <w:br w:type="page"/>
      </w:r>
      <w:r>
        <w:rPr>
          <w:rFonts w:hint="eastAsia" w:ascii="方正仿宋_GBK" w:hAnsi="宋体" w:eastAsia="方正仿宋_GBK"/>
          <w:sz w:val="24"/>
          <w:szCs w:val="24"/>
          <w:lang w:val="en-US" w:eastAsia="zh-CN"/>
        </w:rPr>
        <w:t xml:space="preserve">    </w:t>
      </w:r>
      <w:r>
        <w:rPr>
          <w:rFonts w:hint="eastAsia" w:ascii="方正仿宋_GBK" w:hAnsi="宋体" w:eastAsia="方正仿宋_GBK"/>
          <w:sz w:val="24"/>
        </w:rPr>
        <w:t>四、资格条件</w:t>
      </w:r>
    </w:p>
    <w:p>
      <w:pPr>
        <w:tabs>
          <w:tab w:val="left" w:pos="6300"/>
        </w:tabs>
        <w:snapToGrid w:val="0"/>
        <w:spacing w:beforeAutospacing="0" w:afterAutospacing="0" w:line="400" w:lineRule="exact"/>
        <w:ind w:firstLine="570"/>
        <w:rPr>
          <w:rFonts w:hint="eastAsia" w:ascii="方正仿宋_GBK" w:hAnsi="宋体" w:eastAsia="方正仿宋_GBK"/>
          <w:sz w:val="24"/>
          <w:szCs w:val="24"/>
        </w:rPr>
      </w:pPr>
      <w:r>
        <w:rPr>
          <w:rFonts w:hint="eastAsia" w:ascii="方正仿宋_GBK" w:hAnsi="宋体" w:eastAsia="方正仿宋_GBK"/>
          <w:sz w:val="24"/>
          <w:szCs w:val="24"/>
        </w:rPr>
        <w:t>（一）法人营业执照（副本）或事业单位法人证书（副本）或个体工商户营业执照或有效的自然人身份证明或社会团体法人登记证书复印件</w:t>
      </w:r>
    </w:p>
    <w:p>
      <w:pPr>
        <w:tabs>
          <w:tab w:val="left" w:pos="6300"/>
        </w:tabs>
        <w:snapToGrid w:val="0"/>
        <w:spacing w:beforeAutospacing="0" w:afterAutospacing="0" w:line="400" w:lineRule="exact"/>
        <w:ind w:firstLine="570"/>
        <w:rPr>
          <w:rFonts w:hint="eastAsia" w:ascii="方正仿宋_GBK" w:hAnsi="宋体" w:eastAsia="方正仿宋_GBK"/>
        </w:rPr>
      </w:pPr>
    </w:p>
    <w:p>
      <w:pPr>
        <w:tabs>
          <w:tab w:val="left" w:pos="6300"/>
        </w:tabs>
        <w:snapToGrid w:val="0"/>
        <w:spacing w:beforeAutospacing="0" w:afterAutospacing="0" w:line="500" w:lineRule="exact"/>
        <w:ind w:firstLine="570"/>
        <w:rPr>
          <w:rFonts w:hint="eastAsia" w:ascii="方正仿宋_GBK" w:hAnsi="宋体" w:eastAsia="方正仿宋_GBK"/>
        </w:rPr>
      </w:pPr>
    </w:p>
    <w:p>
      <w:pPr>
        <w:tabs>
          <w:tab w:val="left" w:pos="6300"/>
        </w:tabs>
        <w:snapToGrid w:val="0"/>
        <w:spacing w:beforeAutospacing="0" w:afterAutospacing="0" w:line="500" w:lineRule="exact"/>
        <w:ind w:firstLine="570"/>
        <w:rPr>
          <w:rFonts w:hint="eastAsia" w:ascii="方正仿宋_GBK" w:hAnsi="宋体" w:eastAsia="方正仿宋_GBK"/>
        </w:rPr>
      </w:pPr>
    </w:p>
    <w:p>
      <w:pPr>
        <w:tabs>
          <w:tab w:val="left" w:pos="6300"/>
        </w:tabs>
        <w:snapToGrid w:val="0"/>
        <w:spacing w:beforeAutospacing="0" w:afterAutospacing="0" w:line="500" w:lineRule="exact"/>
        <w:ind w:firstLine="570"/>
        <w:rPr>
          <w:rFonts w:hint="eastAsia" w:ascii="方正仿宋_GBK" w:hAnsi="宋体" w:eastAsia="方正仿宋_GBK"/>
        </w:rPr>
      </w:pPr>
    </w:p>
    <w:p>
      <w:pPr>
        <w:tabs>
          <w:tab w:val="left" w:pos="6300"/>
        </w:tabs>
        <w:snapToGrid w:val="0"/>
        <w:spacing w:beforeAutospacing="0" w:afterAutospacing="0" w:line="500" w:lineRule="exact"/>
        <w:ind w:firstLine="570"/>
        <w:rPr>
          <w:rFonts w:hint="eastAsia" w:ascii="方正仿宋_GBK" w:hAnsi="宋体" w:eastAsia="方正仿宋_GBK"/>
        </w:rPr>
      </w:pPr>
    </w:p>
    <w:p>
      <w:pPr>
        <w:snapToGrid w:val="0"/>
        <w:spacing w:beforeAutospacing="0" w:afterAutospacing="0" w:line="400" w:lineRule="exact"/>
        <w:ind w:firstLine="560" w:firstLineChars="200"/>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（二）法定代表人身份证明书（格式）</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磋商项目名称：</w:t>
      </w:r>
      <w:r>
        <w:rPr>
          <w:rFonts w:hint="eastAsia" w:ascii="方正仿宋_GBK" w:hAnsi="宋体" w:eastAsia="方正仿宋_GBK"/>
          <w:sz w:val="24"/>
          <w:u w:val="single"/>
        </w:rPr>
        <w:t xml:space="preserve">                                                </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beforeAutospacing="0" w:afterAutospacing="0" w:line="500" w:lineRule="exact"/>
        <w:ind w:firstLine="570"/>
        <w:rPr>
          <w:rFonts w:hint="eastAsia" w:ascii="方正仿宋_GBK" w:hAnsi="仿宋" w:eastAsia="方正仿宋_GBK"/>
          <w:sz w:val="24"/>
        </w:rPr>
      </w:pPr>
      <w:r>
        <w:rPr>
          <w:rFonts w:hint="eastAsia" w:ascii="方正仿宋_GBK" w:hAnsi="仿宋" w:eastAsia="方正仿宋_GBK"/>
          <w:sz w:val="24"/>
        </w:rPr>
        <w:t>法定代表人电话：XXXXXXX      电子邮箱：XXXXXX@XXXXX（若授权他人办理并签署响应文件的可不填写）</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仿宋" w:eastAsia="方正仿宋_GBK"/>
          <w:sz w:val="24"/>
        </w:rPr>
        <w:t>（附：法定代表人身份证正反面复印件）</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snapToGrid w:val="0"/>
        <w:spacing w:beforeAutospacing="0" w:afterAutospacing="0" w:line="400" w:lineRule="exact"/>
        <w:ind w:firstLine="560" w:firstLineChars="200"/>
        <w:rPr>
          <w:rFonts w:hint="eastAsia" w:ascii="方正仿宋_GBK" w:hAnsi="宋体" w:eastAsia="方正仿宋_GBK"/>
          <w:sz w:val="24"/>
          <w:szCs w:val="24"/>
        </w:rPr>
      </w:pPr>
      <w:r>
        <w:br w:type="column"/>
      </w:r>
      <w:r>
        <w:rPr>
          <w:rFonts w:hint="eastAsia" w:ascii="方正仿宋_GBK" w:hAnsi="宋体" w:eastAsia="方正仿宋_GBK"/>
          <w:sz w:val="24"/>
          <w:szCs w:val="24"/>
        </w:rPr>
        <w:t>（三）法定代表人授权委托书（格式）</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szCs w:val="28"/>
        </w:rPr>
        <w:t>磋商项目名称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rPr>
          <w:rFonts w:hint="eastAsia"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（采购代理机构名称）：</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（被授权人姓名及身份证代码）代表我单位全权办理上述项目的磋商、签约等具体工作，并签署全部有关文件、协议及合同。</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我单位对被授权人的</w:t>
      </w:r>
      <w:r>
        <w:rPr>
          <w:rFonts w:hint="eastAsia" w:ascii="方正仿宋_GBK" w:hAnsi="宋体" w:eastAsia="方正仿宋_GBK"/>
          <w:sz w:val="24"/>
          <w:szCs w:val="28"/>
        </w:rPr>
        <w:t>签署</w:t>
      </w:r>
      <w:r>
        <w:rPr>
          <w:rFonts w:hint="eastAsia" w:ascii="方正仿宋_GBK" w:hAnsi="宋体" w:eastAsia="方正仿宋_GBK"/>
          <w:sz w:val="24"/>
        </w:rPr>
        <w:t>负全部责任。</w:t>
      </w:r>
    </w:p>
    <w:p>
      <w:pPr>
        <w:tabs>
          <w:tab w:val="left" w:pos="6300"/>
        </w:tabs>
        <w:snapToGrid w:val="0"/>
        <w:spacing w:beforeAutospacing="0" w:afterAutospacing="0" w:line="500" w:lineRule="exact"/>
        <w:ind w:firstLine="480" w:firstLineChars="200"/>
        <w:rPr>
          <w:rFonts w:hint="eastAsia" w:ascii="方正仿宋_GBK" w:hAnsi="宋体" w:eastAsia="方正仿宋_GBK"/>
          <w:sz w:val="24"/>
        </w:rPr>
      </w:pPr>
      <w:r>
        <w:rPr>
          <w:rFonts w:hint="eastAsia" w:ascii="方正仿宋_GBK" w:hAnsi="宋体" w:eastAsia="方正仿宋_GBK"/>
          <w:sz w:val="24"/>
        </w:rPr>
        <w:t>在撤销授权的书面通知以前，本授权书一直有效。被授权人在授权书有效期内签署的所有文件不因授权的撤销而失效。</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beforeAutospacing="0" w:afterAutospacing="0" w:line="500" w:lineRule="exact"/>
        <w:ind w:firstLine="570"/>
        <w:rPr>
          <w:rFonts w:hint="eastAsia" w:ascii="方正仿宋_GBK" w:hAnsi="宋体" w:eastAsia="方正仿宋_GBK"/>
          <w:sz w:val="24"/>
          <w:szCs w:val="28"/>
        </w:rPr>
      </w:pPr>
      <w:r>
        <w:rPr>
          <w:rFonts w:hint="eastAsia" w:ascii="方正仿宋_GBK" w:hAnsi="宋体" w:eastAsia="方正仿宋_GBK"/>
          <w:sz w:val="24"/>
          <w:szCs w:val="28"/>
        </w:rPr>
        <w:t>（签署或盖章）                                （签署或盖章）</w:t>
      </w:r>
    </w:p>
    <w:p>
      <w:pPr>
        <w:tabs>
          <w:tab w:val="left" w:pos="6300"/>
        </w:tabs>
        <w:snapToGrid w:val="0"/>
        <w:spacing w:beforeAutospacing="0" w:afterAutospacing="0" w:line="500" w:lineRule="exact"/>
        <w:ind w:firstLine="570"/>
        <w:rPr>
          <w:rFonts w:hint="eastAsia" w:ascii="方正仿宋_GBK" w:hAnsi="宋体" w:eastAsia="方正仿宋_GBK"/>
          <w:sz w:val="24"/>
          <w:szCs w:val="28"/>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beforeAutospacing="0" w:afterAutospacing="0" w:line="500" w:lineRule="exact"/>
        <w:ind w:firstLine="570"/>
        <w:rPr>
          <w:rFonts w:hint="eastAsia"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firstLine="570"/>
        <w:rPr>
          <w:rFonts w:hint="eastAsia" w:ascii="方正仿宋_GBK" w:hAnsi="宋体" w:eastAsia="方正仿宋_GBK"/>
          <w:sz w:val="24"/>
        </w:rPr>
      </w:pPr>
    </w:p>
    <w:p>
      <w:pPr>
        <w:tabs>
          <w:tab w:val="left" w:pos="6300"/>
        </w:tabs>
        <w:snapToGrid w:val="0"/>
        <w:spacing w:beforeAutospacing="0" w:afterAutospacing="0"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beforeAutospacing="0" w:afterAutospacing="0" w:line="500" w:lineRule="exact"/>
        <w:ind w:right="480" w:firstLine="570"/>
        <w:jc w:val="right"/>
        <w:rPr>
          <w:rFonts w:hint="eastAsia"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beforeAutospacing="0" w:afterAutospacing="0"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被授权人电话：XXXXXXX     电子邮箱：XXXXXX@XXXXX（若法定代表人办理并签署响应文件的可不填写）</w:t>
      </w:r>
    </w:p>
    <w:p>
      <w:pPr>
        <w:tabs>
          <w:tab w:val="left" w:pos="6300"/>
        </w:tabs>
        <w:snapToGrid w:val="0"/>
        <w:spacing w:beforeAutospacing="0" w:afterAutospacing="0"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注：</w:t>
      </w:r>
    </w:p>
    <w:p>
      <w:pPr>
        <w:tabs>
          <w:tab w:val="left" w:pos="6300"/>
        </w:tabs>
        <w:snapToGrid w:val="0"/>
        <w:spacing w:beforeAutospacing="0" w:afterAutospacing="0" w:line="500" w:lineRule="exact"/>
        <w:ind w:right="480" w:firstLine="570"/>
        <w:jc w:val="left"/>
        <w:rPr>
          <w:rFonts w:hint="eastAsia" w:ascii="方正仿宋_GBK" w:hAnsi="仿宋" w:eastAsia="方正仿宋_GBK"/>
          <w:sz w:val="24"/>
        </w:rPr>
      </w:pPr>
      <w:r>
        <w:rPr>
          <w:rFonts w:hint="eastAsia" w:ascii="方正仿宋_GBK" w:hAnsi="仿宋" w:eastAsia="方正仿宋_GBK"/>
          <w:sz w:val="24"/>
        </w:rPr>
        <w:t>1.若为法定代表人办理并签署响应文件的，不提供此文件。</w:t>
      </w:r>
    </w:p>
    <w:p>
      <w:pPr>
        <w:tabs>
          <w:tab w:val="left" w:pos="6300"/>
        </w:tabs>
        <w:snapToGrid w:val="0"/>
        <w:spacing w:beforeAutospacing="0" w:afterAutospacing="0" w:line="500" w:lineRule="exact"/>
        <w:ind w:firstLine="570"/>
        <w:rPr>
          <w:rFonts w:hint="eastAsia" w:ascii="方正仿宋_GBK" w:hAnsi="仿宋" w:eastAsia="方正仿宋_GBK"/>
          <w:sz w:val="24"/>
        </w:rPr>
      </w:pPr>
      <w:r>
        <w:rPr>
          <w:rFonts w:hint="eastAsia" w:ascii="方正仿宋_GBK" w:hAnsi="仿宋" w:eastAsia="方正仿宋_GBK"/>
          <w:sz w:val="24"/>
        </w:rPr>
        <w:t>2.若为联合体参与的，法定代表人授权委托书由联合体主办方</w:t>
      </w:r>
      <w:r>
        <w:rPr>
          <w:rFonts w:hint="eastAsia" w:ascii="方正仿宋_GBK" w:hAnsi="仿宋" w:eastAsia="方正仿宋_GBK" w:cs="宋体"/>
          <w:kern w:val="0"/>
          <w:sz w:val="24"/>
          <w:szCs w:val="24"/>
        </w:rPr>
        <w:t>（主体）</w:t>
      </w:r>
      <w:r>
        <w:rPr>
          <w:rFonts w:hint="eastAsia" w:ascii="方正仿宋_GBK" w:hAnsi="仿宋" w:eastAsia="方正仿宋_GBK"/>
          <w:sz w:val="24"/>
        </w:rPr>
        <w:t>出具。</w:t>
      </w:r>
    </w:p>
    <w:p>
      <w:pPr>
        <w:tabs>
          <w:tab w:val="left" w:pos="6300"/>
        </w:tabs>
        <w:snapToGrid w:val="0"/>
        <w:spacing w:beforeAutospacing="0" w:afterAutospacing="0" w:line="500" w:lineRule="exact"/>
        <w:ind w:firstLine="570"/>
        <w:rPr>
          <w:rFonts w:hint="eastAsia" w:ascii="方正仿宋_GBK" w:hAnsi="宋体" w:eastAsia="方正仿宋_GBK"/>
          <w:sz w:val="24"/>
          <w:szCs w:val="24"/>
        </w:rPr>
      </w:pPr>
      <w:r>
        <w:rPr>
          <w:rFonts w:ascii="宋体" w:hAnsi="宋体"/>
        </w:rPr>
        <w:br w:type="column"/>
      </w:r>
      <w:r>
        <w:rPr>
          <w:rFonts w:hint="eastAsia" w:ascii="方正仿宋_GBK" w:hAnsi="宋体" w:eastAsia="方正仿宋_GBK"/>
          <w:sz w:val="24"/>
          <w:szCs w:val="24"/>
        </w:rPr>
        <w:t>（四）</w:t>
      </w:r>
      <w:r>
        <w:rPr>
          <w:rFonts w:hint="eastAsia" w:ascii="方正仿宋_GBK" w:hAnsi="宋体" w:eastAsia="方正仿宋_GBK"/>
          <w:sz w:val="24"/>
          <w:szCs w:val="28"/>
        </w:rPr>
        <w:t>基本资格条件承诺函</w:t>
      </w:r>
    </w:p>
    <w:p>
      <w:pPr>
        <w:tabs>
          <w:tab w:val="left" w:pos="6300"/>
        </w:tabs>
        <w:snapToGrid w:val="0"/>
        <w:spacing w:beforeAutospacing="0" w:afterAutospacing="0" w:line="500" w:lineRule="exact"/>
        <w:ind w:firstLine="642" w:firstLineChars="200"/>
        <w:jc w:val="center"/>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基本资格条件承诺函</w:t>
      </w:r>
    </w:p>
    <w:p>
      <w:pPr>
        <w:tabs>
          <w:tab w:val="left" w:pos="6300"/>
        </w:tabs>
        <w:snapToGrid w:val="0"/>
        <w:spacing w:beforeAutospacing="0" w:afterAutospacing="0" w:line="530" w:lineRule="exact"/>
        <w:rPr>
          <w:sz w:val="24"/>
        </w:rPr>
      </w:pP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致</w:t>
      </w:r>
      <w:r>
        <w:rPr>
          <w:rFonts w:hint="eastAsia" w:ascii="方正仿宋_GBK" w:hAnsi="仿宋" w:eastAsia="方正仿宋_GBK"/>
          <w:sz w:val="24"/>
          <w:u w:val="single"/>
        </w:rPr>
        <w:t xml:space="preserve">                   </w:t>
      </w:r>
      <w:r>
        <w:rPr>
          <w:rFonts w:hint="eastAsia" w:ascii="方正仿宋_GBK" w:hAnsi="仿宋" w:eastAsia="方正仿宋_GBK"/>
          <w:sz w:val="24"/>
        </w:rPr>
        <w:t>（采购代理机构名称）：</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w:t>
      </w:r>
      <w:r>
        <w:rPr>
          <w:rFonts w:hint="eastAsia" w:ascii="方正仿宋_GBK" w:hAnsi="仿宋" w:eastAsia="方正仿宋_GBK"/>
          <w:sz w:val="24"/>
          <w:u w:val="single"/>
        </w:rPr>
        <w:t xml:space="preserve">              </w:t>
      </w:r>
      <w:r>
        <w:rPr>
          <w:rFonts w:hint="eastAsia" w:ascii="方正仿宋_GBK" w:hAnsi="仿宋" w:eastAsia="方正仿宋_GBK"/>
          <w:sz w:val="24"/>
        </w:rPr>
        <w:t>（供应商名称）郑重承诺：</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1.我方具有良好的商业信誉和健全的财务会计制度，具有履行合同所必需的设备和专业技术能力，具</w:t>
      </w:r>
      <w:r>
        <w:rPr>
          <w:rFonts w:hint="eastAsia" w:ascii="方正仿宋_GBK" w:hAnsi="仿宋" w:eastAsia="方正仿宋_GBK"/>
          <w:sz w:val="24"/>
          <w:lang w:val="zh-CN"/>
        </w:rPr>
        <w:t>有依法缴纳税收和社会保障金的良好记录</w:t>
      </w:r>
      <w:r>
        <w:rPr>
          <w:rFonts w:hint="eastAsia" w:ascii="方正仿宋_GBK" w:hAnsi="仿宋" w:eastAsia="方正仿宋_GBK"/>
          <w:sz w:val="24"/>
        </w:rPr>
        <w:t>，参加本项目采购活动前三年内无重大违法活动记录。</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我方对以上承诺负全部法律责任。</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特此承诺。</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p>
    <w:p>
      <w:pPr>
        <w:tabs>
          <w:tab w:val="left" w:pos="6300"/>
        </w:tabs>
        <w:snapToGrid w:val="0"/>
        <w:spacing w:beforeAutospacing="0" w:afterAutospacing="0" w:line="500" w:lineRule="exact"/>
        <w:ind w:firstLine="480" w:firstLineChars="200"/>
        <w:jc w:val="right"/>
        <w:rPr>
          <w:rFonts w:hint="eastAsia" w:ascii="方正仿宋_GBK" w:hAnsi="仿宋" w:eastAsia="方正仿宋_GBK"/>
          <w:sz w:val="24"/>
        </w:rPr>
      </w:pPr>
      <w:r>
        <w:rPr>
          <w:rFonts w:hint="eastAsia" w:ascii="方正仿宋_GBK" w:hAnsi="仿宋" w:eastAsia="方正仿宋_GBK"/>
          <w:sz w:val="24"/>
        </w:rPr>
        <w:t>（供应商公章）</w:t>
      </w:r>
    </w:p>
    <w:p>
      <w:pPr>
        <w:tabs>
          <w:tab w:val="left" w:pos="6300"/>
        </w:tabs>
        <w:snapToGrid w:val="0"/>
        <w:spacing w:beforeAutospacing="0" w:afterAutospacing="0" w:line="500" w:lineRule="exact"/>
        <w:ind w:firstLine="7920" w:firstLineChars="3300"/>
        <w:rPr>
          <w:rFonts w:hint="eastAsia" w:ascii="方正仿宋_GBK" w:hAnsi="宋体" w:eastAsia="方正仿宋_GBK"/>
          <w:sz w:val="24"/>
          <w:szCs w:val="24"/>
        </w:rPr>
      </w:pPr>
      <w:r>
        <w:rPr>
          <w:rFonts w:hint="eastAsia" w:ascii="方正仿宋_GBK" w:hAnsi="仿宋" w:eastAsia="方正仿宋_GBK"/>
          <w:sz w:val="24"/>
        </w:rPr>
        <w:t>年   月   日</w:t>
      </w:r>
    </w:p>
    <w:p>
      <w:pPr>
        <w:snapToGrid w:val="0"/>
        <w:spacing w:beforeAutospacing="0" w:afterAutospacing="0" w:line="400" w:lineRule="exact"/>
        <w:ind w:firstLine="560" w:firstLineChars="200"/>
        <w:rPr>
          <w:rFonts w:hint="eastAsia" w:ascii="方正仿宋_GBK" w:hAnsi="宋体" w:eastAsia="方正仿宋_GBK"/>
          <w:sz w:val="24"/>
          <w:szCs w:val="24"/>
        </w:rPr>
      </w:pPr>
      <w:r>
        <w:rPr>
          <w:rFonts w:ascii="方正仿宋_GBK" w:hAnsi="宋体" w:eastAsia="方正仿宋_GBK"/>
        </w:rPr>
        <w:br w:type="page"/>
      </w:r>
      <w:r>
        <w:rPr>
          <w:rFonts w:hint="eastAsia" w:ascii="方正仿宋_GBK" w:hAnsi="宋体" w:eastAsia="方正仿宋_GBK"/>
          <w:sz w:val="24"/>
          <w:szCs w:val="24"/>
        </w:rPr>
        <w:t>（五）落实政府采购政策需满足的资格要求</w:t>
      </w:r>
    </w:p>
    <w:p>
      <w:pPr>
        <w:snapToGrid w:val="0"/>
        <w:spacing w:beforeAutospacing="0" w:afterAutospacing="0" w:line="400" w:lineRule="exact"/>
        <w:ind w:firstLine="480" w:firstLineChars="200"/>
        <w:rPr>
          <w:rFonts w:hint="eastAsia" w:ascii="方正仿宋_GBK" w:hAnsi="宋体" w:eastAsia="方正仿宋_GBK"/>
          <w:sz w:val="24"/>
          <w:szCs w:val="24"/>
          <w:lang w:eastAsia="zh-CN"/>
        </w:rPr>
      </w:pPr>
      <w:r>
        <w:rPr>
          <w:rFonts w:hint="eastAsia" w:ascii="方正仿宋_GBK" w:hAnsi="宋体" w:eastAsia="方正仿宋_GBK"/>
          <w:sz w:val="24"/>
          <w:szCs w:val="24"/>
          <w:lang w:val="en-US" w:eastAsia="zh-CN"/>
        </w:rPr>
        <w:t>本项目</w:t>
      </w:r>
      <w:r>
        <w:rPr>
          <w:rFonts w:hint="eastAsia" w:ascii="方正仿宋_GBK" w:hAnsi="宋体" w:eastAsia="方正仿宋_GBK"/>
          <w:sz w:val="24"/>
          <w:szCs w:val="24"/>
        </w:rPr>
        <w:t>专门面向中小企业采购</w:t>
      </w:r>
      <w:r>
        <w:rPr>
          <w:rFonts w:hint="eastAsia" w:ascii="方正仿宋_GBK" w:hAnsi="宋体" w:eastAsia="方正仿宋_GBK"/>
          <w:sz w:val="24"/>
          <w:szCs w:val="24"/>
          <w:lang w:eastAsia="zh-CN"/>
        </w:rPr>
        <w:t>。</w:t>
      </w:r>
    </w:p>
    <w:p>
      <w:pPr>
        <w:tabs>
          <w:tab w:val="left" w:pos="6300"/>
        </w:tabs>
        <w:snapToGrid w:val="0"/>
        <w:spacing w:beforeAutospacing="0" w:afterAutospacing="0" w:line="500" w:lineRule="exact"/>
        <w:ind w:firstLine="560" w:firstLineChars="200"/>
        <w:jc w:val="center"/>
        <w:rPr>
          <w:rFonts w:hint="eastAsia" w:ascii="方正仿宋_GBK" w:hAnsi="宋体" w:eastAsia="方正仿宋_GBK"/>
        </w:rPr>
      </w:pPr>
      <w:r>
        <w:rPr>
          <w:rFonts w:hint="eastAsia" w:ascii="方正仿宋_GBK" w:hAnsi="宋体" w:eastAsia="方正仿宋_GBK"/>
        </w:rPr>
        <w:t>中小企业声明函</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本公司（联合体）郑重声明，根据《政府采购促进中小企业发展管理办法》（</w:t>
      </w:r>
      <w:r>
        <w:rPr>
          <w:rFonts w:hint="eastAsia" w:ascii="方正仿宋_GBK" w:hAnsi="宋体" w:eastAsia="方正仿宋_GBK"/>
          <w:sz w:val="24"/>
          <w:szCs w:val="24"/>
        </w:rPr>
        <w:t>财库〔2020〕46号</w:t>
      </w:r>
      <w:r>
        <w:rPr>
          <w:rFonts w:hint="eastAsia" w:ascii="方正仿宋_GBK" w:hAnsi="仿宋" w:eastAsia="方正仿宋_GBK"/>
          <w:sz w:val="24"/>
          <w:szCs w:val="28"/>
        </w:rPr>
        <w:t>）的规定，本公司（联合体）参加</w:t>
      </w:r>
      <w:r>
        <w:rPr>
          <w:rFonts w:hint="eastAsia" w:ascii="方正仿宋_GBK" w:hAnsi="仿宋" w:eastAsia="方正仿宋_GBK"/>
          <w:i/>
          <w:sz w:val="24"/>
          <w:szCs w:val="28"/>
          <w:u w:val="single"/>
        </w:rPr>
        <w:t>（单位名称）</w:t>
      </w:r>
      <w:r>
        <w:rPr>
          <w:rFonts w:hint="eastAsia" w:ascii="方正仿宋_GBK" w:hAnsi="仿宋" w:eastAsia="方正仿宋_GBK"/>
          <w:sz w:val="24"/>
          <w:szCs w:val="28"/>
        </w:rPr>
        <w:t>的</w:t>
      </w:r>
      <w:r>
        <w:rPr>
          <w:rFonts w:hint="eastAsia" w:ascii="方正仿宋_GBK" w:hAnsi="仿宋" w:eastAsia="方正仿宋_GBK"/>
          <w:i/>
          <w:sz w:val="24"/>
          <w:szCs w:val="28"/>
          <w:u w:val="single"/>
        </w:rPr>
        <w:t>（项目名称）</w:t>
      </w:r>
      <w:r>
        <w:rPr>
          <w:rFonts w:hint="eastAsia" w:ascii="方正仿宋_GBK" w:hAnsi="仿宋" w:eastAsia="方正仿宋_GBK"/>
          <w:sz w:val="24"/>
          <w:szCs w:val="28"/>
        </w:rPr>
        <w:t>采购活动，服务全部由符合政策要求的中小企业承接。相关企业（含联合体中的中小企业、签订分包意向协议的中小企业）的具体情况如下：</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1.</w:t>
      </w:r>
      <w:r>
        <w:rPr>
          <w:rFonts w:hint="eastAsia" w:ascii="方正仿宋_GBK" w:hAnsi="仿宋" w:eastAsia="方正仿宋_GBK"/>
          <w:i/>
          <w:sz w:val="24"/>
          <w:szCs w:val="28"/>
          <w:u w:val="single"/>
        </w:rPr>
        <w:t>（标的名称）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2.</w:t>
      </w:r>
      <w:r>
        <w:rPr>
          <w:rFonts w:hint="eastAsia" w:ascii="方正仿宋_GBK" w:hAnsi="仿宋" w:eastAsia="方正仿宋_GBK"/>
          <w:i/>
          <w:sz w:val="24"/>
          <w:szCs w:val="28"/>
          <w:u w:val="single"/>
        </w:rPr>
        <w:t xml:space="preserve"> （标的名称）</w:t>
      </w:r>
      <w:r>
        <w:rPr>
          <w:rFonts w:hint="eastAsia" w:ascii="方正仿宋_GBK" w:hAnsi="仿宋" w:eastAsia="方正仿宋_GBK"/>
          <w:sz w:val="24"/>
          <w:szCs w:val="28"/>
        </w:rPr>
        <w:t>，属于</w:t>
      </w:r>
      <w:r>
        <w:rPr>
          <w:rFonts w:hint="eastAsia" w:ascii="方正仿宋_GBK" w:hAnsi="仿宋" w:eastAsia="方正仿宋_GBK"/>
          <w:i/>
          <w:sz w:val="24"/>
          <w:szCs w:val="28"/>
          <w:u w:val="single"/>
        </w:rPr>
        <w:t>（采购文件中明确的所属行业）</w:t>
      </w:r>
      <w:r>
        <w:rPr>
          <w:rFonts w:hint="eastAsia" w:ascii="方正仿宋_GBK" w:hAnsi="仿宋" w:eastAsia="方正仿宋_GBK"/>
          <w:sz w:val="24"/>
          <w:szCs w:val="28"/>
        </w:rPr>
        <w:t>；承接企业为</w:t>
      </w:r>
      <w:r>
        <w:rPr>
          <w:rFonts w:hint="eastAsia" w:ascii="方正仿宋_GBK" w:hAnsi="仿宋" w:eastAsia="方正仿宋_GBK"/>
          <w:i/>
          <w:sz w:val="24"/>
          <w:szCs w:val="28"/>
          <w:u w:val="single"/>
        </w:rPr>
        <w:t>（企业名称）</w:t>
      </w:r>
      <w:r>
        <w:rPr>
          <w:rFonts w:hint="eastAsia" w:ascii="方正仿宋_GBK" w:hAnsi="仿宋" w:eastAsia="方正仿宋_GBK"/>
          <w:sz w:val="24"/>
          <w:szCs w:val="28"/>
        </w:rPr>
        <w:t>，从业人员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人，营业收入为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万元，资产总额为</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万元，属于</w:t>
      </w:r>
      <w:r>
        <w:rPr>
          <w:rFonts w:hint="eastAsia" w:ascii="方正仿宋_GBK" w:hAnsi="仿宋" w:eastAsia="方正仿宋_GBK"/>
          <w:i/>
          <w:sz w:val="24"/>
          <w:szCs w:val="28"/>
          <w:u w:val="single"/>
        </w:rPr>
        <w:t>（中型企业、小型企业、微型企业）</w:t>
      </w:r>
      <w:r>
        <w:rPr>
          <w:rFonts w:hint="eastAsia" w:ascii="方正仿宋_GBK" w:hAnsi="仿宋" w:eastAsia="方正仿宋_GBK"/>
          <w:sz w:val="24"/>
          <w:szCs w:val="28"/>
        </w:rPr>
        <w:t>；</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为本标的提供的服务人员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人，其中与本企业签订劳动合同</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人，其他人员</w:t>
      </w:r>
      <w:r>
        <w:rPr>
          <w:rFonts w:hint="eastAsia" w:ascii="方正仿宋_GBK" w:hAnsi="仿宋" w:eastAsia="方正仿宋_GBK"/>
          <w:sz w:val="24"/>
          <w:szCs w:val="28"/>
          <w:u w:val="single"/>
        </w:rPr>
        <w:t xml:space="preserve">   </w:t>
      </w:r>
      <w:r>
        <w:rPr>
          <w:rFonts w:hint="eastAsia" w:ascii="方正仿宋_GBK" w:hAnsi="仿宋" w:eastAsia="方正仿宋_GBK"/>
          <w:sz w:val="24"/>
          <w:szCs w:val="28"/>
        </w:rPr>
        <w:t>人。有其他人员的不符合中小企业扶持政策（适用于服务采购项目）;</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ascii="方正仿宋_GBK" w:hAnsi="仿宋" w:eastAsia="方正仿宋_GBK"/>
          <w:sz w:val="24"/>
          <w:szCs w:val="28"/>
        </w:rPr>
        <w:t>……</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以上企业，不属于大企业的分支机构，不存在控股股东为大企业的情形，也不存在与大企业的负责人为同一人的情形。</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本企业对上述声明内容的真实性负责。如有虚假，将依法承担相应责任。</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szCs w:val="28"/>
        </w:rPr>
      </w:pPr>
      <w:r>
        <w:rPr>
          <w:rFonts w:hint="eastAsia" w:ascii="方正仿宋_GBK" w:hAnsi="仿宋" w:eastAsia="方正仿宋_GBK"/>
          <w:sz w:val="24"/>
          <w:szCs w:val="28"/>
        </w:rPr>
        <w:t xml:space="preserve">                                                    </w:t>
      </w:r>
    </w:p>
    <w:p>
      <w:pPr>
        <w:tabs>
          <w:tab w:val="left" w:pos="6300"/>
        </w:tabs>
        <w:snapToGrid w:val="0"/>
        <w:spacing w:beforeAutospacing="0" w:afterAutospacing="0" w:line="500" w:lineRule="exact"/>
        <w:ind w:firstLine="6120" w:firstLineChars="2550"/>
        <w:rPr>
          <w:rFonts w:hint="eastAsia" w:ascii="方正仿宋_GBK" w:hAnsi="仿宋" w:eastAsia="方正仿宋_GBK"/>
          <w:sz w:val="24"/>
          <w:szCs w:val="28"/>
        </w:rPr>
      </w:pPr>
      <w:r>
        <w:rPr>
          <w:rFonts w:hint="eastAsia" w:ascii="方正仿宋_GBK" w:hAnsi="仿宋" w:eastAsia="方正仿宋_GBK"/>
          <w:sz w:val="24"/>
          <w:szCs w:val="28"/>
        </w:rPr>
        <w:t xml:space="preserve">企业名称（盖章）： </w:t>
      </w:r>
    </w:p>
    <w:p>
      <w:pPr>
        <w:tabs>
          <w:tab w:val="left" w:pos="6300"/>
        </w:tabs>
        <w:snapToGrid w:val="0"/>
        <w:spacing w:beforeAutospacing="0" w:afterAutospacing="0" w:line="500" w:lineRule="exact"/>
        <w:ind w:right="784" w:firstLine="6120" w:firstLineChars="2550"/>
        <w:rPr>
          <w:rFonts w:hint="eastAsia" w:ascii="方正仿宋_GBK" w:hAnsi="仿宋" w:eastAsia="方正仿宋_GBK"/>
          <w:sz w:val="24"/>
        </w:rPr>
      </w:pPr>
      <w:r>
        <w:rPr>
          <w:rFonts w:hint="eastAsia" w:ascii="方正仿宋_GBK" w:hAnsi="仿宋" w:eastAsia="方正仿宋_GBK"/>
          <w:sz w:val="24"/>
          <w:szCs w:val="28"/>
        </w:rPr>
        <w:t>日期：</w:t>
      </w:r>
    </w:p>
    <w:p>
      <w:pPr>
        <w:tabs>
          <w:tab w:val="left" w:pos="6300"/>
        </w:tabs>
        <w:snapToGrid w:val="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填写时应注意以下事项：</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1.从业人员、营业收入、资产总额填报上一年度数据，无上一年度数据的新成立企业可不填报。</w:t>
      </w:r>
    </w:p>
    <w:p>
      <w:pPr>
        <w:tabs>
          <w:tab w:val="left" w:pos="6300"/>
        </w:tabs>
        <w:snapToGrid w:val="0"/>
        <w:ind w:firstLine="421"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2.中小企业应当按照《中小企业划型标准规定》（工信部联企业〔2011〕300号），如实填写并提交《中小企业声明函》。</w:t>
      </w:r>
    </w:p>
    <w:p>
      <w:pPr>
        <w:tabs>
          <w:tab w:val="left" w:pos="6300"/>
        </w:tabs>
        <w:snapToGrid w:val="0"/>
        <w:ind w:firstLine="421"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3.供应商填写《中小企业声明函》中所属行业时，应与采购文件第一篇“采购标的对应的中小企业划分标准所属行业”中填写的所属行业一致。</w:t>
      </w:r>
    </w:p>
    <w:p>
      <w:pPr>
        <w:tabs>
          <w:tab w:val="left" w:pos="6300"/>
        </w:tabs>
        <w:snapToGrid w:val="0"/>
        <w:ind w:firstLine="421" w:firstLineChars="200"/>
        <w:rPr>
          <w:rFonts w:hint="eastAsia" w:ascii="方正仿宋_GBK" w:hAnsi="宋体" w:eastAsia="方正仿宋_GBK" w:cs="宋体"/>
          <w:b/>
          <w:kern w:val="0"/>
          <w:sz w:val="21"/>
          <w:szCs w:val="21"/>
        </w:rPr>
      </w:pPr>
      <w:r>
        <w:rPr>
          <w:rFonts w:hint="eastAsia" w:ascii="方正仿宋_GBK" w:hAnsi="宋体" w:eastAsia="方正仿宋_GBK" w:cs="宋体"/>
          <w:b/>
          <w:kern w:val="0"/>
          <w:sz w:val="21"/>
          <w:szCs w:val="21"/>
        </w:rPr>
        <w:t>4.本声明函“企业名称（盖章）”处为供应商盖章。</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注：各行业划型标准：</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（一）农、林、牧、渔业。营业收入20000万元以下的为中小微型企业。其中，营业收入500万元及以上的为中型企业，营业收入50万元及以上的为小型企业，营业收入50万元以下的为微型企业。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tabs>
          <w:tab w:val="left" w:pos="6300"/>
        </w:tabs>
        <w:snapToGrid w:val="0"/>
        <w:ind w:firstLine="420" w:firstLineChars="200"/>
        <w:rPr>
          <w:rFonts w:hint="eastAsia" w:ascii="方正仿宋_GBK" w:hAnsi="宋体" w:eastAsia="方正仿宋_GBK" w:cs="宋体"/>
          <w:kern w:val="0"/>
          <w:sz w:val="21"/>
          <w:szCs w:val="21"/>
        </w:rPr>
      </w:pPr>
      <w:r>
        <w:rPr>
          <w:rFonts w:hint="eastAsia" w:ascii="方正仿宋_GBK" w:hAnsi="宋体" w:eastAsia="方正仿宋_GBK" w:cs="宋体"/>
          <w:kern w:val="0"/>
          <w:sz w:val="21"/>
          <w:szCs w:val="21"/>
        </w:rPr>
        <w:t>（十六）其他未列明行业。从业人员300人以下的为中小微型企业。其中，从业人员100人及以上的为中型企业；从业人员10人及以上的为小型企业；从业人员10人以下的为微型企业。</w:t>
      </w:r>
    </w:p>
    <w:p>
      <w:pPr>
        <w:tabs>
          <w:tab w:val="left" w:pos="6300"/>
        </w:tabs>
        <w:snapToGrid w:val="0"/>
        <w:spacing w:beforeAutospacing="0" w:afterAutospacing="0" w:line="500" w:lineRule="exact"/>
        <w:ind w:firstLine="480" w:firstLineChars="200"/>
        <w:jc w:val="center"/>
        <w:rPr>
          <w:rFonts w:hint="eastAsia" w:ascii="方正仿宋_GBK" w:hAnsi="宋体" w:eastAsia="方正仿宋_GBK"/>
        </w:rPr>
      </w:pPr>
      <w:r>
        <w:rPr>
          <w:rFonts w:ascii="方正仿宋_GBK" w:hAnsi="宋体" w:eastAsia="方正仿宋_GBK"/>
          <w:sz w:val="24"/>
          <w:szCs w:val="24"/>
        </w:rPr>
        <w:br w:type="page"/>
      </w:r>
      <w:r>
        <w:rPr>
          <w:rFonts w:hint="eastAsia" w:ascii="方正仿宋_GBK" w:hAnsi="宋体" w:eastAsia="方正仿宋_GBK"/>
        </w:rPr>
        <w:t>监狱企业证明文件</w:t>
      </w:r>
    </w:p>
    <w:p>
      <w:pPr>
        <w:tabs>
          <w:tab w:val="left" w:pos="6300"/>
        </w:tabs>
        <w:snapToGrid w:val="0"/>
        <w:spacing w:beforeAutospacing="0" w:afterAutospacing="0" w:line="400" w:lineRule="exact"/>
        <w:ind w:firstLine="480" w:firstLineChars="200"/>
        <w:rPr>
          <w:rFonts w:ascii="方正仿宋_GBK" w:hAnsi="仿宋" w:eastAsia="方正仿宋_GBK"/>
          <w:sz w:val="24"/>
        </w:rPr>
      </w:pPr>
      <w:r>
        <w:rPr>
          <w:rFonts w:hint="eastAsia" w:ascii="方正仿宋_GBK" w:hAnsi="仿宋" w:eastAsia="方正仿宋_GBK"/>
          <w:sz w:val="24"/>
        </w:rPr>
        <w:t>以省级以上监狱管理局、戒毒管理局（含新疆生产建设兵团）出具的属于监狱企业的证明文件为准。</w:t>
      </w:r>
    </w:p>
    <w:p>
      <w:pPr>
        <w:tabs>
          <w:tab w:val="left" w:pos="6300"/>
        </w:tabs>
        <w:snapToGrid w:val="0"/>
        <w:spacing w:beforeAutospacing="0" w:afterAutospacing="0" w:line="500" w:lineRule="exact"/>
        <w:ind w:firstLine="480" w:firstLineChars="200"/>
        <w:jc w:val="center"/>
        <w:rPr>
          <w:rFonts w:hint="eastAsia" w:ascii="方正仿宋_GBK" w:hAnsi="宋体" w:eastAsia="方正仿宋_GBK"/>
        </w:rPr>
      </w:pPr>
      <w:r>
        <w:rPr>
          <w:rFonts w:ascii="方正仿宋_GBK" w:hAnsi="仿宋" w:eastAsia="方正仿宋_GBK"/>
          <w:sz w:val="24"/>
        </w:rPr>
        <w:br w:type="page"/>
      </w:r>
      <w:r>
        <w:rPr>
          <w:rFonts w:hint="eastAsia" w:ascii="方正仿宋_GBK" w:hAnsi="宋体" w:eastAsia="方正仿宋_GBK"/>
        </w:rPr>
        <w:t>残疾人福利性单位声明函</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本单位对上述声明的真实性负责。如有虚假，将依法承担相应责任。</w:t>
      </w: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p>
    <w:p>
      <w:pPr>
        <w:tabs>
          <w:tab w:val="left" w:pos="6300"/>
        </w:tabs>
        <w:snapToGrid w:val="0"/>
        <w:spacing w:beforeAutospacing="0" w:afterAutospacing="0" w:line="50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供应商名称（盖章）：</w:t>
      </w:r>
    </w:p>
    <w:p>
      <w:pPr>
        <w:snapToGrid w:val="0"/>
        <w:spacing w:beforeAutospacing="0" w:afterAutospacing="0" w:line="440" w:lineRule="exact"/>
        <w:ind w:firstLine="480" w:firstLineChars="200"/>
        <w:rPr>
          <w:rFonts w:hint="eastAsia" w:ascii="方正仿宋_GBK" w:hAnsi="仿宋" w:eastAsia="方正仿宋_GBK"/>
          <w:sz w:val="24"/>
        </w:rPr>
      </w:pPr>
      <w:r>
        <w:rPr>
          <w:rFonts w:hint="eastAsia" w:ascii="方正仿宋_GBK" w:hAnsi="仿宋" w:eastAsia="方正仿宋_GBK"/>
          <w:sz w:val="24"/>
        </w:rPr>
        <w:t xml:space="preserve">                                                  日  期：</w:t>
      </w: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40" w:lineRule="exact"/>
        <w:ind w:firstLine="480" w:firstLineChars="200"/>
        <w:rPr>
          <w:rFonts w:hint="eastAsia" w:ascii="方正仿宋_GBK" w:hAnsi="仿宋" w:eastAsia="方正仿宋_GBK"/>
          <w:sz w:val="24"/>
        </w:rPr>
      </w:pPr>
      <w:r>
        <w:rPr>
          <w:rFonts w:hint="eastAsia" w:ascii="方正仿宋_GBK" w:hAnsi="宋体" w:eastAsia="方正仿宋_GBK" w:cs="宋体"/>
          <w:kern w:val="0"/>
          <w:sz w:val="24"/>
        </w:rPr>
        <w:t>若成交供应商为残疾人福利性单位的，将在结果公告时公告其《残疾人福利性单位声明函》。</w:t>
      </w:r>
    </w:p>
    <w:p>
      <w:pPr>
        <w:snapToGrid w:val="0"/>
        <w:spacing w:beforeAutospacing="0" w:afterAutospacing="0" w:line="440" w:lineRule="exact"/>
        <w:ind w:firstLine="480" w:firstLineChars="200"/>
        <w:rPr>
          <w:rFonts w:hint="eastAsia" w:ascii="方正仿宋_GBK" w:hAnsi="仿宋" w:eastAsia="方正仿宋_GBK"/>
          <w:sz w:val="24"/>
        </w:rPr>
      </w:pP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ascii="方正仿宋_GBK" w:hAnsi="宋体" w:eastAsia="方正仿宋_GBK"/>
          <w:sz w:val="24"/>
          <w:szCs w:val="24"/>
        </w:rPr>
        <w:br w:type="page"/>
      </w:r>
      <w:r>
        <w:rPr>
          <w:rFonts w:hint="eastAsia" w:ascii="方正仿宋_GBK" w:hAnsi="宋体" w:eastAsia="方正仿宋_GBK"/>
          <w:sz w:val="24"/>
          <w:szCs w:val="24"/>
        </w:rPr>
        <w:t>（二）联合体协议或分包意向协议（格式自定）</w:t>
      </w: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（三）其他与项目有关的资料</w:t>
      </w:r>
    </w:p>
    <w:p>
      <w:pPr>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rPr>
        <w:t>其他与项目有关的资料（自附）：供应商总体情况介绍、其他与本项目有关的资料等。</w:t>
      </w:r>
    </w:p>
    <w:p>
      <w:pPr>
        <w:spacing w:beforeAutospacing="0" w:afterAutospacing="0" w:line="360" w:lineRule="auto"/>
        <w:ind w:firstLine="480" w:firstLineChars="200"/>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eastAsia="zh-CN"/>
        </w:rPr>
        <w:t>（六）</w:t>
      </w:r>
      <w:r>
        <w:rPr>
          <w:rFonts w:hint="eastAsia" w:ascii="方正仿宋_GBK" w:hAnsi="宋体" w:eastAsia="方正仿宋_GBK"/>
          <w:sz w:val="24"/>
          <w:szCs w:val="24"/>
        </w:rPr>
        <w:t>特定资格条件证明文件</w:t>
      </w:r>
    </w:p>
    <w:p>
      <w:pPr>
        <w:tabs>
          <w:tab w:val="left" w:pos="6300"/>
        </w:tabs>
        <w:snapToGrid w:val="0"/>
        <w:spacing w:beforeAutospacing="0" w:afterAutospacing="0" w:line="400" w:lineRule="exact"/>
        <w:ind w:firstLine="480" w:firstLineChars="200"/>
        <w:rPr>
          <w:rFonts w:hint="eastAsia" w:ascii="方正仿宋_GBK" w:hAnsi="宋体" w:eastAsia="方正仿宋_GBK"/>
          <w:sz w:val="24"/>
          <w:szCs w:val="24"/>
        </w:rPr>
      </w:pPr>
      <w:r>
        <w:rPr>
          <w:rFonts w:hint="eastAsia" w:ascii="方正仿宋_GBK" w:hAnsi="宋体" w:eastAsia="方正仿宋_GBK"/>
          <w:sz w:val="24"/>
          <w:szCs w:val="24"/>
          <w:lang w:val="en-US" w:eastAsia="zh-CN"/>
        </w:rPr>
        <w:t>已按规定缴纳保证金的证明材料。</w:t>
      </w:r>
    </w:p>
    <w:p>
      <w:pPr>
        <w:pStyle w:val="2"/>
        <w:adjustRightInd w:val="0"/>
        <w:snapToGrid w:val="0"/>
        <w:spacing w:before="0" w:beforeAutospacing="0" w:after="0" w:afterAutospacing="0" w:line="400" w:lineRule="exact"/>
        <w:ind w:firstLine="560" w:firstLineChars="200"/>
        <w:rPr>
          <w:rFonts w:hint="eastAsia" w:ascii="方正仿宋_GBK" w:hAnsi="宋体" w:eastAsia="方正仿宋_GBK"/>
          <w:sz w:val="24"/>
        </w:rPr>
      </w:pPr>
      <w:bookmarkStart w:id="116" w:name="_Toc76462354"/>
      <w:bookmarkEnd w:id="116"/>
      <w:bookmarkStart w:id="117" w:name="_Toc14422"/>
      <w:bookmarkEnd w:id="117"/>
      <w:bookmarkStart w:id="118" w:name="_Toc106030910"/>
      <w:bookmarkEnd w:id="118"/>
      <w:r>
        <w:rPr>
          <w:rFonts w:ascii="方正仿宋_GBK" w:hAnsi="宋体" w:eastAsia="方正仿宋_GBK"/>
          <w:b w:val="0"/>
          <w:sz w:val="28"/>
        </w:rPr>
        <w:br w:type="page"/>
      </w:r>
      <w:r>
        <w:rPr>
          <w:rFonts w:hint="eastAsia" w:ascii="方正仿宋_GBK" w:hAnsi="宋体" w:eastAsia="方正仿宋_GBK"/>
          <w:sz w:val="24"/>
        </w:rPr>
        <w:t>五、其他资料</w:t>
      </w:r>
      <w:r>
        <w:rPr>
          <w:rFonts w:hint="eastAsia" w:ascii="方正仿宋_GBK" w:hAnsi="宋体" w:eastAsia="方正仿宋_GBK"/>
          <w:b w:val="0"/>
          <w:bCs/>
          <w:sz w:val="24"/>
          <w:lang w:eastAsia="zh-CN"/>
        </w:rPr>
        <w:t>（</w:t>
      </w:r>
      <w:r>
        <w:rPr>
          <w:rFonts w:hint="eastAsia" w:ascii="方正仿宋_GBK" w:hAnsi="宋体" w:eastAsia="方正仿宋_GBK"/>
          <w:b w:val="0"/>
          <w:bCs/>
          <w:sz w:val="24"/>
          <w:lang w:val="en-US" w:eastAsia="zh-CN"/>
        </w:rPr>
        <w:t>如有，格式自拟</w:t>
      </w:r>
      <w:r>
        <w:rPr>
          <w:rFonts w:hint="eastAsia" w:ascii="方正仿宋_GBK" w:hAnsi="宋体" w:eastAsia="方正仿宋_GBK"/>
          <w:b w:val="0"/>
          <w:bCs/>
          <w:sz w:val="24"/>
          <w:lang w:eastAsia="zh-CN"/>
        </w:rPr>
        <w:t>）</w:t>
      </w: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spacing w:beforeAutospacing="0" w:afterAutospacing="0" w:line="360" w:lineRule="auto"/>
        <w:ind w:firstLine="481" w:firstLineChars="200"/>
        <w:jc w:val="left"/>
        <w:rPr>
          <w:rFonts w:hint="eastAsia" w:ascii="方正仿宋_GBK" w:hAnsi="宋体" w:eastAsia="方正仿宋_GBK" w:cs="Times New Roman"/>
          <w:b/>
          <w:bCs w:val="0"/>
          <w:kern w:val="2"/>
          <w:sz w:val="24"/>
          <w:szCs w:val="22"/>
          <w:lang w:val="en-US" w:eastAsia="zh-CN" w:bidi="ar-SA"/>
        </w:rPr>
      </w:pPr>
      <w:r>
        <w:rPr>
          <w:rFonts w:hint="eastAsia" w:ascii="方正仿宋_GBK" w:hAnsi="宋体" w:eastAsia="方正仿宋_GBK" w:cs="Times New Roman"/>
          <w:b/>
          <w:bCs w:val="0"/>
          <w:kern w:val="2"/>
          <w:sz w:val="24"/>
          <w:szCs w:val="22"/>
          <w:lang w:val="en-US" w:eastAsia="zh-CN" w:bidi="ar-SA"/>
        </w:rPr>
        <w:t>六、实施方案（单独封装）</w:t>
      </w:r>
    </w:p>
    <w:p>
      <w:pPr>
        <w:pStyle w:val="3"/>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1养护服务方案</w:t>
      </w:r>
    </w:p>
    <w:p>
      <w:pPr>
        <w:pStyle w:val="3"/>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2.现场踏勘</w:t>
      </w:r>
    </w:p>
    <w:p>
      <w:pPr>
        <w:pStyle w:val="3"/>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3.组织机构</w:t>
      </w:r>
    </w:p>
    <w:p>
      <w:pPr>
        <w:pStyle w:val="3"/>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4.安全保障措施</w:t>
      </w:r>
    </w:p>
    <w:p>
      <w:pPr>
        <w:pStyle w:val="3"/>
        <w:ind w:firstLine="480" w:firstLineChars="200"/>
        <w:rPr>
          <w:rFonts w:hint="eastAsia" w:ascii="方正仿宋_GBK" w:hAnsi="宋体" w:eastAsia="方正仿宋_GBK"/>
          <w:sz w:val="24"/>
          <w:szCs w:val="24"/>
          <w:lang w:val="en-US" w:eastAsia="zh-CN"/>
        </w:rPr>
      </w:pPr>
      <w:r>
        <w:rPr>
          <w:rFonts w:hint="eastAsia" w:ascii="方正仿宋_GBK" w:hAnsi="宋体" w:eastAsia="方正仿宋_GBK"/>
          <w:sz w:val="24"/>
          <w:szCs w:val="24"/>
          <w:lang w:val="en-US" w:eastAsia="zh-CN"/>
        </w:rPr>
        <w:t>5.应急预案</w:t>
      </w: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pStyle w:val="4"/>
        <w:spacing w:beforeAutospacing="0" w:afterAutospacing="0" w:line="1200" w:lineRule="exact"/>
        <w:ind w:left="0"/>
        <w:jc w:val="center"/>
        <w:rPr>
          <w:rFonts w:eastAsia="仿宋"/>
          <w:sz w:val="84"/>
          <w:szCs w:val="84"/>
          <w:shd w:val="clear" w:color="auto" w:fill="FFFFFF"/>
        </w:rPr>
      </w:pPr>
      <w:r>
        <w:rPr>
          <w:rFonts w:eastAsia="仿宋"/>
          <w:sz w:val="84"/>
          <w:szCs w:val="84"/>
          <w:shd w:val="clear" w:color="auto" w:fill="FFFFFF"/>
        </w:rPr>
        <w:t>实 施 方 案</w:t>
      </w:r>
    </w:p>
    <w:p>
      <w:pPr>
        <w:pStyle w:val="4"/>
        <w:ind w:left="560"/>
        <w:rPr>
          <w:rFonts w:eastAsia="黑体"/>
          <w:sz w:val="36"/>
          <w:szCs w:val="36"/>
          <w:shd w:val="clear" w:color="auto" w:fill="FFFFFF"/>
        </w:rPr>
      </w:pPr>
    </w:p>
    <w:p>
      <w:pPr>
        <w:pStyle w:val="4"/>
        <w:ind w:left="560"/>
        <w:rPr>
          <w:rFonts w:eastAsia="黑体"/>
          <w:sz w:val="36"/>
          <w:szCs w:val="36"/>
          <w:shd w:val="clear" w:color="auto" w:fill="FFFFFF"/>
        </w:rPr>
      </w:pPr>
    </w:p>
    <w:p>
      <w:pPr>
        <w:pStyle w:val="4"/>
        <w:ind w:left="560"/>
        <w:rPr>
          <w:rFonts w:eastAsia="黑体"/>
          <w:sz w:val="36"/>
          <w:szCs w:val="36"/>
          <w:shd w:val="clear" w:color="auto" w:fill="FFFFFF"/>
        </w:rPr>
      </w:pPr>
    </w:p>
    <w:p>
      <w:pPr>
        <w:topLinePunct/>
        <w:autoSpaceDN w:val="0"/>
        <w:adjustRightInd w:val="0"/>
        <w:snapToGrid w:val="0"/>
        <w:spacing w:beforeAutospacing="0" w:afterAutospacing="0" w:line="500" w:lineRule="exact"/>
        <w:jc w:val="left"/>
        <w:rPr>
          <w:rFonts w:eastAsia="仿宋"/>
          <w:sz w:val="32"/>
          <w:szCs w:val="32"/>
          <w:shd w:val="clear" w:color="auto" w:fill="FFFFFF"/>
        </w:rPr>
      </w:pPr>
    </w:p>
    <w:p>
      <w:pPr>
        <w:topLinePunct/>
        <w:autoSpaceDN w:val="0"/>
        <w:adjustRightInd w:val="0"/>
        <w:snapToGrid w:val="0"/>
        <w:spacing w:beforeAutospacing="0" w:afterAutospacing="0" w:line="500" w:lineRule="exact"/>
        <w:jc w:val="left"/>
        <w:rPr>
          <w:rFonts w:eastAsia="仿宋"/>
          <w:sz w:val="32"/>
          <w:szCs w:val="32"/>
          <w:shd w:val="clear" w:color="auto" w:fill="FFFFFF"/>
        </w:rPr>
      </w:pPr>
      <w:r>
        <w:rPr>
          <w:rFonts w:eastAsia="仿宋"/>
          <w:sz w:val="32"/>
          <w:szCs w:val="32"/>
          <w:shd w:val="clear" w:color="auto" w:fill="FFFFFF"/>
        </w:rPr>
        <w:t>项</w:t>
      </w:r>
      <w:r>
        <w:rPr>
          <w:rFonts w:hint="eastAsia" w:eastAsia="仿宋"/>
          <w:sz w:val="32"/>
          <w:szCs w:val="32"/>
          <w:shd w:val="clear" w:color="auto" w:fill="FFFFFF"/>
          <w:lang w:val="en-US" w:eastAsia="zh-CN"/>
        </w:rPr>
        <w:t xml:space="preserve">   </w:t>
      </w:r>
      <w:r>
        <w:rPr>
          <w:rFonts w:eastAsia="仿宋"/>
          <w:sz w:val="32"/>
          <w:szCs w:val="32"/>
          <w:shd w:val="clear" w:color="auto" w:fill="FFFFFF"/>
        </w:rPr>
        <w:t>目</w:t>
      </w:r>
      <w:r>
        <w:rPr>
          <w:rFonts w:hint="eastAsia" w:eastAsia="仿宋"/>
          <w:sz w:val="32"/>
          <w:szCs w:val="32"/>
          <w:shd w:val="clear" w:color="auto" w:fill="FFFFFF"/>
          <w:lang w:val="en-US" w:eastAsia="zh-CN"/>
        </w:rPr>
        <w:t xml:space="preserve">   </w:t>
      </w:r>
      <w:r>
        <w:rPr>
          <w:rFonts w:eastAsia="仿宋"/>
          <w:sz w:val="32"/>
          <w:szCs w:val="32"/>
          <w:shd w:val="clear" w:color="auto" w:fill="FFFFFF"/>
        </w:rPr>
        <w:t>号：</w:t>
      </w:r>
    </w:p>
    <w:p>
      <w:pPr>
        <w:topLinePunct/>
        <w:autoSpaceDN w:val="0"/>
        <w:adjustRightInd w:val="0"/>
        <w:snapToGrid w:val="0"/>
        <w:spacing w:beforeAutospacing="0" w:afterAutospacing="0" w:line="500" w:lineRule="exact"/>
        <w:jc w:val="left"/>
        <w:rPr>
          <w:rFonts w:ascii="Times New Roman" w:hAnsi="Times New Roman" w:eastAsia="仿宋" w:cs="Times New Roman"/>
          <w:sz w:val="32"/>
          <w:szCs w:val="32"/>
          <w:shd w:val="clear" w:color="auto" w:fill="FFFFFF"/>
        </w:rPr>
      </w:pPr>
      <w:r>
        <w:rPr>
          <w:rFonts w:hint="eastAsia" w:ascii="Times New Roman" w:hAnsi="Times New Roman" w:eastAsia="仿宋" w:cs="Times New Roman"/>
          <w:sz w:val="32"/>
          <w:szCs w:val="32"/>
          <w:shd w:val="clear" w:color="auto" w:fill="FFFFFF"/>
        </w:rPr>
        <w:t>采购执行编号</w:t>
      </w:r>
      <w:r>
        <w:rPr>
          <w:rFonts w:ascii="Times New Roman" w:hAnsi="Times New Roman" w:eastAsia="仿宋" w:cs="Times New Roman"/>
          <w:sz w:val="32"/>
          <w:szCs w:val="32"/>
          <w:shd w:val="clear" w:color="auto" w:fill="FFFFFF"/>
        </w:rPr>
        <w:t>：</w:t>
      </w:r>
    </w:p>
    <w:p>
      <w:pPr>
        <w:topLinePunct/>
        <w:autoSpaceDN w:val="0"/>
        <w:adjustRightInd w:val="0"/>
        <w:snapToGrid w:val="0"/>
        <w:spacing w:beforeAutospacing="0" w:afterAutospacing="0" w:line="500" w:lineRule="exact"/>
        <w:jc w:val="left"/>
        <w:rPr>
          <w:rFonts w:eastAsia="仿宋"/>
          <w:sz w:val="32"/>
          <w:szCs w:val="32"/>
          <w:shd w:val="clear" w:color="auto" w:fill="FFFFFF"/>
        </w:rPr>
      </w:pPr>
      <w:r>
        <w:rPr>
          <w:rFonts w:hint="eastAsia" w:eastAsia="仿宋"/>
          <w:sz w:val="32"/>
          <w:szCs w:val="32"/>
          <w:shd w:val="clear" w:color="auto" w:fill="FFFFFF"/>
          <w:lang w:eastAsia="zh-CN"/>
        </w:rPr>
        <w:t>招标</w:t>
      </w:r>
      <w:r>
        <w:rPr>
          <w:rFonts w:eastAsia="仿宋"/>
          <w:sz w:val="32"/>
          <w:szCs w:val="32"/>
          <w:shd w:val="clear" w:color="auto" w:fill="FFFFFF"/>
        </w:rPr>
        <w:t>项目名称：</w:t>
      </w:r>
    </w:p>
    <w:p>
      <w:pPr>
        <w:ind w:firstLine="360" w:firstLineChars="100"/>
        <w:rPr>
          <w:rFonts w:hint="eastAsia" w:eastAsia="仿宋"/>
          <w:sz w:val="36"/>
          <w:shd w:val="clear" w:color="auto" w:fill="FFFFFF"/>
        </w:rPr>
      </w:pPr>
    </w:p>
    <w:p>
      <w:pPr>
        <w:ind w:firstLine="320" w:firstLineChars="100"/>
        <w:rPr>
          <w:rFonts w:eastAsia="仿宋"/>
          <w:sz w:val="36"/>
          <w:shd w:val="clear" w:color="auto" w:fill="FFFFFF"/>
        </w:rPr>
      </w:pPr>
      <w:r>
        <w:rPr>
          <w:rFonts w:eastAsia="仿宋"/>
          <w:sz w:val="32"/>
          <w:szCs w:val="32"/>
          <w:shd w:val="clear" w:color="auto" w:fill="FFFFFF"/>
        </w:rPr>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-3318510</wp:posOffset>
                </wp:positionV>
                <wp:extent cx="228600" cy="198120"/>
                <wp:effectExtent l="4445" t="4445" r="14605" b="6985"/>
                <wp:wrapNone/>
                <wp:docPr id="1" name="椭圆 1"/>
                <wp:cNvGraphicFramePr/>
                <a:graphic xmlns:a="http://schemas.openxmlformats.org/drawingml/2006/main">
                  <a:graphicData uri="http://schemas.microsoft.com/office/word/2010/wordprocessingShape">
                    <wps:wsp>
                      <wps:cNvSpPr/>
                      <wps:spPr>
                        <a:xfrm>
                          <a:off x="0" y="0"/>
                          <a:ext cx="228600" cy="198120"/>
                        </a:xfrm>
                        <a:prstGeom prst="ellipse">
                          <a:avLst/>
                        </a:prstGeom>
                        <a:solidFill>
                          <a:srgbClr val="FFFFFF"/>
                        </a:solidFill>
                        <a:ln w="9525" cap="flat" cmpd="sng">
                          <a:solidFill>
                            <a:srgbClr val="FFFFFF"/>
                          </a:solidFill>
                          <a:prstDash val="solid"/>
                          <a:headEnd type="none" w="med" len="med"/>
                          <a:tailEnd type="none" w="med" len="med"/>
                        </a:ln>
                      </wps:spPr>
                      <wps:txbx>
                        <w:txbxContent>
                          <w:p/>
                        </w:txbxContent>
                      </wps:txbx>
                      <wps:bodyPr rot="0" vert="horz" wrap="square" lIns="91440" tIns="45720" rIns="91440" bIns="45720" anchor="t" anchorCtr="false"/>
                    </wps:wsp>
                  </a:graphicData>
                </a:graphic>
              </wp:anchor>
            </w:drawing>
          </mc:Choice>
          <mc:Fallback>
            <w:pict>
              <v:shape id="_x0000_s1026" o:spid="_x0000_s1026" o:spt="3" type="#_x0000_t3" style="position:absolute;left:0pt;margin-left:-63pt;margin-top:-261.3pt;height:15.6pt;width:18pt;z-index:251667456;mso-width-relative:page;mso-height-relative:page;" fillcolor="#FFFFFF" filled="t" stroked="t" coordsize="21600,21600" o:gfxdata="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BsP6PH3gAAAA4BAAAPAAAAAAAAAAEAIAAAADgAAABkcnMvZG93bnJldi54bWxQ&#10;SwECFAAUAAAACACHTuJA51s+TRQCAAA6BAAADgAAAAAAAAABACAAAABDAQAAZHJzL2Uyb0RvYy54&#10;bWxQSwUGAAAAAAYABgBZAQAAyQUAAAAA&#10;">
                <v:fill on="t" focussize="0,0"/>
                <v:stroke color="#FFFFFF" joinstyle="round"/>
                <v:imagedata o:title=""/>
                <o:lock v:ext="edit" aspectratio="f"/>
                <v:textbox>
                  <w:txbxContent>
                    <w:p/>
                  </w:txbxContent>
                </v:textbox>
              </v:shape>
            </w:pict>
          </mc:Fallback>
        </mc:AlternateContent>
      </w:r>
      <w:r>
        <w:rPr>
          <w:rFonts w:eastAsia="仿宋"/>
          <w:sz w:val="32"/>
          <w:szCs w:val="32"/>
          <w:shd w:val="clear" w:color="auto" w:fill="FFFFFF"/>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332740</wp:posOffset>
                </wp:positionV>
                <wp:extent cx="914400" cy="914400"/>
                <wp:effectExtent l="4445" t="4445" r="14605" b="14605"/>
                <wp:wrapNone/>
                <wp:docPr id="3" name="椭圆 9"/>
                <wp:cNvGraphicFramePr/>
                <a:graphic xmlns:a="http://schemas.openxmlformats.org/drawingml/2006/main">
                  <a:graphicData uri="http://schemas.microsoft.com/office/word/2010/wordprocessingShape">
                    <wps:wsp>
                      <wps:cNvSpPr/>
                      <wps:spPr>
                        <a:xfrm>
                          <a:off x="0" y="0"/>
                          <a:ext cx="914400" cy="914400"/>
                        </a:xfrm>
                        <a:prstGeom prst="ellipse">
                          <a:avLst/>
                        </a:prstGeom>
                        <a:solidFill>
                          <a:srgbClr val="FFFFFF"/>
                        </a:solidFill>
                        <a:ln w="9525" cap="flat" cmpd="sng">
                          <a:solidFill>
                            <a:srgbClr val="FFFFFF"/>
                          </a:solidFill>
                          <a:prstDash val="solid"/>
                          <a:headEnd type="none" w="med" len="med"/>
                          <a:tailEnd type="none" w="med" len="med"/>
                        </a:ln>
                      </wps:spPr>
                      <wps:txbx>
                        <w:txbxContent>
                          <w:p/>
                        </w:txbxContent>
                      </wps:txbx>
                      <wps:bodyPr rot="0" vert="horz" wrap="square" lIns="91440" tIns="45720" rIns="91440" bIns="45720" anchor="t" anchorCtr="false"/>
                    </wps:wsp>
                  </a:graphicData>
                </a:graphic>
              </wp:anchor>
            </w:drawing>
          </mc:Choice>
          <mc:Fallback>
            <w:pict>
              <v:shape id="椭圆 9" o:spid="_x0000_s1026" o:spt="3" type="#_x0000_t3" style="position:absolute;left:0pt;margin-left:396pt;margin-top:26.2pt;height:72pt;width:72pt;z-index:251666432;mso-width-relative:page;mso-height-relative:page;" fillcolor="#FFFFFF" filled="t" stroked="t" coordsize="21600,21600" o:gfxdata="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Fal6x9sAAAAKAQAADwAAAAAAAAABACAAAAA4AAAAZHJzL2Rvd25yZXYueG1sUEsBAhQAFAAA&#10;AAgAh07iQOdt0o8PAgAAOgQAAA4AAAAAAAAAAQAgAAAAQAEAAGRycy9lMm9Eb2MueG1sUEsFBgAA&#10;AAAGAAYAWQEAAMEFAAAAAA==&#10;">
                <v:fill on="t" focussize="0,0"/>
                <v:stroke color="#FFFFFF" joinstyle="round"/>
                <v:imagedata o:title=""/>
                <o:lock v:ext="edit" aspectratio="f"/>
                <v:textbox>
                  <w:txbxContent>
                    <w:p/>
                  </w:txbxContent>
                </v:textbox>
              </v:shape>
            </w:pict>
          </mc:Fallback>
        </mc:AlternateContent>
      </w:r>
    </w:p>
    <w:p>
      <w:pPr>
        <w:rPr>
          <w:shd w:val="clear" w:color="auto" w:fill="FFFFFF"/>
        </w:rPr>
      </w:pPr>
      <w:r>
        <w:rPr>
          <w:rFonts w:eastAsia="黑体"/>
          <w:sz w:val="36"/>
          <w:shd w:val="clear" w:color="auto" w:fill="FFFFFF"/>
        </w:rPr>
        <mc:AlternateContent>
          <mc:Choice Requires="wps">
            <w:drawing>
              <wp:anchor distT="0" distB="0" distL="114300" distR="114300" simplePos="0" relativeHeight="251660288" behindDoc="0" locked="0" layoutInCell="1" allowOverlap="1">
                <wp:simplePos x="0" y="0"/>
                <wp:positionH relativeFrom="column">
                  <wp:posOffset>843280</wp:posOffset>
                </wp:positionH>
                <wp:positionV relativeFrom="paragraph">
                  <wp:posOffset>931545</wp:posOffset>
                </wp:positionV>
                <wp:extent cx="5271135" cy="4330065"/>
                <wp:effectExtent l="8255" t="9525" r="16510" b="22860"/>
                <wp:wrapNone/>
                <wp:docPr id="5" name="直接连接符 6"/>
                <wp:cNvGraphicFramePr/>
                <a:graphic xmlns:a="http://schemas.openxmlformats.org/drawingml/2006/main">
                  <a:graphicData uri="http://schemas.microsoft.com/office/word/2010/wordprocessingShape">
                    <wps:wsp>
                      <wps:cNvCnPr/>
                      <wps:spPr>
                        <a:xfrm flipH="true">
                          <a:off x="0" y="0"/>
                          <a:ext cx="5271135" cy="4330065"/>
                        </a:xfrm>
                        <a:prstGeom prst="line">
                          <a:avLst/>
                        </a:prstGeom>
                        <a:ln w="25400" cap="flat" cmpd="sng">
                          <a:solidFill>
                            <a:srgbClr val="000000"/>
                          </a:solidFill>
                          <a:prstDash val="dash"/>
                          <a:headEnd type="none" w="med" len="med"/>
                          <a:tailEnd type="none" w="med" len="med"/>
                        </a:ln>
                      </wps:spPr>
                      <wps:bodyPr rot="0" vert="horz" wrap="square" lIns="91440" tIns="45720" rIns="91440" bIns="45720" anchor="t" anchorCtr="false"/>
                    </wps:wsp>
                  </a:graphicData>
                </a:graphic>
              </wp:anchor>
            </w:drawing>
          </mc:Choice>
          <mc:Fallback>
            <w:pict>
              <v:line id="直接连接符 6" o:spid="_x0000_s1026" o:spt="20" style="position:absolute;left:0pt;flip:x;margin-left:66.4pt;margin-top:73.35pt;height:340.95pt;width:415.05pt;z-index:251660288;mso-width-relative:page;mso-height-relative:page;" filled="f" stroked="t" coordsize="21600,21600" o:gfxdata="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AAICpq2gAAAAsBAAAPAAAAAAAAAAEAIAAAADgAAABkcnMvZG93bnJldi54&#10;bWxQSwECFAAUAAAACACHTuJAvlvoEBsCAAAQBAAADgAAAAAAAAABACAAAAA/AQAAZHJzL2Uyb0Rv&#10;Yy54bWxQSwUGAAAAAAYABgBZAQAAzAUAAAAA&#10;">
                <v:fill on="f" focussize="0,0"/>
                <v:stroke weight="2pt" color="#000000" joinstyle="round" dashstyle="dash"/>
                <v:imagedata o:title=""/>
                <o:lock v:ext="edit" aspectratio="f"/>
              </v:line>
            </w:pict>
          </mc:Fallback>
        </mc:AlternateContent>
      </w:r>
      <w:r>
        <w:rPr>
          <w:shd w:val="clear" w:color="auto" w:fill="FFFFFF"/>
        </w:rPr>
        <mc:AlternateContent>
          <mc:Choice Requires="wps">
            <w:drawing>
              <wp:anchor distT="0" distB="0" distL="114300" distR="114300" simplePos="0" relativeHeight="251664384" behindDoc="0" locked="0" layoutInCell="1" allowOverlap="1">
                <wp:simplePos x="0" y="0"/>
                <wp:positionH relativeFrom="column">
                  <wp:posOffset>5956300</wp:posOffset>
                </wp:positionH>
                <wp:positionV relativeFrom="paragraph">
                  <wp:posOffset>1192530</wp:posOffset>
                </wp:positionV>
                <wp:extent cx="342900" cy="3619500"/>
                <wp:effectExtent l="4445" t="4445" r="14605" b="14605"/>
                <wp:wrapNone/>
                <wp:docPr id="7" name="文本框 2"/>
                <wp:cNvGraphicFramePr/>
                <a:graphic xmlns:a="http://schemas.openxmlformats.org/drawingml/2006/main">
                  <a:graphicData uri="http://schemas.microsoft.com/office/word/2010/wordprocessingShape">
                    <wps:wsp>
                      <wps:cNvSpPr txBox="true"/>
                      <wps:spPr>
                        <a:xfrm>
                          <a:off x="0" y="0"/>
                          <a:ext cx="342900" cy="3619500"/>
                        </a:xfrm>
                        <a:prstGeom prst="rect">
                          <a:avLst/>
                        </a:prstGeom>
                        <a:solidFill>
                          <a:srgbClr val="FFFFFF"/>
                        </a:solidFill>
                        <a:ln cap="flat" cmpd="sng">
                          <a:solidFill>
                            <a:srgbClr val="FFFFFF"/>
                          </a:solidFill>
                          <a:prstDash val="solid"/>
                          <a:miter lim="0"/>
                          <a:headEnd type="none" w="med" len="med"/>
                          <a:tailEnd type="none" w="med" len="med"/>
                        </a:ln>
                      </wps:spPr>
                      <wps:txbx>
                        <w:txbxContent>
                          <w:p>
                            <w:pPr>
                              <w:ind w:firstLine="720" w:firstLineChars="300"/>
                              <w:rPr>
                                <w:rFonts w:hint="eastAsia"/>
                                <w:sz w:val="24"/>
                                <w:szCs w:val="24"/>
                              </w:rPr>
                            </w:pPr>
                            <w:r>
                              <w:rPr>
                                <w:rFonts w:hint="eastAsia"/>
                                <w:sz w:val="24"/>
                                <w:szCs w:val="24"/>
                              </w:rPr>
                              <w:t>双    面    胶    粘    贴     处</w:t>
                            </w:r>
                          </w:p>
                        </w:txbxContent>
                      </wps:txbx>
                      <wps:bodyPr rot="0" vert="eaVert" wrap="square" lIns="0" tIns="0" rIns="0" bIns="0" anchor="t" anchorCtr="false"/>
                    </wps:wsp>
                  </a:graphicData>
                </a:graphic>
              </wp:anchor>
            </w:drawing>
          </mc:Choice>
          <mc:Fallback>
            <w:pict>
              <v:shape id="文本框 2" o:spid="_x0000_s1026" o:spt="202" type="#_x0000_t202" style="position:absolute;left:0pt;margin-left:469pt;margin-top:93.9pt;height:285pt;width:27pt;z-index:251664384;mso-width-relative:page;mso-height-relative:page;" fillcolor="#FFFFFF" filled="t" stroked="t" coordsize="21600,21600" o:gfxdata="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Uuqfl2QAAAAsBAAAPAAAAAAAAAAEAIAAAADgAAABkcnMvZG93bnJldi54bWxQSwEC&#10;FAAUAAAACACHTuJArkEf+BYCAABDBAAADgAAAAAAAAABACAAAAA+AQAAZHJzL2Uyb0RvYy54bWxQ&#10;SwUGAAAAAAYABgBZAQAAxgUAAAAA&#10;">
                <v:fill on="t" focussize="0,0"/>
                <v:stroke color="#FFFFFF" miterlimit="0" joinstyle="miter"/>
                <v:imagedata o:title=""/>
                <o:lock v:ext="edit" aspectratio="f"/>
                <v:textbox inset="0mm,0mm,0mm,0mm" style="layout-flow:vertical-ideographic;">
                  <w:txbxContent>
                    <w:p>
                      <w:pPr>
                        <w:ind w:firstLine="720" w:firstLineChars="300"/>
                        <w:rPr>
                          <w:rFonts w:hint="eastAsia"/>
                          <w:sz w:val="24"/>
                          <w:szCs w:val="24"/>
                        </w:rPr>
                      </w:pPr>
                      <w:r>
                        <w:rPr>
                          <w:rFonts w:hint="eastAsia"/>
                          <w:sz w:val="24"/>
                          <w:szCs w:val="24"/>
                        </w:rPr>
                        <w:t>双    面    胶    粘    贴     处</w:t>
                      </w:r>
                    </w:p>
                  </w:txbxContent>
                </v:textbox>
              </v:shape>
            </w:pict>
          </mc:Fallback>
        </mc:AlternateContent>
      </w:r>
      <w:r>
        <w:rPr>
          <w:shd w:val="clear" w:color="auto" w:fill="FFFFFF"/>
        </w:rPr>
        <mc:AlternateContent>
          <mc:Choice Requires="wps">
            <w:drawing>
              <wp:anchor distT="0" distB="0" distL="114300" distR="114300" simplePos="0" relativeHeight="251669504" behindDoc="0" locked="0" layoutInCell="1" allowOverlap="1">
                <wp:simplePos x="0" y="0"/>
                <wp:positionH relativeFrom="column">
                  <wp:posOffset>5956300</wp:posOffset>
                </wp:positionH>
                <wp:positionV relativeFrom="paragraph">
                  <wp:posOffset>1080770</wp:posOffset>
                </wp:positionV>
                <wp:extent cx="0" cy="3870960"/>
                <wp:effectExtent l="38100" t="0" r="38100" b="15240"/>
                <wp:wrapNone/>
                <wp:docPr id="9" name="直接连接符 10"/>
                <wp:cNvGraphicFramePr/>
                <a:graphic xmlns:a="http://schemas.openxmlformats.org/drawingml/2006/main">
                  <a:graphicData uri="http://schemas.microsoft.com/office/word/2010/wordprocessingShape">
                    <wps:wsp>
                      <wps:cNvCnPr/>
                      <wps:spPr>
                        <a:xfrm flipV="true">
                          <a:off x="0" y="0"/>
                          <a:ext cx="0" cy="3870960"/>
                        </a:xfrm>
                        <a:prstGeom prst="line">
                          <a:avLst/>
                        </a:prstGeom>
                        <a:ln w="9525" cap="flat" cmpd="sng">
                          <a:solidFill>
                            <a:srgbClr val="000000"/>
                          </a:solidFill>
                          <a:prstDash val="solid"/>
                          <a:headEnd type="none" w="med" len="med"/>
                          <a:tailEnd type="triangle" w="med" len="med"/>
                        </a:ln>
                      </wps:spPr>
                      <wps:bodyPr rot="0" vert="horz" wrap="square" lIns="91440" tIns="45720" rIns="91440" bIns="45720" anchor="t" anchorCtr="false"/>
                    </wps:wsp>
                  </a:graphicData>
                </a:graphic>
              </wp:anchor>
            </w:drawing>
          </mc:Choice>
          <mc:Fallback>
            <w:pict>
              <v:line id="直接连接符 10" o:spid="_x0000_s1026" o:spt="20" style="position:absolute;left:0pt;flip:y;margin-left:469pt;margin-top:85.1pt;height:304.8pt;width:0pt;z-index:251669504;mso-width-relative:page;mso-height-relative:page;" filled="f" stroked="t" coordsize="21600,21600" o:gfxdata="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h/Fz1tkAAAALAQAADwAAAAAAAAABACAAAAA4AAAAZHJzL2Rvd25yZXYu&#10;eG1sUEsBAhQAFAAAAAgAh07iQH70guUdAgAADwQAAA4AAAAAAAAAAQAgAAAAPgEAAGRycy9lMm9E&#10;b2MueG1sUEsFBgAAAAAGAAYAWQEAAM0FAAAAAA==&#10;">
                <v:fill on="f" focussize="0,0"/>
                <v:stroke color="#000000" joinstyle="round" endarrow="block"/>
                <v:imagedata o:title=""/>
                <o:lock v:ext="edit" aspectratio="f"/>
              </v:line>
            </w:pict>
          </mc:Fallback>
        </mc:AlternateContent>
      </w:r>
      <w:r>
        <w:rPr>
          <w:shd w:val="clear" w:color="auto" w:fill="FFFFFF"/>
        </w:rPr>
        <mc:AlternateContent>
          <mc:Choice Requires="wps">
            <w:drawing>
              <wp:anchor distT="0" distB="0" distL="114300" distR="114300" simplePos="0" relativeHeight="251665408" behindDoc="0" locked="0" layoutInCell="1" allowOverlap="1">
                <wp:simplePos x="0" y="0"/>
                <wp:positionH relativeFrom="column">
                  <wp:posOffset>1600200</wp:posOffset>
                </wp:positionH>
                <wp:positionV relativeFrom="paragraph">
                  <wp:posOffset>3799840</wp:posOffset>
                </wp:positionV>
                <wp:extent cx="457200" cy="495300"/>
                <wp:effectExtent l="4445" t="4445" r="14605" b="14605"/>
                <wp:wrapNone/>
                <wp:docPr id="11" name="文本框 11"/>
                <wp:cNvGraphicFramePr/>
                <a:graphic xmlns:a="http://schemas.openxmlformats.org/drawingml/2006/main">
                  <a:graphicData uri="http://schemas.microsoft.com/office/word/2010/wordprocessingShape">
                    <wps:wsp>
                      <wps:cNvSpPr txBox="true"/>
                      <wps:spPr>
                        <a:xfrm>
                          <a:off x="0" y="0"/>
                          <a:ext cx="457200" cy="49530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密 </w:t>
                            </w:r>
                          </w:p>
                        </w:txbxContent>
                      </wps:txbx>
                      <wps:bodyPr rot="0" vert="horz" wrap="square" lIns="91440" tIns="45720" rIns="91440" bIns="45720" anchor="t" anchorCtr="false"/>
                    </wps:wsp>
                  </a:graphicData>
                </a:graphic>
              </wp:anchor>
            </w:drawing>
          </mc:Choice>
          <mc:Fallback>
            <w:pict>
              <v:shape id="_x0000_s1026" o:spid="_x0000_s1026" o:spt="202" type="#_x0000_t202" style="position:absolute;left:0pt;margin-left:126pt;margin-top:299.2pt;height:39pt;width:36pt;z-index:251665408;mso-width-relative:page;mso-height-relative:page;" fillcolor="#FFFFFF" filled="t" stroked="t" coordsize="21600,21600" o:gfxdata="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NW0z+NsAAAALAQAADwAAAAAAAAABACAAAAA4AAAAZHJz&#10;L2Rvd25yZXYueG1sUEsBAhQAFAAAAAgAh07iQJXyIMAkAgAAWwQAAA4AAAAAAAAAAQAgAAAAQAEA&#10;AGRycy9lMm9Eb2MueG1sUEsFBgAAAAAGAAYAWQEAANYFAAAAAA==&#10;">
                <v:fill on="t" focussize="0,0"/>
                <v:stroke color="#FFFFFF" miterlimit="0"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密 </w:t>
                      </w:r>
                    </w:p>
                  </w:txbxContent>
                </v:textbox>
              </v:shape>
            </w:pict>
          </mc:Fallback>
        </mc:AlternateContent>
      </w:r>
      <w:r>
        <w:rPr>
          <w:shd w:val="clear" w:color="auto" w:fill="FFFFFF"/>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3700780</wp:posOffset>
                </wp:positionV>
                <wp:extent cx="2400300" cy="299085"/>
                <wp:effectExtent l="4445" t="5080" r="14605" b="19685"/>
                <wp:wrapNone/>
                <wp:docPr id="13" name="文本框 3"/>
                <wp:cNvGraphicFramePr/>
                <a:graphic xmlns:a="http://schemas.openxmlformats.org/drawingml/2006/main">
                  <a:graphicData uri="http://schemas.microsoft.com/office/word/2010/wordprocessingShape">
                    <wps:wsp>
                      <wps:cNvSpPr txBox="true"/>
                      <wps:spPr>
                        <a:xfrm>
                          <a:off x="0" y="0"/>
                          <a:ext cx="2400300" cy="299085"/>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sz w:val="24"/>
                                <w:szCs w:val="24"/>
                              </w:rPr>
                            </w:pPr>
                            <w:r>
                              <w:rPr>
                                <w:rFonts w:hint="eastAsia"/>
                                <w:sz w:val="24"/>
                                <w:szCs w:val="24"/>
                              </w:rPr>
                              <w:t>此处盖公章，不得超出虚线范围</w:t>
                            </w:r>
                          </w:p>
                        </w:txbxContent>
                      </wps:txbx>
                      <wps:bodyPr rot="0" vert="horz" wrap="square" lIns="0" tIns="0" rIns="0" bIns="0" anchor="t" anchorCtr="false"/>
                    </wps:wsp>
                  </a:graphicData>
                </a:graphic>
              </wp:anchor>
            </w:drawing>
          </mc:Choice>
          <mc:Fallback>
            <w:pict>
              <v:shape id="文本框 3" o:spid="_x0000_s1026" o:spt="202" type="#_x0000_t202" style="position:absolute;left:0pt;margin-left:261pt;margin-top:291.4pt;height:23.55pt;width:189pt;z-index:251661312;mso-width-relative:page;mso-height-relative:page;" fillcolor="#FFFFFF" filled="t" stroked="t" coordsize="21600,21600" o:gfxdata="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WAAAAZHJzL1BL&#10;AQIUABQAAAAIAIdO4kCmMcZF1wAAAAsBAAAPAAAAAAAAAAEAIAAAADgAAABkcnMvZG93bnJldi54&#10;bWxQSwECFAAUAAAACACHTuJAyoOBbR4CAABLBAAADgAAAAAAAAABACAAAAA8AQAAZHJzL2Uyb0Rv&#10;Yy54bWxQSwUGAAAAAAYABgBZAQAAzAUAAAAA&#10;">
                <v:fill on="t" focussize="0,0"/>
                <v:stroke color="#FFFFFF" miterlimit="0" joinstyle="miter"/>
                <v:imagedata o:title=""/>
                <o:lock v:ext="edit" aspectratio="f"/>
                <v:textbox inset="0mm,0mm,0mm,0mm">
                  <w:txbxContent>
                    <w:p>
                      <w:pPr>
                        <w:rPr>
                          <w:rFonts w:hint="eastAsia"/>
                          <w:sz w:val="24"/>
                          <w:szCs w:val="24"/>
                        </w:rPr>
                      </w:pPr>
                      <w:r>
                        <w:rPr>
                          <w:rFonts w:hint="eastAsia"/>
                          <w:sz w:val="24"/>
                          <w:szCs w:val="24"/>
                        </w:rPr>
                        <w:t>此处盖公章，不得超出虚线范围</w:t>
                      </w:r>
                    </w:p>
                  </w:txbxContent>
                </v:textbox>
              </v:shape>
            </w:pict>
          </mc:Fallback>
        </mc:AlternateContent>
      </w:r>
      <w:r>
        <w:rPr>
          <w:shd w:val="clear" w:color="auto" w:fill="FFFFFF"/>
        </w:rPr>
        <mc:AlternateContent>
          <mc:Choice Requires="wpc">
            <w:drawing>
              <wp:inline distT="0" distB="0" distL="114300" distR="114300">
                <wp:extent cx="5257800" cy="3070860"/>
                <wp:effectExtent l="0" t="0" r="0" b="0"/>
                <wp:docPr id="15" name="画布 14"/>
                <wp:cNvGraphicFramePr>
                  <a:graphicFrameLocks xmlns:a="http://schemas.openxmlformats.org/drawingml/2006/main" noChangeAspect="true"/>
                </wp:cNvGraphicFramePr>
                <a:graphic xmlns:a="http://schemas.openxmlformats.org/drawingml/2006/main">
                  <a:graphicData uri="http://schemas.microsoft.com/office/word/2010/wordprocessingCanvas">
                    <wpc:wpc>
                      <wpc:bg/>
                      <wpc:whole/>
                      <wps:wsp>
                        <wps:cNvPr id="16" name="文本框 12"/>
                        <wps:cNvSpPr txBox="true"/>
                        <wps:spPr>
                          <a:xfrm>
                            <a:off x="2972118" y="2476665"/>
                            <a:ext cx="457137" cy="495041"/>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封 </w:t>
                              </w:r>
                            </w:p>
                          </w:txbxContent>
                        </wps:txbx>
                        <wps:bodyPr rot="0" vert="horz" wrap="square" lIns="91440" tIns="45720" rIns="91440" bIns="45720" anchor="t" anchorCtr="false"/>
                      </wps:wsp>
                      <wps:wsp>
                        <wps:cNvPr id="17" name="文本框 13"/>
                        <wps:cNvSpPr txBox="true"/>
                        <wps:spPr>
                          <a:xfrm>
                            <a:off x="4457446" y="1287545"/>
                            <a:ext cx="457137" cy="496499"/>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jc w:val="center"/>
                                <w:rPr>
                                  <w:rFonts w:hint="eastAsia" w:ascii="黑体" w:eastAsia="黑体"/>
                                  <w:sz w:val="44"/>
                                  <w:szCs w:val="44"/>
                                </w:rPr>
                              </w:pPr>
                              <w:r>
                                <w:rPr>
                                  <w:rFonts w:hint="eastAsia" w:ascii="黑体" w:eastAsia="黑体"/>
                                  <w:sz w:val="44"/>
                                  <w:szCs w:val="44"/>
                                </w:rPr>
                                <w:t xml:space="preserve">线 </w:t>
                              </w:r>
                            </w:p>
                          </w:txbxContent>
                        </wps:txbx>
                        <wps:bodyPr rot="0" vert="horz" wrap="square" lIns="91440" tIns="45720" rIns="91440" bIns="45720" anchor="t" anchorCtr="false"/>
                      </wps:wsp>
                    </wpc:wpc>
                  </a:graphicData>
                </a:graphic>
              </wp:inline>
            </w:drawing>
          </mc:Choice>
          <mc:Fallback>
            <w:pict>
              <v:group id="画布 14" o:spid="_x0000_s1026" o:spt="203" style="height:241.8pt;width:414pt;" coordsize="5257800,3070860" editas="canvas" o:gfxdata="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">
                <o:lock v:ext="edit" aspectratio="f"/>
                <v:shape id="画布 14" o:spid="_x0000_s1026" style="position:absolute;left:0;top:0;height:3070860;width:5257800;" filled="f" stroked="f" coordsize="21600,21600" o:gfxdata="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WAAAAZHJzL1BLAQIUABQAAAAIAIdO&#10;4kAIQ9fz1gAAAAUBAAAPAAAAAAAAAAEAIAAAADgAAABkcnMvZG93bnJldi54bWxQSwECFAAUAAAA&#10;CACHTuJAWlTFlIUCAAC2BwAADgAAAAAAAAABACAAAAA7AQAAZHJzL2Uyb0RvYy54bWxQSwUGAAAA&#10;AAYABgBZAQAAMgYAAAAA&#10;">
                  <v:fill on="f" focussize="0,0"/>
                  <v:stroke on="f"/>
                  <v:imagedata o:title=""/>
                  <o:lock v:ext="edit" aspectratio="t"/>
                </v:shape>
                <v:shape id="文本框 12" o:spid="_x0000_s1026" o:spt="202" type="#_x0000_t202" style="position:absolute;left:2972118;top:2476665;height:495041;width:457137;" fillcolor="#FFFFFF" filled="t" stroked="t" coordsize="21600,21600" o:gfxdata="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zU5XvVAAAABQEAAA8AAAAAAAAAAQAgAAAA&#10;OAAAAGRycy9kb3ducmV2LnhtbFBLAQIUABQAAAAIAIdO4kBCy+/fMQIAAGcEAAAOAAAAAAAAAAEA&#10;IAAAADoBAABkcnMvZTJvRG9jLnhtbFBLBQYAAAAABgAGAFkBAADdBQAAAAA=&#10;">
                  <v:fill on="t" focussize="0,0"/>
                  <v:stroke color="#FFFFFF" miterlimit="0"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封 </w:t>
                        </w:r>
                      </w:p>
                    </w:txbxContent>
                  </v:textbox>
                </v:shape>
                <v:shape id="文本框 13" o:spid="_x0000_s1026" o:spt="202" type="#_x0000_t202" style="position:absolute;left:4457446;top:1287545;height:496499;width:457137;" fillcolor="#FFFFFF" filled="t" stroked="t" coordsize="21600,21600" o:gfxdata="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zU5XvVAAAABQEAAA8AAAAAAAAAAQAgAAAA&#10;OAAAAGRycy9kb3ducmV2LnhtbFBLAQIUABQAAAAIAIdO4kCtoZf4MQIAAGcEAAAOAAAAAAAAAAEA&#10;IAAAADoBAABkcnMvZTJvRG9jLnhtbFBLBQYAAAAABgAGAFkBAADdBQAAAAA=&#10;">
                  <v:fill on="t" focussize="0,0"/>
                  <v:stroke color="#FFFFFF" miterlimit="0" joinstyle="miter"/>
                  <v:imagedata o:title=""/>
                  <o:lock v:ext="edit" aspectratio="f"/>
                  <v:textbox>
                    <w:txbxContent>
                      <w:p>
                        <w:pPr>
                          <w:jc w:val="center"/>
                          <w:rPr>
                            <w:rFonts w:hint="eastAsia" w:ascii="黑体" w:eastAsia="黑体"/>
                            <w:sz w:val="44"/>
                            <w:szCs w:val="44"/>
                          </w:rPr>
                        </w:pPr>
                        <w:r>
                          <w:rPr>
                            <w:rFonts w:hint="eastAsia" w:ascii="黑体" w:eastAsia="黑体"/>
                            <w:sz w:val="44"/>
                            <w:szCs w:val="44"/>
                          </w:rPr>
                          <w:t xml:space="preserve">线 </w:t>
                        </w:r>
                      </w:p>
                    </w:txbxContent>
                  </v:textbox>
                </v:shape>
                <w10:wrap type="none"/>
                <w10:anchorlock/>
              </v:group>
            </w:pict>
          </mc:Fallback>
        </mc:AlternateContent>
      </w:r>
    </w:p>
    <w:p>
      <w:pPr>
        <w:jc w:val="center"/>
        <w:rPr>
          <w:rFonts w:eastAsia="华文仿宋"/>
          <w:sz w:val="48"/>
          <w:szCs w:val="48"/>
          <w:shd w:val="clear" w:color="auto" w:fill="FFFFFF"/>
        </w:rPr>
      </w:pPr>
    </w:p>
    <w:p>
      <w:pPr>
        <w:rPr>
          <w:rFonts w:eastAsia="仿宋_GB2312"/>
          <w:b/>
          <w:sz w:val="21"/>
          <w:szCs w:val="21"/>
          <w:shd w:val="clear" w:color="auto" w:fill="FFFFFF"/>
        </w:rPr>
      </w:pPr>
    </w:p>
    <w:p>
      <w:pPr>
        <w:snapToGrid w:val="0"/>
        <w:spacing w:beforeAutospacing="0" w:afterAutospacing="0" w:line="580" w:lineRule="exact"/>
        <w:rPr>
          <w:rFonts w:eastAsia="仿宋_GB2312"/>
          <w:sz w:val="21"/>
          <w:szCs w:val="21"/>
          <w:shd w:val="clear" w:color="auto" w:fill="FFFFFF"/>
        </w:rPr>
      </w:pPr>
      <w:r>
        <w:rPr>
          <w:rFonts w:eastAsia="仿宋_GB2312"/>
          <w:sz w:val="21"/>
          <w:szCs w:val="21"/>
          <w:shd w:val="clear" w:color="auto" w:fill="FFFFFF"/>
        </w:rPr>
        <mc:AlternateContent>
          <mc:Choice Requires="wps">
            <w:drawing>
              <wp:anchor distT="0" distB="0" distL="114300" distR="114300" simplePos="0" relativeHeight="251663360" behindDoc="0" locked="0" layoutInCell="1" allowOverlap="1">
                <wp:simplePos x="0" y="0"/>
                <wp:positionH relativeFrom="column">
                  <wp:posOffset>2489200</wp:posOffset>
                </wp:positionH>
                <wp:positionV relativeFrom="paragraph">
                  <wp:posOffset>702310</wp:posOffset>
                </wp:positionV>
                <wp:extent cx="3200400" cy="388620"/>
                <wp:effectExtent l="5080" t="4445" r="13970" b="6985"/>
                <wp:wrapNone/>
                <wp:docPr id="19" name="文本框 7"/>
                <wp:cNvGraphicFramePr/>
                <a:graphic xmlns:a="http://schemas.openxmlformats.org/drawingml/2006/main">
                  <a:graphicData uri="http://schemas.microsoft.com/office/word/2010/wordprocessingShape">
                    <wps:wsp>
                      <wps:cNvSpPr txBox="true"/>
                      <wps:spPr>
                        <a:xfrm>
                          <a:off x="0" y="0"/>
                          <a:ext cx="3200400" cy="38862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rPr>
                                <w:rFonts w:hint="eastAsia"/>
                                <w:sz w:val="21"/>
                                <w:szCs w:val="21"/>
                              </w:rPr>
                            </w:pPr>
                            <w:r>
                              <w:rPr>
                                <w:rFonts w:hint="eastAsia"/>
                                <w:sz w:val="21"/>
                                <w:szCs w:val="21"/>
                              </w:rPr>
                              <w:t>注：沿虚线按箭头方向折叠</w:t>
                            </w:r>
                          </w:p>
                          <w:p>
                            <w:pPr>
                              <w:rPr>
                                <w:rFonts w:hint="eastAsia"/>
                                <w:sz w:val="24"/>
                                <w:szCs w:val="24"/>
                              </w:rPr>
                            </w:pPr>
                          </w:p>
                          <w:p>
                            <w:pPr>
                              <w:rPr>
                                <w:rFonts w:hint="eastAsia"/>
                                <w:sz w:val="24"/>
                                <w:szCs w:val="24"/>
                              </w:rPr>
                            </w:pPr>
                            <w:r>
                              <w:rPr>
                                <w:rFonts w:hint="eastAsia"/>
                                <w:sz w:val="24"/>
                                <w:szCs w:val="24"/>
                              </w:rPr>
                              <w:t>（注：</w:t>
                            </w:r>
                            <w:r>
                              <w:rPr>
                                <w:sz w:val="24"/>
                                <w:szCs w:val="24"/>
                              </w:rPr>
                              <w:drawing>
                                <wp:inline distT="0" distB="0" distL="114300" distR="114300">
                                  <wp:extent cx="238125" cy="194310"/>
                                  <wp:effectExtent l="0" t="0" r="9525" b="15240"/>
                                  <wp:docPr id="2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true"/>
                                          </pic:cNvPicPr>
                                        </pic:nvPicPr>
                                        <pic:blipFill>
                                          <a:blip r:embed="rId14"/>
                                          <a:stretch>
                                            <a:fillRect/>
                                          </a:stretch>
                                        </pic:blipFill>
                                        <pic:spPr>
                                          <a:xfrm>
                                            <a:off x="0" y="0"/>
                                            <a:ext cx="238125" cy="194310"/>
                                          </a:xfrm>
                                          <a:prstGeom prst="rect">
                                            <a:avLst/>
                                          </a:prstGeom>
                                          <a:ln w="9525">
                                            <a:noFill/>
                                          </a:ln>
                                        </pic:spPr>
                                      </pic:pic>
                                    </a:graphicData>
                                  </a:graphic>
                                </wp:inline>
                              </w:drawing>
                            </w:r>
                            <w:r>
                              <w:rPr>
                                <w:rFonts w:hint="eastAsia"/>
                                <w:sz w:val="24"/>
                                <w:szCs w:val="24"/>
                              </w:rPr>
                              <w:t>为打孔处）</w:t>
                            </w:r>
                          </w:p>
                        </w:txbxContent>
                      </wps:txbx>
                      <wps:bodyPr rot="0" vert="horz" wrap="square" lIns="91440" tIns="45720" rIns="91440" bIns="45720" anchor="t" anchorCtr="false"/>
                    </wps:wsp>
                  </a:graphicData>
                </a:graphic>
              </wp:anchor>
            </w:drawing>
          </mc:Choice>
          <mc:Fallback>
            <w:pict>
              <v:shape id="文本框 7" o:spid="_x0000_s1026" o:spt="202" type="#_x0000_t202" style="position:absolute;left:0pt;margin-left:196pt;margin-top:55.3pt;height:30.6pt;width:252pt;z-index:251663360;mso-width-relative:page;mso-height-relative:page;" fillcolor="#FFFFFF" filled="t" stroked="t" coordsize="21600,21600" o:gfxdata="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UKWOp2QAAAAsBAAAPAAAAAAAAAAEAIAAAADgAAABk&#10;cnMvZG93bnJldi54bWxQSwECFAAUAAAACACHTuJAL9+QICgCAABbBAAADgAAAAAAAAABACAAAAA+&#10;AQAAZHJzL2Uyb0RvYy54bWxQSwUGAAAAAAYABgBZAQAA2AUAAAAA&#10;">
                <v:fill on="t" focussize="0,0"/>
                <v:stroke color="#FFFFFF" miterlimit="0" joinstyle="miter"/>
                <v:imagedata o:title=""/>
                <o:lock v:ext="edit" aspectratio="f"/>
                <v:textbox>
                  <w:txbxContent>
                    <w:p>
                      <w:pPr>
                        <w:rPr>
                          <w:rFonts w:hint="eastAsia"/>
                          <w:sz w:val="21"/>
                          <w:szCs w:val="21"/>
                        </w:rPr>
                      </w:pPr>
                      <w:r>
                        <w:rPr>
                          <w:rFonts w:hint="eastAsia"/>
                          <w:sz w:val="21"/>
                          <w:szCs w:val="21"/>
                        </w:rPr>
                        <w:t>注：沿虚线按箭头方向折叠</w:t>
                      </w:r>
                    </w:p>
                    <w:p>
                      <w:pPr>
                        <w:rPr>
                          <w:rFonts w:hint="eastAsia"/>
                          <w:sz w:val="24"/>
                          <w:szCs w:val="24"/>
                        </w:rPr>
                      </w:pPr>
                    </w:p>
                    <w:p>
                      <w:pPr>
                        <w:rPr>
                          <w:rFonts w:hint="eastAsia"/>
                          <w:sz w:val="24"/>
                          <w:szCs w:val="24"/>
                        </w:rPr>
                      </w:pPr>
                      <w:r>
                        <w:rPr>
                          <w:rFonts w:hint="eastAsia"/>
                          <w:sz w:val="24"/>
                          <w:szCs w:val="24"/>
                        </w:rPr>
                        <w:t>（注：</w:t>
                      </w:r>
                      <w:r>
                        <w:rPr>
                          <w:sz w:val="24"/>
                          <w:szCs w:val="24"/>
                        </w:rPr>
                        <w:drawing>
                          <wp:inline distT="0" distB="0" distL="114300" distR="114300">
                            <wp:extent cx="238125" cy="194310"/>
                            <wp:effectExtent l="0" t="0" r="9525" b="15240"/>
                            <wp:docPr id="20"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true"/>
                                    </pic:cNvPicPr>
                                  </pic:nvPicPr>
                                  <pic:blipFill>
                                    <a:blip r:embed="rId14"/>
                                    <a:stretch>
                                      <a:fillRect/>
                                    </a:stretch>
                                  </pic:blipFill>
                                  <pic:spPr>
                                    <a:xfrm>
                                      <a:off x="0" y="0"/>
                                      <a:ext cx="238125" cy="194310"/>
                                    </a:xfrm>
                                    <a:prstGeom prst="rect">
                                      <a:avLst/>
                                    </a:prstGeom>
                                    <a:ln w="9525">
                                      <a:noFill/>
                                    </a:ln>
                                  </pic:spPr>
                                </pic:pic>
                              </a:graphicData>
                            </a:graphic>
                          </wp:inline>
                        </w:drawing>
                      </w:r>
                      <w:r>
                        <w:rPr>
                          <w:rFonts w:hint="eastAsia"/>
                          <w:sz w:val="24"/>
                          <w:szCs w:val="24"/>
                        </w:rPr>
                        <w:t>为打孔处）</w:t>
                      </w:r>
                    </w:p>
                  </w:txbxContent>
                </v:textbox>
              </v:shape>
            </w:pict>
          </mc:Fallback>
        </mc:AlternateContent>
      </w:r>
      <w:r>
        <w:rPr>
          <w:rFonts w:eastAsia="仿宋_GB2312"/>
          <w:sz w:val="21"/>
          <w:szCs w:val="21"/>
          <w:shd w:val="clear" w:color="auto" w:fill="FFFFFF"/>
        </w:rPr>
        <mc:AlternateContent>
          <mc:Choice Requires="wps">
            <w:drawing>
              <wp:anchor distT="0" distB="0" distL="114300" distR="114300" simplePos="0" relativeHeight="251662336" behindDoc="0" locked="0" layoutInCell="1" allowOverlap="1">
                <wp:simplePos x="0" y="0"/>
                <wp:positionH relativeFrom="column">
                  <wp:posOffset>2390775</wp:posOffset>
                </wp:positionH>
                <wp:positionV relativeFrom="paragraph">
                  <wp:posOffset>1093470</wp:posOffset>
                </wp:positionV>
                <wp:extent cx="3543300" cy="198120"/>
                <wp:effectExtent l="5080" t="5080" r="13970" b="6350"/>
                <wp:wrapNone/>
                <wp:docPr id="25" name="文本框 5"/>
                <wp:cNvGraphicFramePr/>
                <a:graphic xmlns:a="http://schemas.openxmlformats.org/drawingml/2006/main">
                  <a:graphicData uri="http://schemas.microsoft.com/office/word/2010/wordprocessingShape">
                    <wps:wsp>
                      <wps:cNvSpPr txBox="true"/>
                      <wps:spPr>
                        <a:xfrm>
                          <a:off x="0" y="0"/>
                          <a:ext cx="3543300" cy="198120"/>
                        </a:xfrm>
                        <a:prstGeom prst="rect">
                          <a:avLst/>
                        </a:prstGeom>
                        <a:solidFill>
                          <a:srgbClr val="FFFFFF"/>
                        </a:solidFill>
                        <a:ln w="9525" cap="flat" cmpd="sng">
                          <a:solidFill>
                            <a:srgbClr val="FFFFFF"/>
                          </a:solidFill>
                          <a:prstDash val="solid"/>
                          <a:miter lim="0"/>
                          <a:headEnd type="none" w="med" len="med"/>
                          <a:tailEnd type="none" w="med" len="med"/>
                        </a:ln>
                      </wps:spPr>
                      <wps:txbx>
                        <w:txbxContent>
                          <w:p>
                            <w:pPr>
                              <w:jc w:val="center"/>
                              <w:rPr>
                                <w:rFonts w:hint="eastAsia"/>
                                <w:sz w:val="24"/>
                                <w:szCs w:val="24"/>
                              </w:rPr>
                            </w:pPr>
                            <w:r>
                              <w:rPr>
                                <w:rFonts w:hint="eastAsia"/>
                                <w:sz w:val="24"/>
                                <w:szCs w:val="24"/>
                              </w:rPr>
                              <w:t>双      面     胶     粘     贴     处</w:t>
                            </w:r>
                          </w:p>
                        </w:txbxContent>
                      </wps:txbx>
                      <wps:bodyPr rot="0" vert="horz" wrap="square" lIns="0" tIns="0" rIns="0" bIns="0" anchor="t" anchorCtr="false"/>
                    </wps:wsp>
                  </a:graphicData>
                </a:graphic>
              </wp:anchor>
            </w:drawing>
          </mc:Choice>
          <mc:Fallback>
            <w:pict>
              <v:shape id="文本框 5" o:spid="_x0000_s1026" o:spt="202" type="#_x0000_t202" style="position:absolute;left:0pt;margin-left:188.25pt;margin-top:86.1pt;height:15.6pt;width:279pt;z-index:251662336;mso-width-relative:page;mso-height-relative:page;" fillcolor="#FFFFFF" filled="t" stroked="t" coordsize="21600,21600" o:gfxdata="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PhHcD9gAAAALAQAADwAAAAAAAAABACAAAAA4AAAAZHJzL2Rvd25yZXYu&#10;eG1sUEsBAhQAFAAAAAgAh07iQFisN/0eAgAASwQAAA4AAAAAAAAAAQAgAAAAPQEAAGRycy9lMm9E&#10;b2MueG1sUEsFBgAAAAAGAAYAWQEAAM0FAAAAAA==&#10;">
                <v:fill on="t" focussize="0,0"/>
                <v:stroke color="#FFFFFF" miterlimit="0" joinstyle="miter"/>
                <v:imagedata o:title=""/>
                <o:lock v:ext="edit" aspectratio="f"/>
                <v:textbox inset="0mm,0mm,0mm,0mm">
                  <w:txbxContent>
                    <w:p>
                      <w:pPr>
                        <w:jc w:val="center"/>
                        <w:rPr>
                          <w:rFonts w:hint="eastAsia"/>
                          <w:sz w:val="24"/>
                          <w:szCs w:val="24"/>
                        </w:rPr>
                      </w:pPr>
                      <w:r>
                        <w:rPr>
                          <w:rFonts w:hint="eastAsia"/>
                          <w:sz w:val="24"/>
                          <w:szCs w:val="24"/>
                        </w:rPr>
                        <w:t>双      面     胶     粘     贴     处</w:t>
                      </w:r>
                    </w:p>
                  </w:txbxContent>
                </v:textbox>
              </v:shape>
            </w:pict>
          </mc:Fallback>
        </mc:AlternateContent>
      </w:r>
      <w:r>
        <w:rPr>
          <w:rFonts w:eastAsia="仿宋_GB2312"/>
          <w:sz w:val="21"/>
          <w:szCs w:val="21"/>
          <w:shd w:val="clear" w:color="auto" w:fill="FFFFFF"/>
        </w:rPr>
        <mc:AlternateContent>
          <mc:Choice Requires="wps">
            <w:drawing>
              <wp:anchor distT="0" distB="0" distL="114300" distR="114300" simplePos="0" relativeHeight="251668480" behindDoc="0" locked="0" layoutInCell="1" allowOverlap="1">
                <wp:simplePos x="0" y="0"/>
                <wp:positionH relativeFrom="column">
                  <wp:posOffset>1600200</wp:posOffset>
                </wp:positionH>
                <wp:positionV relativeFrom="paragraph">
                  <wp:posOffset>1090930</wp:posOffset>
                </wp:positionV>
                <wp:extent cx="4356100" cy="0"/>
                <wp:effectExtent l="0" t="38100" r="6350" b="38100"/>
                <wp:wrapNone/>
                <wp:docPr id="27" name="直接连接符 8"/>
                <wp:cNvGraphicFramePr/>
                <a:graphic xmlns:a="http://schemas.openxmlformats.org/drawingml/2006/main">
                  <a:graphicData uri="http://schemas.microsoft.com/office/word/2010/wordprocessingShape">
                    <wps:wsp>
                      <wps:cNvCnPr/>
                      <wps:spPr>
                        <a:xfrm flipH="true">
                          <a:off x="0" y="0"/>
                          <a:ext cx="4356100" cy="0"/>
                        </a:xfrm>
                        <a:prstGeom prst="line">
                          <a:avLst/>
                        </a:prstGeom>
                        <a:ln w="9525" cap="flat" cmpd="sng">
                          <a:solidFill>
                            <a:srgbClr val="000000"/>
                          </a:solidFill>
                          <a:prstDash val="solid"/>
                          <a:headEnd type="none" w="med" len="med"/>
                          <a:tailEnd type="triangle" w="med" len="med"/>
                        </a:ln>
                      </wps:spPr>
                      <wps:bodyPr rot="0" vert="horz" wrap="square" lIns="91440" tIns="45720" rIns="91440" bIns="45720" anchor="t" anchorCtr="false"/>
                    </wps:wsp>
                  </a:graphicData>
                </a:graphic>
              </wp:anchor>
            </w:drawing>
          </mc:Choice>
          <mc:Fallback>
            <w:pict>
              <v:line id="直接连接符 8" o:spid="_x0000_s1026" o:spt="20" style="position:absolute;left:0pt;flip:x;margin-left:126pt;margin-top:85.9pt;height:0pt;width:343pt;z-index:251668480;mso-width-relative:page;mso-height-relative:page;" filled="f" stroked="t" coordsize="21600,21600" o:gfxdata="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Q05PvYAAAACwEAAA8AAAAAAAAAAQAgAAAAOAAAAGRycy9kb3ducmV2&#10;LnhtbFBLAQIUABQAAAAIAIdO4kBCQv7dHwIAAA8EAAAOAAAAAAAAAAEAIAAAAD0BAABkcnMvZTJv&#10;RG9jLnhtbFBLBQYAAAAABgAGAFkBAADOBQAAAAA=&#10;">
                <v:fill on="f" focussize="0,0"/>
                <v:stroke color="#000000" joinstyle="round" endarrow="block"/>
                <v:imagedata o:title=""/>
                <o:lock v:ext="edit" aspectratio="f"/>
              </v:line>
            </w:pict>
          </mc:Fallback>
        </mc:AlternateContent>
      </w:r>
    </w:p>
    <w:p>
      <w:pPr>
        <w:pStyle w:val="11"/>
        <w:tabs>
          <w:tab w:val="right" w:leader="dot" w:pos="8400"/>
        </w:tabs>
        <w:topLinePunct/>
        <w:autoSpaceDN w:val="0"/>
        <w:adjustRightInd w:val="0"/>
        <w:snapToGrid w:val="0"/>
        <w:spacing w:beforeAutospacing="0" w:afterAutospacing="0" w:line="520" w:lineRule="exact"/>
        <w:ind w:left="0" w:leftChars="0" w:right="-255"/>
        <w:rPr>
          <w:rFonts w:eastAsia="方正仿宋_GBK"/>
          <w:sz w:val="21"/>
          <w:szCs w:val="21"/>
          <w:shd w:val="clear" w:color="auto" w:fill="FFFFFF"/>
        </w:rPr>
      </w:pPr>
    </w:p>
    <w:p>
      <w:pPr>
        <w:tabs>
          <w:tab w:val="left" w:pos="6300"/>
        </w:tabs>
        <w:snapToGrid w:val="0"/>
        <w:spacing w:beforeAutospacing="0" w:afterAutospacing="0" w:line="500" w:lineRule="exact"/>
        <w:jc w:val="both"/>
        <w:rPr>
          <w:rFonts w:hint="eastAsia" w:ascii="方正仿宋_GBK" w:hAnsi="宋体" w:eastAsia="方正仿宋_GBK"/>
        </w:rPr>
      </w:pPr>
    </w:p>
    <w:p>
      <w:pPr>
        <w:pStyle w:val="3"/>
        <w:rPr>
          <w:rFonts w:hint="eastAsia" w:ascii="方正仿宋_GBK" w:hAnsi="宋体" w:eastAsia="方正仿宋_GBK"/>
          <w:sz w:val="24"/>
          <w:szCs w:val="24"/>
          <w:lang w:val="en-US" w:eastAsia="zh-CN"/>
        </w:rPr>
      </w:pPr>
    </w:p>
    <w:p>
      <w:pPr>
        <w:spacing w:beforeAutospacing="0" w:afterAutospacing="0" w:line="360" w:lineRule="auto"/>
        <w:ind w:firstLine="480" w:firstLineChars="200"/>
        <w:jc w:val="center"/>
        <w:outlineLvl w:val="0"/>
        <w:rPr>
          <w:rFonts w:hint="eastAsia" w:ascii="方正仿宋_GBK" w:hAnsi="宋体" w:eastAsia="方正仿宋_GBK"/>
          <w:sz w:val="24"/>
          <w:szCs w:val="24"/>
        </w:rPr>
      </w:pPr>
    </w:p>
    <w:p>
      <w:pPr>
        <w:pStyle w:val="3"/>
        <w:rPr>
          <w:rFonts w:hint="eastAsia" w:ascii="方正仿宋_GBK" w:hAnsi="宋体" w:eastAsia="方正仿宋_GBK"/>
          <w:sz w:val="24"/>
          <w:szCs w:val="24"/>
        </w:rPr>
      </w:pPr>
    </w:p>
    <w:p>
      <w:pPr>
        <w:spacing w:beforeAutospacing="0" w:afterAutospacing="0" w:line="360" w:lineRule="auto"/>
        <w:ind w:firstLine="480" w:firstLineChars="200"/>
        <w:jc w:val="center"/>
        <w:rPr>
          <w:rFonts w:hint="eastAsia" w:ascii="方正仿宋_GBK" w:hAnsi="宋体" w:eastAsia="方正仿宋_GBK"/>
          <w:sz w:val="24"/>
          <w:szCs w:val="24"/>
        </w:rPr>
      </w:pPr>
    </w:p>
    <w:p>
      <w:pPr>
        <w:spacing w:beforeAutospacing="0" w:afterAutospacing="0" w:line="360" w:lineRule="auto"/>
        <w:ind w:firstLine="480" w:firstLineChars="200"/>
        <w:jc w:val="center"/>
        <w:outlineLvl w:val="0"/>
        <w:rPr>
          <w:rFonts w:hint="eastAsia" w:ascii="方正仿宋_GBK" w:hAnsi="宋体" w:eastAsia="方正仿宋_GBK"/>
        </w:rPr>
      </w:pPr>
      <w:r>
        <w:rPr>
          <w:rFonts w:hint="eastAsia" w:ascii="方正仿宋_GBK" w:hAnsi="宋体" w:eastAsia="方正仿宋_GBK"/>
          <w:sz w:val="24"/>
          <w:szCs w:val="24"/>
        </w:rPr>
        <w:t>（结束）</w:t>
      </w:r>
    </w:p>
    <w:p/>
    <w:sectPr>
      <w:pgSz w:w="11907" w:h="16840"/>
      <w:pgMar w:top="1134" w:right="1191" w:bottom="1134" w:left="1304" w:header="851" w:footer="992" w:gutter="0"/>
      <w:pgNumType w:fmt="numberInDash"/>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方正书宋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jc w:val="center"/>
      <w:rPr>
        <w:rStyle w:val="15"/>
        <w:rFonts w:hint="eastAsia" w:ascii="宋体"/>
        <w:sz w:val="21"/>
        <w:szCs w:val="21"/>
      </w:rPr>
    </w:pPr>
    <w:r>
      <w:rPr>
        <w:rFonts w:ascii="宋体"/>
        <w:sz w:val="21"/>
        <w:szCs w:val="21"/>
      </w:rPr>
      <w:fldChar w:fldCharType="begin"/>
    </w:r>
    <w:r>
      <w:rPr>
        <w:rStyle w:val="15"/>
        <w:rFonts w:ascii="宋体"/>
        <w:sz w:val="21"/>
        <w:szCs w:val="21"/>
      </w:rPr>
      <w:instrText xml:space="preserve">PAGE  </w:instrText>
    </w:r>
    <w:r>
      <w:rPr>
        <w:rFonts w:ascii="宋体"/>
        <w:sz w:val="21"/>
        <w:szCs w:val="21"/>
      </w:rPr>
      <w:fldChar w:fldCharType="separate"/>
    </w:r>
    <w:r>
      <w:rPr>
        <w:rStyle w:val="15"/>
        <w:rFonts w:ascii="宋体"/>
        <w:sz w:val="21"/>
        <w:szCs w:val="21"/>
      </w:rPr>
      <w:t>- 5 -</w:t>
    </w:r>
    <w:r>
      <w:rPr>
        <w:rFonts w:ascii="宋体"/>
        <w:sz w:val="21"/>
        <w:szCs w:val="21"/>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p>
  <w:p>
    <w:pPr>
      <w:pStyle w:val="8"/>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- 11 -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hint="eastAsia" w:ascii="宋体" w:hAnsi="宋体"/>
        <w:sz w:val="21"/>
        <w:szCs w:val="21"/>
      </w:rPr>
    </w:pPr>
    <w:r>
      <w:rPr>
        <w:rFonts w:ascii="宋体" w:hAnsi="宋体"/>
        <w:sz w:val="21"/>
        <w:szCs w:val="21"/>
      </w:rPr>
      <w:fldChar w:fldCharType="begin"/>
    </w:r>
    <w:r>
      <w:rPr>
        <w:rStyle w:val="15"/>
        <w:rFonts w:ascii="宋体" w:hAnsi="宋体"/>
        <w:sz w:val="21"/>
        <w:szCs w:val="21"/>
      </w:rPr>
      <w:instrText xml:space="preserve"> PAGE </w:instrText>
    </w:r>
    <w:r>
      <w:rPr>
        <w:rFonts w:ascii="宋体" w:hAnsi="宋体"/>
        <w:sz w:val="21"/>
        <w:szCs w:val="21"/>
      </w:rPr>
      <w:fldChar w:fldCharType="separate"/>
    </w:r>
    <w:r>
      <w:rPr>
        <w:rStyle w:val="15"/>
        <w:rFonts w:ascii="宋体" w:hAnsi="宋体"/>
        <w:sz w:val="21"/>
        <w:szCs w:val="21"/>
      </w:rPr>
      <w:t>- 30 -</w:t>
    </w:r>
    <w:r>
      <w:rPr>
        <w:rFonts w:ascii="宋体" w:hAnsi="宋体"/>
        <w:sz w:val="21"/>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separate"/>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eastAsia" w:ascii="方正仿宋_GBK" w:eastAsia="方正仿宋_GBK"/>
        <w:sz w:val="21"/>
        <w:szCs w:val="21"/>
      </w:rPr>
    </w:pPr>
    <w:r>
      <w:rPr>
        <w:rFonts w:hint="eastAsia" w:ascii="方正仿宋_GBK" w:eastAsia="方正仿宋_GBK"/>
        <w:sz w:val="21"/>
        <w:szCs w:val="21"/>
      </w:rPr>
      <w:t xml:space="preserve">                                                                          竞争性磋商文件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F1D41"/>
    <w:rsid w:val="001C344A"/>
    <w:rsid w:val="01954D23"/>
    <w:rsid w:val="048709D5"/>
    <w:rsid w:val="06D44CBF"/>
    <w:rsid w:val="07BD6DFC"/>
    <w:rsid w:val="08505F4B"/>
    <w:rsid w:val="0896539C"/>
    <w:rsid w:val="0AB731E2"/>
    <w:rsid w:val="0B8A3084"/>
    <w:rsid w:val="0BD90E7B"/>
    <w:rsid w:val="0C5D4C81"/>
    <w:rsid w:val="0CA24395"/>
    <w:rsid w:val="101B7F70"/>
    <w:rsid w:val="10E821B0"/>
    <w:rsid w:val="126A3360"/>
    <w:rsid w:val="146E0170"/>
    <w:rsid w:val="148E100D"/>
    <w:rsid w:val="14F97E22"/>
    <w:rsid w:val="166C04B5"/>
    <w:rsid w:val="177014B8"/>
    <w:rsid w:val="17EC6AA8"/>
    <w:rsid w:val="183C1F29"/>
    <w:rsid w:val="188635C3"/>
    <w:rsid w:val="18F0066D"/>
    <w:rsid w:val="19A71FBF"/>
    <w:rsid w:val="1B993517"/>
    <w:rsid w:val="1CAB44DD"/>
    <w:rsid w:val="1E34308F"/>
    <w:rsid w:val="1EFD1AFD"/>
    <w:rsid w:val="20B538A6"/>
    <w:rsid w:val="222A7517"/>
    <w:rsid w:val="23475CCB"/>
    <w:rsid w:val="23AD3922"/>
    <w:rsid w:val="24B43B1D"/>
    <w:rsid w:val="267C02F3"/>
    <w:rsid w:val="269227BA"/>
    <w:rsid w:val="26B05E92"/>
    <w:rsid w:val="2A7C2C45"/>
    <w:rsid w:val="2B4C54F0"/>
    <w:rsid w:val="2D2E279A"/>
    <w:rsid w:val="2ED52630"/>
    <w:rsid w:val="2EF60424"/>
    <w:rsid w:val="30250777"/>
    <w:rsid w:val="311C3AA5"/>
    <w:rsid w:val="31A3208B"/>
    <w:rsid w:val="32F42001"/>
    <w:rsid w:val="33DE4C4F"/>
    <w:rsid w:val="34D40677"/>
    <w:rsid w:val="35422731"/>
    <w:rsid w:val="35696BE1"/>
    <w:rsid w:val="359E17A7"/>
    <w:rsid w:val="37955BA8"/>
    <w:rsid w:val="392A4877"/>
    <w:rsid w:val="39D52FA5"/>
    <w:rsid w:val="3A47577F"/>
    <w:rsid w:val="3BB52BDE"/>
    <w:rsid w:val="3E960FA8"/>
    <w:rsid w:val="3F4A7FA4"/>
    <w:rsid w:val="408E2037"/>
    <w:rsid w:val="40E23743"/>
    <w:rsid w:val="41CC4AC2"/>
    <w:rsid w:val="41F540C0"/>
    <w:rsid w:val="42651D43"/>
    <w:rsid w:val="434A3318"/>
    <w:rsid w:val="438A54B5"/>
    <w:rsid w:val="448A54E4"/>
    <w:rsid w:val="448F2D96"/>
    <w:rsid w:val="453C50DC"/>
    <w:rsid w:val="456A38B4"/>
    <w:rsid w:val="45C845BC"/>
    <w:rsid w:val="481D3B7B"/>
    <w:rsid w:val="48927C32"/>
    <w:rsid w:val="48B616C7"/>
    <w:rsid w:val="48F618D9"/>
    <w:rsid w:val="49134271"/>
    <w:rsid w:val="4A3F1D41"/>
    <w:rsid w:val="4B4F3F2F"/>
    <w:rsid w:val="4BAB2179"/>
    <w:rsid w:val="4BBA4717"/>
    <w:rsid w:val="4DDA1620"/>
    <w:rsid w:val="4ECF38C7"/>
    <w:rsid w:val="4F512C0C"/>
    <w:rsid w:val="521E70AB"/>
    <w:rsid w:val="525654BB"/>
    <w:rsid w:val="532F6D06"/>
    <w:rsid w:val="53DD0028"/>
    <w:rsid w:val="544117BF"/>
    <w:rsid w:val="54431E68"/>
    <w:rsid w:val="551A4845"/>
    <w:rsid w:val="552C38E1"/>
    <w:rsid w:val="554D029E"/>
    <w:rsid w:val="55FE608A"/>
    <w:rsid w:val="57F02AEE"/>
    <w:rsid w:val="58B37589"/>
    <w:rsid w:val="58D60FD4"/>
    <w:rsid w:val="59774068"/>
    <w:rsid w:val="59CC748C"/>
    <w:rsid w:val="5B7229E2"/>
    <w:rsid w:val="5C3A2094"/>
    <w:rsid w:val="5D0A74F7"/>
    <w:rsid w:val="5EFE46D8"/>
    <w:rsid w:val="600E6318"/>
    <w:rsid w:val="613565A3"/>
    <w:rsid w:val="639A1168"/>
    <w:rsid w:val="63ED7268"/>
    <w:rsid w:val="65B6351D"/>
    <w:rsid w:val="65D65F25"/>
    <w:rsid w:val="66165FC9"/>
    <w:rsid w:val="671347D2"/>
    <w:rsid w:val="675555D5"/>
    <w:rsid w:val="675A1BE7"/>
    <w:rsid w:val="67EF5E6D"/>
    <w:rsid w:val="69891185"/>
    <w:rsid w:val="6AA6545E"/>
    <w:rsid w:val="6B151A13"/>
    <w:rsid w:val="6B29403F"/>
    <w:rsid w:val="6CE378E9"/>
    <w:rsid w:val="6E4D48E0"/>
    <w:rsid w:val="6F257654"/>
    <w:rsid w:val="70A657BE"/>
    <w:rsid w:val="70F47557"/>
    <w:rsid w:val="71503E4F"/>
    <w:rsid w:val="72BA33BC"/>
    <w:rsid w:val="73D8262B"/>
    <w:rsid w:val="742D6F26"/>
    <w:rsid w:val="750F6793"/>
    <w:rsid w:val="75E96CCA"/>
    <w:rsid w:val="76E448F0"/>
    <w:rsid w:val="77485918"/>
    <w:rsid w:val="776C292F"/>
    <w:rsid w:val="79692AE1"/>
    <w:rsid w:val="7A1767DE"/>
    <w:rsid w:val="7A793DDB"/>
    <w:rsid w:val="7ADC18E2"/>
    <w:rsid w:val="7B4D28FE"/>
    <w:rsid w:val="7BBC47A0"/>
    <w:rsid w:val="7E033CA0"/>
    <w:rsid w:val="7FBB11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rFonts w:ascii="仿宋_GB2312" w:eastAsia="仿宋_GB2312"/>
      <w:kern w:val="2"/>
      <w:sz w:val="32"/>
    </w:rPr>
  </w:style>
  <w:style w:type="paragraph" w:styleId="4">
    <w:name w:val="Body Text Indent"/>
    <w:basedOn w:val="1"/>
    <w:qFormat/>
    <w:uiPriority w:val="0"/>
    <w:pPr>
      <w:spacing w:beforeAutospacing="0" w:afterAutospacing="0" w:line="700" w:lineRule="exact"/>
      <w:ind w:left="960"/>
    </w:pPr>
    <w:rPr>
      <w:sz w:val="44"/>
    </w:rPr>
  </w:style>
  <w:style w:type="paragraph" w:styleId="5">
    <w:name w:val="Plain Text"/>
    <w:basedOn w:val="1"/>
    <w:qFormat/>
    <w:uiPriority w:val="0"/>
    <w:rPr>
      <w:rFonts w:ascii="宋体" w:hAnsi="Courier New"/>
      <w:sz w:val="21"/>
    </w:rPr>
  </w:style>
  <w:style w:type="paragraph" w:styleId="6">
    <w:name w:val="Date"/>
    <w:basedOn w:val="1"/>
    <w:next w:val="1"/>
    <w:qFormat/>
    <w:uiPriority w:val="0"/>
  </w:style>
  <w:style w:type="paragraph" w:styleId="7">
    <w:name w:val="Body Text Indent 2"/>
    <w:basedOn w:val="1"/>
    <w:qFormat/>
    <w:uiPriority w:val="0"/>
    <w:pPr>
      <w:snapToGrid w:val="0"/>
      <w:spacing w:beforeAutospacing="0" w:afterAutospacing="0" w:line="560" w:lineRule="atLeast"/>
      <w:ind w:firstLine="54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0"/>
    <w:pPr>
      <w:spacing w:beforeAutospacing="0" w:afterAutospacing="0" w:line="180" w:lineRule="auto"/>
      <w:jc w:val="center"/>
    </w:pPr>
    <w:rPr>
      <w:sz w:val="30"/>
    </w:rPr>
  </w:style>
  <w:style w:type="paragraph" w:styleId="11">
    <w:name w:val="toc 2"/>
    <w:basedOn w:val="1"/>
    <w:next w:val="1"/>
    <w:qFormat/>
    <w:uiPriority w:val="0"/>
    <w:pPr>
      <w:ind w:left="420" w:leftChars="200"/>
    </w:pPr>
  </w:style>
  <w:style w:type="paragraph" w:styleId="12">
    <w:name w:val="Body Text First Indent"/>
    <w:basedOn w:val="1"/>
    <w:qFormat/>
    <w:uiPriority w:val="0"/>
    <w:pPr>
      <w:ind w:firstLine="420" w:firstLineChars="100"/>
    </w:pPr>
  </w:style>
  <w:style w:type="character" w:styleId="15">
    <w:name w:val="page number"/>
    <w:qFormat/>
    <w:uiPriority w:val="0"/>
  </w:style>
  <w:style w:type="character" w:styleId="16">
    <w:name w:val="FollowedHyperlink"/>
    <w:basedOn w:val="14"/>
    <w:qFormat/>
    <w:uiPriority w:val="0"/>
    <w:rPr>
      <w:color w:val="000000"/>
      <w:u w:val="none"/>
    </w:rPr>
  </w:style>
  <w:style w:type="character" w:styleId="17">
    <w:name w:val="Hyperlink"/>
    <w:qFormat/>
    <w:uiPriority w:val="0"/>
    <w:rPr>
      <w:color w:val="0000FF"/>
      <w:u w:val="single"/>
    </w:rPr>
  </w:style>
  <w:style w:type="paragraph" w:customStyle="1" w:styleId="18">
    <w:name w:val="目录 53"/>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19">
    <w:name w:val="图例"/>
    <w:basedOn w:val="1"/>
    <w:qFormat/>
    <w:uiPriority w:val="0"/>
    <w:pPr>
      <w:spacing w:before="120" w:beforeLines="0" w:beforeAutospacing="0" w:after="120" w:afterLines="0" w:afterAutospacing="0" w:line="360" w:lineRule="auto"/>
      <w:jc w:val="center"/>
    </w:pPr>
    <w:rPr>
      <w:rFonts w:eastAsia="仿宋_GB2312"/>
      <w:b/>
      <w:sz w:val="24"/>
    </w:rPr>
  </w:style>
  <w:style w:type="paragraph" w:customStyle="1" w:styleId="20">
    <w:name w:val="1"/>
    <w:basedOn w:val="1"/>
    <w:qFormat/>
    <w:uiPriority w:val="0"/>
    <w:rPr>
      <w:rFonts w:ascii="宋体" w:hAnsi="Courier New"/>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emf"/><Relationship Id="rId13" Type="http://schemas.openxmlformats.org/officeDocument/2006/relationships/theme" Target="theme/theme1.xml"/><Relationship Id="rId12" Type="http://schemas.openxmlformats.org/officeDocument/2006/relationships/header" Target="header3.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lumMod val="102000"/>
                <a:satMod val="103000"/>
                <a:tint val="94000"/>
              </a:schemeClr>
            </a:gs>
            <a:gs pos="50000">
              <a:schemeClr val="phClr">
                <a:lumMod val="100000"/>
                <a:satMod val="11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true">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26199</Words>
  <Characters>27605</Characters>
  <Lines>0</Lines>
  <Paragraphs>0</Paragraphs>
  <TotalTime>16</TotalTime>
  <ScaleCrop>false</ScaleCrop>
  <LinksUpToDate>false</LinksUpToDate>
  <CharactersWithSpaces>29226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2022-07-11T10:35:00Z</dcterms:created>
  <dc:creator>Administrator</dc:creator>
  <cp:lastModifiedBy>user</cp:lastModifiedBy>
  <dcterms:modified xsi:type="dcterms:W3CDTF">2023-08-04T15:54:20Z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0CD4C2465C184FA1BC0B6CC7DD6A99A7</vt:lpwstr>
  </property>
</Properties>
</file>