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rPr>
      </w:pPr>
    </w:p>
    <w:p>
      <w:pPr>
        <w:spacing w:line="1600" w:lineRule="exact"/>
        <w:jc w:val="center"/>
        <w:outlineLvl w:val="0"/>
        <w:rPr>
          <w:rFonts w:hint="eastAsia" w:ascii="方正黑体_GBK" w:eastAsia="方正黑体_GBK"/>
          <w:sz w:val="100"/>
        </w:rPr>
      </w:pPr>
      <w:r>
        <w:rPr>
          <w:rFonts w:hint="eastAsia" w:ascii="方正黑体_GBK" w:eastAsia="方正黑体_GBK"/>
          <w:sz w:val="100"/>
        </w:rPr>
        <w:t>政府采购</w:t>
      </w:r>
    </w:p>
    <w:p>
      <w:pPr>
        <w:spacing w:line="1600" w:lineRule="exact"/>
        <w:jc w:val="center"/>
        <w:outlineLvl w:val="0"/>
        <w:rPr>
          <w:rFonts w:hint="eastAsia" w:ascii="方正黑体_GBK" w:hAnsi="宋体" w:eastAsia="方正黑体_GBK"/>
          <w:sz w:val="130"/>
          <w:szCs w:val="130"/>
        </w:rPr>
      </w:pPr>
      <w:r>
        <w:rPr>
          <w:rFonts w:hint="eastAsia" w:ascii="方正黑体_GBK" w:hAnsi="宋体" w:eastAsia="方正黑体_GBK"/>
          <w:sz w:val="130"/>
          <w:szCs w:val="130"/>
        </w:rPr>
        <w:t>竞争性磋商文件</w:t>
      </w:r>
    </w:p>
    <w:p>
      <w:pPr>
        <w:spacing w:line="700" w:lineRule="exact"/>
        <w:jc w:val="center"/>
        <w:rPr>
          <w:rFonts w:ascii="方正黑体_GBK" w:eastAsia="方正黑体_GBK"/>
          <w:sz w:val="72"/>
          <w:szCs w:val="72"/>
        </w:rPr>
      </w:pPr>
    </w:p>
    <w:p>
      <w:pPr>
        <w:spacing w:line="700" w:lineRule="exact"/>
        <w:jc w:val="center"/>
        <w:rPr>
          <w:rFonts w:hint="eastAsia" w:ascii="黑体" w:eastAsia="黑体"/>
          <w:sz w:val="32"/>
        </w:rPr>
      </w:pPr>
    </w:p>
    <w:p>
      <w:pPr>
        <w:spacing w:line="700" w:lineRule="exact"/>
        <w:jc w:val="center"/>
        <w:rPr>
          <w:rFonts w:hint="eastAsia" w:ascii="黑体" w:eastAsia="黑体"/>
          <w:sz w:val="32"/>
        </w:rPr>
      </w:pPr>
    </w:p>
    <w:p>
      <w:pPr>
        <w:spacing w:line="500" w:lineRule="exact"/>
        <w:outlineLvl w:val="0"/>
        <w:rPr>
          <w:rFonts w:hint="eastAsia" w:ascii="方正小标宋_GBK" w:hAnsi="宋体" w:eastAsia="方正小标宋_GBK"/>
          <w:sz w:val="36"/>
          <w:szCs w:val="36"/>
        </w:rPr>
      </w:pPr>
    </w:p>
    <w:p>
      <w:pPr>
        <w:spacing w:line="500" w:lineRule="exact"/>
        <w:outlineLvl w:val="0"/>
        <w:rPr>
          <w:rFonts w:hint="eastAsia" w:ascii="方正小标宋_GBK" w:hAnsi="宋体" w:eastAsia="方正小标宋_GBK"/>
          <w:sz w:val="36"/>
          <w:szCs w:val="36"/>
        </w:rPr>
      </w:pPr>
    </w:p>
    <w:p>
      <w:pPr>
        <w:spacing w:line="500" w:lineRule="exact"/>
        <w:outlineLvl w:val="0"/>
        <w:rPr>
          <w:rFonts w:hint="eastAsia" w:ascii="方正小标宋_GBK" w:hAnsi="宋体" w:eastAsia="方正小标宋_GBK"/>
          <w:sz w:val="36"/>
          <w:szCs w:val="36"/>
        </w:rPr>
      </w:pPr>
    </w:p>
    <w:p>
      <w:pPr>
        <w:spacing w:line="500" w:lineRule="exact"/>
        <w:ind w:firstLine="720" w:firstLineChars="200"/>
        <w:outlineLvl w:val="0"/>
        <w:rPr>
          <w:rFonts w:hint="eastAsia" w:ascii="方正小标宋_GBK" w:hAnsi="宋体" w:eastAsia="方正小标宋_GBK"/>
          <w:sz w:val="36"/>
          <w:szCs w:val="36"/>
        </w:rPr>
      </w:pPr>
      <w:r>
        <w:rPr>
          <w:rFonts w:hint="eastAsia" w:ascii="方正小标宋_GBK" w:hAnsi="宋体" w:eastAsia="方正小标宋_GBK"/>
          <w:sz w:val="36"/>
          <w:szCs w:val="36"/>
        </w:rPr>
        <w:t xml:space="preserve">项 </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 xml:space="preserve"> 目 </w:t>
      </w:r>
      <w:r>
        <w:rPr>
          <w:rFonts w:hint="eastAsia" w:ascii="方正小标宋_GBK" w:hAnsi="宋体" w:eastAsia="方正小标宋_GBK"/>
          <w:sz w:val="36"/>
          <w:szCs w:val="36"/>
          <w:lang w:val="en-US" w:eastAsia="zh-CN"/>
        </w:rPr>
        <w:t xml:space="preserve"> </w:t>
      </w:r>
      <w:r>
        <w:rPr>
          <w:rFonts w:hint="eastAsia" w:ascii="方正小标宋_GBK" w:hAnsi="宋体" w:eastAsia="方正小标宋_GBK"/>
          <w:sz w:val="36"/>
          <w:szCs w:val="36"/>
        </w:rPr>
        <w:t xml:space="preserve"> 号：</w:t>
      </w:r>
      <w:r>
        <w:rPr>
          <w:rFonts w:hint="eastAsia" w:ascii="方正小标宋_GBK" w:hAnsi="宋体" w:eastAsia="方正小标宋_GBK"/>
          <w:sz w:val="36"/>
          <w:szCs w:val="36"/>
          <w:lang w:val="en-US" w:eastAsia="zh-CN"/>
        </w:rPr>
        <w:t>ZC</w:t>
      </w:r>
      <w:r>
        <w:rPr>
          <w:rFonts w:hint="eastAsia" w:ascii="方正小标宋_GBK" w:hAnsi="宋体" w:eastAsia="方正小标宋_GBK"/>
          <w:sz w:val="36"/>
          <w:szCs w:val="36"/>
        </w:rPr>
        <w:t>20221</w:t>
      </w:r>
      <w:r>
        <w:rPr>
          <w:rFonts w:hint="eastAsia" w:ascii="方正小标宋_GBK" w:hAnsi="宋体" w:eastAsia="方正小标宋_GBK"/>
          <w:sz w:val="36"/>
          <w:szCs w:val="36"/>
          <w:lang w:val="en-US" w:eastAsia="zh-CN"/>
        </w:rPr>
        <w:t>81</w:t>
      </w:r>
      <w:r>
        <w:rPr>
          <w:rFonts w:hint="eastAsia" w:ascii="方正小标宋_GBK" w:hAnsi="宋体" w:eastAsia="方正小标宋_GBK"/>
          <w:sz w:val="36"/>
          <w:szCs w:val="36"/>
        </w:rPr>
        <w:t xml:space="preserve"> </w:t>
      </w:r>
    </w:p>
    <w:p>
      <w:pPr>
        <w:spacing w:line="500" w:lineRule="exact"/>
        <w:ind w:firstLine="720" w:firstLineChars="200"/>
        <w:outlineLvl w:val="0"/>
        <w:rPr>
          <w:rFonts w:hint="eastAsia" w:ascii="方正小标宋_GBK" w:hAnsi="宋体" w:eastAsia="方正小标宋_GBK"/>
          <w:sz w:val="36"/>
          <w:szCs w:val="36"/>
        </w:rPr>
      </w:pPr>
      <w:r>
        <w:rPr>
          <w:rFonts w:hint="eastAsia" w:ascii="方正小标宋_GBK" w:hAnsi="宋体" w:eastAsia="方正小标宋_GBK"/>
          <w:sz w:val="36"/>
          <w:szCs w:val="36"/>
        </w:rPr>
        <w:t xml:space="preserve">采购执行编号：SPB22C02055 </w:t>
      </w:r>
    </w:p>
    <w:p>
      <w:pPr>
        <w:spacing w:line="500" w:lineRule="exact"/>
        <w:ind w:left="3237" w:leftChars="256" w:hanging="2520" w:hangingChars="700"/>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磋商项目名称：</w:t>
      </w:r>
      <w:r>
        <w:rPr>
          <w:rFonts w:hint="eastAsia" w:ascii="方正小标宋_GBK" w:hAnsi="宋体" w:eastAsia="方正小标宋_GBK"/>
          <w:sz w:val="36"/>
          <w:szCs w:val="36"/>
          <w:lang w:eastAsia="zh-CN"/>
        </w:rPr>
        <w:t>重庆市沙坪坝区住房保障中心采购后勤保障服务</w:t>
      </w:r>
    </w:p>
    <w:p>
      <w:pPr>
        <w:spacing w:line="700" w:lineRule="exact"/>
        <w:ind w:firstLine="1749" w:firstLineChars="486"/>
        <w:rPr>
          <w:rFonts w:hint="eastAsia" w:ascii="方正小标宋_GBK" w:hAnsi="宋体" w:eastAsia="方正小标宋_GBK"/>
          <w:sz w:val="36"/>
          <w:szCs w:val="36"/>
        </w:rPr>
      </w:pPr>
    </w:p>
    <w:p>
      <w:pPr>
        <w:spacing w:line="700" w:lineRule="exact"/>
        <w:ind w:firstLine="1749" w:firstLineChars="486"/>
        <w:rPr>
          <w:rFonts w:hint="eastAsia" w:ascii="方正小标宋_GBK" w:hAnsi="宋体" w:eastAsia="方正小标宋_GBK"/>
          <w:sz w:val="36"/>
          <w:szCs w:val="36"/>
        </w:rPr>
      </w:pPr>
    </w:p>
    <w:p>
      <w:pPr>
        <w:spacing w:line="700" w:lineRule="exact"/>
        <w:rPr>
          <w:rFonts w:hint="eastAsia" w:ascii="方正小标宋_GBK" w:hAnsi="宋体" w:eastAsia="方正小标宋_GBK"/>
          <w:sz w:val="36"/>
          <w:szCs w:val="36"/>
        </w:rPr>
      </w:pPr>
    </w:p>
    <w:p>
      <w:pPr>
        <w:spacing w:line="700" w:lineRule="exact"/>
        <w:jc w:val="center"/>
        <w:rPr>
          <w:rFonts w:hint="eastAsia" w:ascii="方正小标宋_GBK" w:hAnsi="宋体" w:eastAsia="方正小标宋_GBK"/>
          <w:b/>
          <w:sz w:val="36"/>
          <w:szCs w:val="36"/>
        </w:rPr>
      </w:pPr>
    </w:p>
    <w:p>
      <w:pPr>
        <w:spacing w:line="500" w:lineRule="exact"/>
        <w:ind w:firstLine="720" w:firstLineChars="200"/>
        <w:jc w:val="both"/>
        <w:outlineLvl w:val="0"/>
        <w:rPr>
          <w:rFonts w:hint="eastAsia" w:ascii="方正小标宋_GBK" w:eastAsia="方正小标宋_GBK"/>
          <w:sz w:val="36"/>
          <w:szCs w:val="36"/>
        </w:rPr>
      </w:pPr>
      <w:r>
        <w:rPr>
          <w:rFonts w:hint="eastAsia" w:ascii="方正小标宋_GBK" w:eastAsia="方正小标宋_GBK"/>
          <w:sz w:val="36"/>
          <w:szCs w:val="36"/>
        </w:rPr>
        <w:t>采</w:t>
      </w: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购</w:t>
      </w:r>
      <w:r>
        <w:rPr>
          <w:rFonts w:hint="eastAsia" w:ascii="方正小标宋_GBK" w:eastAsia="方正小标宋_GBK"/>
          <w:sz w:val="36"/>
          <w:szCs w:val="36"/>
          <w:lang w:val="en-US" w:eastAsia="zh-CN"/>
        </w:rPr>
        <w:t xml:space="preserve">   </w:t>
      </w:r>
      <w:r>
        <w:rPr>
          <w:rFonts w:hint="eastAsia" w:ascii="方正小标宋_GBK" w:eastAsia="方正小标宋_GBK"/>
          <w:sz w:val="36"/>
          <w:szCs w:val="36"/>
        </w:rPr>
        <w:t>人：</w:t>
      </w:r>
      <w:r>
        <w:rPr>
          <w:rFonts w:hint="eastAsia" w:ascii="方正小标宋_GBK" w:hAnsi="宋体" w:eastAsia="方正小标宋_GBK"/>
          <w:sz w:val="36"/>
          <w:szCs w:val="36"/>
          <w:lang w:eastAsia="zh-CN"/>
        </w:rPr>
        <w:t>重庆市沙坪坝区住房保障中心</w:t>
      </w:r>
      <w:r>
        <w:rPr>
          <w:rFonts w:hint="eastAsia" w:ascii="方正小标宋_GBK" w:eastAsia="方正小标宋_GBK"/>
          <w:sz w:val="36"/>
          <w:szCs w:val="36"/>
        </w:rPr>
        <w:t xml:space="preserve"> </w:t>
      </w:r>
    </w:p>
    <w:p>
      <w:pPr>
        <w:spacing w:line="500" w:lineRule="exact"/>
        <w:ind w:firstLine="720" w:firstLineChars="200"/>
        <w:jc w:val="both"/>
        <w:outlineLvl w:val="0"/>
        <w:rPr>
          <w:rFonts w:hint="eastAsia" w:ascii="方正小标宋_GBK" w:eastAsia="方正小标宋_GBK"/>
          <w:sz w:val="36"/>
          <w:szCs w:val="36"/>
        </w:rPr>
      </w:pPr>
      <w:r>
        <w:rPr>
          <w:rFonts w:hint="eastAsia" w:ascii="方正小标宋_GBK" w:eastAsia="方正小标宋_GBK"/>
          <w:sz w:val="36"/>
          <w:szCs w:val="36"/>
        </w:rPr>
        <w:t>采购代理机构：</w:t>
      </w:r>
      <w:r>
        <w:rPr>
          <w:rFonts w:hint="eastAsia" w:ascii="方正小标宋_GBK" w:eastAsia="方正小标宋_GBK"/>
          <w:sz w:val="36"/>
          <w:szCs w:val="36"/>
          <w:lang w:val="en-US" w:eastAsia="zh-CN"/>
        </w:rPr>
        <w:t>重庆市沙坪坝区公共资源交易中心</w:t>
      </w:r>
    </w:p>
    <w:p>
      <w:pPr>
        <w:spacing w:line="500" w:lineRule="exact"/>
        <w:jc w:val="center"/>
        <w:outlineLvl w:val="0"/>
        <w:rPr>
          <w:rFonts w:hint="eastAsia" w:ascii="方正小标宋_GBK" w:eastAsia="方正小标宋_GBK"/>
          <w:sz w:val="36"/>
          <w:szCs w:val="36"/>
        </w:rPr>
      </w:pP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6"/>
          <w:szCs w:val="36"/>
          <w:lang w:val="en-US" w:eastAsia="zh-CN"/>
        </w:rPr>
        <w:t>2023</w:t>
      </w:r>
      <w:r>
        <w:rPr>
          <w:rFonts w:hint="eastAsia" w:ascii="方正小标宋_GBK" w:hAnsi="宋体" w:eastAsia="方正小标宋_GBK"/>
          <w:sz w:val="36"/>
          <w:szCs w:val="36"/>
        </w:rPr>
        <w:t>年</w:t>
      </w:r>
      <w:r>
        <w:rPr>
          <w:rFonts w:hint="eastAsia" w:ascii="方正小标宋_GBK" w:hAnsi="宋体" w:eastAsia="方正小标宋_GBK"/>
          <w:sz w:val="36"/>
          <w:szCs w:val="36"/>
          <w:lang w:val="en-US" w:eastAsia="zh-CN"/>
        </w:rPr>
        <w:t>1</w:t>
      </w:r>
      <w:r>
        <w:rPr>
          <w:rFonts w:hint="eastAsia" w:ascii="方正小标宋_GBK" w:hAnsi="宋体" w:eastAsia="方正小标宋_GBK"/>
          <w:sz w:val="36"/>
          <w:szCs w:val="36"/>
        </w:rPr>
        <w:t>月</w:t>
      </w:r>
    </w:p>
    <w:p>
      <w:pPr>
        <w:spacing w:line="720" w:lineRule="exact"/>
        <w:jc w:val="center"/>
        <w:outlineLvl w:val="0"/>
        <w:rPr>
          <w:rFonts w:ascii="方正黑体_GBK" w:hAnsi="宋体" w:eastAsia="方正黑体_GBK"/>
          <w:sz w:val="48"/>
          <w:szCs w:val="3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3"/>
        <w:spacing w:line="360" w:lineRule="auto"/>
        <w:jc w:val="center"/>
        <w:rPr>
          <w:rFonts w:hint="eastAsia" w:ascii="方正小标宋_GBK" w:hAnsi="宋体" w:eastAsia="方正小标宋_GBK"/>
          <w:b w:val="0"/>
          <w:szCs w:val="30"/>
        </w:rPr>
      </w:pPr>
      <w:bookmarkStart w:id="0" w:name="_Toc12789052"/>
      <w:bookmarkStart w:id="1" w:name="_Toc76462316"/>
      <w:bookmarkStart w:id="2" w:name="_Toc11641050"/>
      <w:bookmarkStart w:id="3" w:name="_Toc106030870"/>
      <w:r>
        <w:rPr>
          <w:rFonts w:hint="eastAsia" w:ascii="方正小标宋_GBK" w:hAnsi="宋体" w:eastAsia="方正小标宋_GBK"/>
          <w:b w:val="0"/>
          <w:sz w:val="36"/>
          <w:szCs w:val="30"/>
        </w:rPr>
        <w:t>第一篇  采购邀请书</w:t>
      </w:r>
      <w:bookmarkEnd w:id="0"/>
      <w:bookmarkEnd w:id="1"/>
      <w:bookmarkEnd w:id="2"/>
      <w:bookmarkEnd w:id="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重庆市沙坪坝区公共资源交易中心</w:t>
      </w:r>
      <w:r>
        <w:rPr>
          <w:rFonts w:hint="eastAsia" w:ascii="方正仿宋_GBK" w:hAnsi="宋体" w:eastAsia="方正仿宋_GBK"/>
          <w:sz w:val="24"/>
          <w:szCs w:val="24"/>
        </w:rPr>
        <w:t>（以下简称：采购代理机构）接受</w:t>
      </w:r>
      <w:r>
        <w:rPr>
          <w:rFonts w:hint="eastAsia" w:ascii="方正仿宋_GBK" w:hAnsi="宋体" w:eastAsia="方正仿宋_GBK"/>
          <w:sz w:val="24"/>
          <w:szCs w:val="24"/>
          <w:lang w:eastAsia="zh-CN"/>
        </w:rPr>
        <w:t>重庆市沙坪坝区住房保障中心</w:t>
      </w:r>
      <w:r>
        <w:rPr>
          <w:rFonts w:hint="eastAsia" w:ascii="方正仿宋_GBK" w:hAnsi="宋体" w:eastAsia="方正仿宋_GBK"/>
          <w:sz w:val="24"/>
          <w:szCs w:val="24"/>
        </w:rPr>
        <w:t>（以下简称：采购人）的委托，对</w:t>
      </w:r>
      <w:r>
        <w:rPr>
          <w:rFonts w:hint="eastAsia" w:ascii="方正仿宋_GBK" w:hAnsi="宋体" w:eastAsia="方正仿宋_GBK"/>
          <w:sz w:val="24"/>
          <w:szCs w:val="24"/>
          <w:lang w:eastAsia="zh-CN"/>
        </w:rPr>
        <w:t>重庆市沙坪坝区住房保障中心采购后勤保障服务</w:t>
      </w:r>
      <w:r>
        <w:rPr>
          <w:rFonts w:hint="eastAsia" w:ascii="方正仿宋_GBK" w:hAnsi="宋体" w:eastAsia="方正仿宋_GBK"/>
          <w:sz w:val="24"/>
          <w:szCs w:val="24"/>
        </w:rPr>
        <w:t>项目进行竞争性磋商采购。欢迎有资格的供应商前来参与磋商。</w:t>
      </w:r>
    </w:p>
    <w:p>
      <w:pPr>
        <w:pStyle w:val="3"/>
        <w:adjustRightInd w:val="0"/>
        <w:snapToGrid w:val="0"/>
        <w:spacing w:before="0" w:after="0" w:line="400" w:lineRule="exact"/>
        <w:ind w:firstLine="482" w:firstLineChars="200"/>
        <w:rPr>
          <w:rFonts w:ascii="方正仿宋_GBK" w:hAnsi="宋体" w:eastAsia="方正仿宋_GBK"/>
          <w:sz w:val="24"/>
        </w:rPr>
      </w:pPr>
      <w:bookmarkStart w:id="4" w:name="_Toc317775175"/>
      <w:bookmarkStart w:id="5" w:name="_Toc76462317"/>
      <w:bookmarkStart w:id="6" w:name="_Toc313893526"/>
      <w:bookmarkStart w:id="7" w:name="_Toc106030871"/>
      <w:r>
        <w:rPr>
          <w:rFonts w:hint="eastAsia" w:ascii="方正仿宋_GBK" w:hAnsi="宋体" w:eastAsia="方正仿宋_GBK"/>
          <w:sz w:val="24"/>
        </w:rPr>
        <w:t>一、竞争性磋商内容</w:t>
      </w:r>
      <w:bookmarkEnd w:id="4"/>
      <w:bookmarkEnd w:id="5"/>
      <w:bookmarkEnd w:id="6"/>
      <w:bookmarkEnd w:id="7"/>
    </w:p>
    <w:tbl>
      <w:tblPr>
        <w:tblStyle w:val="18"/>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662"/>
        <w:gridCol w:w="993"/>
        <w:gridCol w:w="1267"/>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849"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名称</w:t>
            </w:r>
          </w:p>
        </w:tc>
        <w:tc>
          <w:tcPr>
            <w:tcW w:w="1662"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993"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保证金</w:t>
            </w:r>
          </w:p>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（万元）</w:t>
            </w:r>
          </w:p>
        </w:tc>
        <w:tc>
          <w:tcPr>
            <w:tcW w:w="1267"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516"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3" w:hRule="atLeast"/>
          <w:jc w:val="center"/>
        </w:trPr>
        <w:tc>
          <w:tcPr>
            <w:tcW w:w="2849"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eastAsia="zh-CN"/>
              </w:rPr>
            </w:pPr>
            <w:bookmarkStart w:id="8" w:name="_Hlk344477914"/>
            <w:r>
              <w:rPr>
                <w:rFonts w:hint="eastAsia" w:ascii="方正仿宋_GBK" w:hAnsi="宋体" w:eastAsia="方正仿宋_GBK" w:cs="宋体"/>
                <w:kern w:val="0"/>
                <w:sz w:val="21"/>
                <w:szCs w:val="24"/>
                <w:lang w:eastAsia="zh-CN"/>
              </w:rPr>
              <w:t>重庆市沙坪坝区住房保障中心采购后勤保障服务</w:t>
            </w:r>
          </w:p>
        </w:tc>
        <w:tc>
          <w:tcPr>
            <w:tcW w:w="1662"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80</w:t>
            </w:r>
          </w:p>
        </w:tc>
        <w:tc>
          <w:tcPr>
            <w:tcW w:w="993"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1.6</w:t>
            </w:r>
          </w:p>
        </w:tc>
        <w:tc>
          <w:tcPr>
            <w:tcW w:w="1267"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kern w:val="0"/>
                <w:sz w:val="21"/>
                <w:szCs w:val="24"/>
                <w:lang w:val="en-US" w:eastAsia="zh-CN"/>
              </w:rPr>
            </w:pPr>
            <w:r>
              <w:rPr>
                <w:rFonts w:hint="eastAsia" w:ascii="方正仿宋_GBK" w:hAnsi="宋体" w:eastAsia="方正仿宋_GBK" w:cs="宋体"/>
                <w:kern w:val="0"/>
                <w:sz w:val="21"/>
                <w:szCs w:val="24"/>
                <w:lang w:val="en-US" w:eastAsia="zh-CN"/>
              </w:rPr>
              <w:t>1</w:t>
            </w:r>
          </w:p>
        </w:tc>
        <w:tc>
          <w:tcPr>
            <w:tcW w:w="2516"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b/>
                <w:sz w:val="21"/>
                <w:szCs w:val="21"/>
                <w:lang w:val="en-US" w:eastAsia="zh-CN"/>
              </w:rPr>
            </w:pPr>
            <w:r>
              <w:rPr>
                <w:rFonts w:hint="eastAsia" w:ascii="方正仿宋_GBK" w:hAnsi="宋体" w:eastAsia="方正仿宋_GBK" w:cs="宋体"/>
                <w:kern w:val="0"/>
                <w:sz w:val="21"/>
                <w:szCs w:val="24"/>
              </w:rPr>
              <w:t>物业管理</w:t>
            </w:r>
          </w:p>
        </w:tc>
      </w:tr>
      <w:bookmarkEnd w:id="8"/>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 w:name="_Toc76462318"/>
      <w:bookmarkStart w:id="10" w:name="_Toc106030872"/>
      <w:bookmarkStart w:id="11" w:name="_Toc373860293"/>
      <w:bookmarkStart w:id="12" w:name="_Toc317775178"/>
      <w:r>
        <w:rPr>
          <w:rFonts w:hint="eastAsia" w:ascii="方正仿宋_GBK" w:hAnsi="宋体" w:eastAsia="方正仿宋_GBK"/>
          <w:sz w:val="24"/>
          <w:szCs w:val="24"/>
          <w:lang w:val="en-US" w:eastAsia="zh-CN"/>
        </w:rPr>
        <w:t>注：供应商可同时参加一个或多个分包的磋商，但须分别制作响应文件（有分包时）</w:t>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二、资金来源</w:t>
      </w:r>
      <w:bookmarkEnd w:id="9"/>
      <w:bookmarkEnd w:id="10"/>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sz w:val="24"/>
          <w:szCs w:val="24"/>
        </w:rPr>
        <w:t>财政预算资金，预算金额为</w:t>
      </w:r>
      <w:r>
        <w:rPr>
          <w:rFonts w:hint="eastAsia" w:ascii="方正仿宋_GBK" w:hAnsi="宋体" w:eastAsia="方正仿宋_GBK" w:cs="宋体"/>
          <w:kern w:val="0"/>
          <w:sz w:val="21"/>
          <w:szCs w:val="24"/>
          <w:lang w:val="en-US" w:eastAsia="zh-CN"/>
        </w:rPr>
        <w:t>80</w:t>
      </w:r>
      <w:r>
        <w:rPr>
          <w:rFonts w:hint="eastAsia" w:ascii="方正仿宋_GBK" w:hAnsi="仿宋" w:eastAsia="方正仿宋_GBK"/>
          <w:sz w:val="24"/>
          <w:szCs w:val="24"/>
        </w:rPr>
        <w:t>万元</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3" w:name="_Toc106030873"/>
      <w:bookmarkStart w:id="14" w:name="_Toc76462319"/>
      <w:r>
        <w:rPr>
          <w:rFonts w:hint="eastAsia" w:ascii="方正仿宋_GBK" w:hAnsi="宋体" w:eastAsia="方正仿宋_GBK"/>
          <w:sz w:val="24"/>
        </w:rPr>
        <w:t>三、供应商资格条件</w:t>
      </w:r>
      <w:bookmarkEnd w:id="13"/>
      <w:bookmarkEnd w:id="1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（二）落实政府采购政策需满足的资格要求：</w:t>
      </w:r>
      <w:r>
        <w:rPr>
          <w:rFonts w:hint="eastAsia" w:ascii="方正仿宋_GBK" w:hAnsi="宋体" w:eastAsia="方正仿宋_GBK"/>
          <w:sz w:val="24"/>
          <w:szCs w:val="24"/>
          <w:lang w:val="en-US" w:eastAsia="zh-CN"/>
        </w:rPr>
        <w:t>本项目</w:t>
      </w:r>
      <w:r>
        <w:rPr>
          <w:rFonts w:hint="eastAsia" w:ascii="方正仿宋_GBK" w:hAnsi="宋体" w:eastAsia="方正仿宋_GBK"/>
          <w:sz w:val="24"/>
          <w:szCs w:val="24"/>
        </w:rPr>
        <w:t>属于专门面向中小企业采购的项目</w:t>
      </w:r>
      <w:r>
        <w:rPr>
          <w:rFonts w:hint="eastAsia" w:ascii="方正仿宋_GBK" w:hAnsi="宋体" w:eastAsia="方正仿宋_GBK"/>
          <w:sz w:val="24"/>
          <w:szCs w:val="24"/>
          <w:lang w:eastAsia="zh-CN"/>
        </w:rPr>
        <w:t>，服务承接单位应为中小微企业、监狱企业、残疾人福利性单位。</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lang w:eastAsia="zh-CN"/>
        </w:rPr>
        <w:t>）</w:t>
      </w:r>
      <w:r>
        <w:rPr>
          <w:rFonts w:hint="eastAsia" w:ascii="方正仿宋_GBK" w:hAnsi="宋体" w:eastAsia="方正仿宋_GBK"/>
          <w:sz w:val="24"/>
          <w:szCs w:val="24"/>
        </w:rPr>
        <w:t>本项目的特定资格要求：</w:t>
      </w:r>
      <w:r>
        <w:rPr>
          <w:rFonts w:hint="eastAsia" w:ascii="方正仿宋_GBK" w:hAnsi="宋体" w:eastAsia="方正仿宋_GBK"/>
          <w:sz w:val="24"/>
          <w:szCs w:val="24"/>
          <w:lang w:val="en-US" w:eastAsia="zh-CN"/>
        </w:rPr>
        <w:t>已按规定缴纳保证金的证明材料。</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5" w:name="_Toc106030874"/>
      <w:bookmarkStart w:id="16" w:name="_Toc76462320"/>
      <w:r>
        <w:rPr>
          <w:rFonts w:hint="eastAsia" w:ascii="方正仿宋_GBK" w:hAnsi="宋体" w:eastAsia="方正仿宋_GBK"/>
          <w:sz w:val="24"/>
        </w:rPr>
        <w:t>四、磋商有关说明</w:t>
      </w:r>
      <w:bookmarkEnd w:id="11"/>
      <w:bookmarkEnd w:id="15"/>
      <w:bookmarkEnd w:id="1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（一）供应商应通过重庆市政府采购网（</w:t>
      </w: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HYPERLINK "http://www.cqgp.gov.cn" </w:instrText>
      </w:r>
      <w:r>
        <w:rPr>
          <w:rFonts w:hint="eastAsia" w:ascii="方正仿宋_GBK" w:hAnsi="宋体" w:eastAsia="方正仿宋_GBK"/>
          <w:sz w:val="24"/>
          <w:szCs w:val="24"/>
        </w:rPr>
        <w:fldChar w:fldCharType="separate"/>
      </w:r>
      <w:r>
        <w:rPr>
          <w:rStyle w:val="17"/>
          <w:rFonts w:hint="eastAsia" w:ascii="方正仿宋_GBK" w:hAnsi="宋体" w:eastAsia="方正仿宋_GBK"/>
          <w:color w:val="auto"/>
          <w:szCs w:val="24"/>
        </w:rPr>
        <w:t>www.ccgp-chongqing.gov.cn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）登记加入“重庆市政府采购供应商库”。</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（二）凡有意参加磋商的供应商，请在重庆市政府采购网上下载本项目竞争性磋商文件以及图纸、</w:t>
      </w:r>
      <w:r>
        <w:rPr>
          <w:rFonts w:hint="eastAsia" w:ascii="方正仿宋_GBK" w:hAnsi="宋体" w:eastAsia="方正仿宋_GBK"/>
          <w:sz w:val="24"/>
          <w:szCs w:val="24"/>
          <w:lang w:val="en-US" w:eastAsia="zh-CN"/>
        </w:rPr>
        <w:t>附件、补遗、</w:t>
      </w:r>
      <w:r>
        <w:rPr>
          <w:rFonts w:hint="eastAsia" w:ascii="方正仿宋_GBK" w:hAnsi="宋体" w:eastAsia="方正仿宋_GBK"/>
          <w:sz w:val="24"/>
          <w:szCs w:val="24"/>
        </w:rPr>
        <w:t>澄清等磋商前公布的所有项目资料，无论供应商下载与否，均视为已知晓所有磋商实质性要求内容。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（三）竞争性磋商公告期限：自采购公告发布之日起</w:t>
      </w:r>
      <w:r>
        <w:rPr>
          <w:rFonts w:hint="eastAsia" w:ascii="方正仿宋_GBK" w:hAnsi="宋体" w:eastAsia="方正仿宋_GBK"/>
          <w:sz w:val="24"/>
          <w:szCs w:val="24"/>
          <w:lang w:val="en-US" w:eastAsia="zh-CN"/>
        </w:rPr>
        <w:t>五</w:t>
      </w:r>
      <w:r>
        <w:rPr>
          <w:rFonts w:hint="eastAsia" w:ascii="方正仿宋_GBK" w:hAnsi="宋体" w:eastAsia="方正仿宋_GBK"/>
          <w:sz w:val="24"/>
          <w:szCs w:val="24"/>
        </w:rPr>
        <w:t>个工作日。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（四）竞争性磋商文件发售期限：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1.竞争性磋商文件发售期：</w:t>
      </w:r>
      <w:r>
        <w:rPr>
          <w:rFonts w:hint="eastAsia" w:ascii="方正仿宋_GBK" w:hAnsi="宋体" w:eastAsia="方正仿宋_GBK"/>
          <w:sz w:val="24"/>
          <w:szCs w:val="24"/>
          <w:lang w:val="en-US" w:eastAsia="zh-CN"/>
        </w:rPr>
        <w:t>2023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12</w:t>
      </w:r>
      <w:r>
        <w:rPr>
          <w:rFonts w:hint="eastAsia" w:ascii="方正仿宋_GBK" w:hAnsi="宋体" w:eastAsia="方正仿宋_GBK"/>
          <w:sz w:val="24"/>
          <w:szCs w:val="24"/>
        </w:rPr>
        <w:t>日</w:t>
      </w:r>
      <w:r>
        <w:rPr>
          <w:rFonts w:hint="eastAsia" w:ascii="方正仿宋_GBK" w:hAnsi="宋体" w:eastAsia="方正仿宋_GBK"/>
          <w:sz w:val="24"/>
          <w:szCs w:val="24"/>
          <w:lang w:val="en-US" w:eastAsia="zh-CN"/>
        </w:rPr>
        <w:t>起五个工作日</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2.报名方式：</w:t>
      </w:r>
      <w:r>
        <w:rPr>
          <w:rFonts w:hint="eastAsia" w:ascii="方正仿宋_GBK" w:hAnsi="宋体" w:eastAsia="方正仿宋_GBK"/>
          <w:sz w:val="24"/>
          <w:szCs w:val="24"/>
          <w:lang w:val="en-US" w:eastAsia="zh-CN"/>
        </w:rPr>
        <w:t>本项目无须报名。</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3.竞争性磋商文件售价：人民币</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元/包。</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（五）递交响应文件地点：</w:t>
      </w:r>
      <w:r>
        <w:rPr>
          <w:rFonts w:hint="eastAsia" w:ascii="方正仿宋_GBK" w:hAnsi="宋体" w:eastAsia="方正仿宋_GBK"/>
          <w:color w:val="000000"/>
          <w:sz w:val="24"/>
          <w:szCs w:val="24"/>
        </w:rPr>
        <w:t>重庆市沙坪坝区公共资源交易中心</w:t>
      </w:r>
      <w:r>
        <w:rPr>
          <w:rFonts w:hint="eastAsia" w:ascii="方正仿宋_GBK" w:hAnsi="宋体" w:eastAsia="方正仿宋_GBK"/>
          <w:color w:val="000000"/>
          <w:sz w:val="24"/>
          <w:szCs w:val="24"/>
          <w:lang w:eastAsia="zh-CN"/>
        </w:rPr>
        <w:t>（</w:t>
      </w:r>
      <w:r>
        <w:rPr>
          <w:rFonts w:hint="eastAsia" w:ascii="方正仿宋_GBK" w:hAnsi="宋体" w:eastAsia="方正仿宋_GBK"/>
          <w:color w:val="000000"/>
          <w:sz w:val="24"/>
          <w:szCs w:val="24"/>
        </w:rPr>
        <w:t>重庆市沙坪坝区沙中路</w:t>
      </w: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号</w:t>
      </w:r>
      <w:r>
        <w:rPr>
          <w:rFonts w:hint="eastAsia" w:ascii="方正仿宋_GBK" w:hAnsi="宋体" w:eastAsia="方正仿宋_GBK"/>
          <w:color w:val="000000"/>
          <w:sz w:val="24"/>
          <w:szCs w:val="24"/>
          <w:lang w:eastAsia="zh-CN"/>
        </w:rPr>
        <w:t>附</w:t>
      </w:r>
      <w:r>
        <w:rPr>
          <w:rFonts w:hint="eastAsia" w:ascii="方正仿宋_GBK" w:hAnsi="宋体" w:eastAsia="方正仿宋_GBK"/>
          <w:color w:val="000000"/>
          <w:sz w:val="24"/>
          <w:szCs w:val="24"/>
          <w:lang w:val="en-US" w:eastAsia="zh-CN"/>
        </w:rPr>
        <w:t>6号）</w:t>
      </w:r>
      <w:r>
        <w:rPr>
          <w:rFonts w:hint="eastAsia" w:ascii="方正仿宋_GBK" w:hAnsi="宋体" w:eastAsia="方正仿宋_GBK"/>
          <w:color w:val="000000"/>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（六）响应文件递交截止时间：202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00</w:t>
      </w:r>
      <w:r>
        <w:rPr>
          <w:rFonts w:hint="eastAsia" w:ascii="方正仿宋_GBK" w:hAnsi="宋体" w:eastAsia="方正仿宋_GBK"/>
          <w:sz w:val="24"/>
          <w:szCs w:val="24"/>
        </w:rPr>
        <w:t>（以本项目开标室门口</w:t>
      </w:r>
      <w:r>
        <w:rPr>
          <w:rFonts w:hint="eastAsia" w:ascii="方正仿宋_GBK" w:hAnsi="宋体" w:eastAsia="方正仿宋_GBK"/>
          <w:sz w:val="24"/>
          <w:szCs w:val="24"/>
          <w:lang w:val="en-US" w:eastAsia="zh-CN"/>
        </w:rPr>
        <w:t>显示屏</w:t>
      </w:r>
      <w:r>
        <w:rPr>
          <w:rFonts w:hint="eastAsia" w:ascii="方正仿宋_GBK" w:hAnsi="宋体" w:eastAsia="方正仿宋_GBK"/>
          <w:sz w:val="24"/>
          <w:szCs w:val="24"/>
        </w:rPr>
        <w:t>时间为准）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（七）磋商开始时间：202</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年</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29</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00</w:t>
      </w:r>
      <w:r>
        <w:rPr>
          <w:rFonts w:hint="eastAsia" w:ascii="方正仿宋_GBK" w:hAnsi="宋体" w:eastAsia="方正仿宋_GBK"/>
          <w:sz w:val="24"/>
          <w:szCs w:val="24"/>
        </w:rPr>
        <w:t>（以本项目开标室门口</w:t>
      </w:r>
      <w:r>
        <w:rPr>
          <w:rFonts w:hint="eastAsia" w:ascii="方正仿宋_GBK" w:hAnsi="宋体" w:eastAsia="方正仿宋_GBK"/>
          <w:sz w:val="24"/>
          <w:szCs w:val="24"/>
          <w:lang w:val="en-US" w:eastAsia="zh-CN"/>
        </w:rPr>
        <w:t>显示屏</w:t>
      </w:r>
      <w:r>
        <w:rPr>
          <w:rFonts w:hint="eastAsia" w:ascii="方正仿宋_GBK" w:hAnsi="宋体" w:eastAsia="方正仿宋_GBK"/>
          <w:sz w:val="24"/>
          <w:szCs w:val="24"/>
        </w:rPr>
        <w:t>时间为准）</w:t>
      </w:r>
    </w:p>
    <w:bookmarkEnd w:id="12"/>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7" w:name="_Toc65660334"/>
      <w:bookmarkStart w:id="18" w:name="_Toc521053053"/>
      <w:bookmarkStart w:id="19" w:name="_Toc6178"/>
      <w:bookmarkStart w:id="20" w:name="_Toc4638"/>
      <w:bookmarkStart w:id="21" w:name="_Toc525047161"/>
      <w:bookmarkStart w:id="22" w:name="_Toc106034774"/>
      <w:bookmarkStart w:id="23" w:name="_Toc11956"/>
      <w:bookmarkStart w:id="24" w:name="_Toc76462321"/>
      <w:bookmarkStart w:id="25" w:name="_Toc106030875"/>
      <w:bookmarkStart w:id="26" w:name="_Toc480466698"/>
      <w:bookmarkStart w:id="27" w:name="_Toc479668114"/>
      <w:r>
        <w:rPr>
          <w:rFonts w:hint="eastAsia" w:ascii="方正仿宋_GBK" w:hAnsi="宋体" w:eastAsia="方正仿宋_GBK"/>
          <w:sz w:val="24"/>
        </w:rPr>
        <w:t>五、保证金</w:t>
      </w:r>
      <w:bookmarkEnd w:id="17"/>
      <w:bookmarkEnd w:id="18"/>
      <w:bookmarkEnd w:id="19"/>
      <w:bookmarkEnd w:id="20"/>
      <w:bookmarkEnd w:id="21"/>
      <w:bookmarkEnd w:id="22"/>
      <w:bookmarkEnd w:id="23"/>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（一）缴纳保证金方式</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方式1：转账（若供应商选择此方式，须执行本规定）</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1.1供应商必须于2023年1月12日北京时间17:00′00″前将投标保证金以非现金形式从本单位账户转入重庆市沙坪坝区公共资源交易中心指定的保证金账户。</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1.2保证金应按招标文件规定的方式和金额缴纳;有分包的应按各分包对应的缴纳保证金专户信息（由母账号及子账号组成）缴纳;供应商应按本次采购项目公告提供的专户信息（由母账号及子账号组成）及保证金金额一次性足额缴纳保证金,否则将认定为无效投标。</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注：响应供应商须自行考虑转账时间风险，因银行等原因造成的保证金到账确认时间延迟，重庆市沙坪坝区公共资源交易中心不承担任何责任。</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1.3保证金退还方式</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1.3.1《成交通知书》发出后无息退还未成交供应商的保证金，在采购合同签订后无息退还成交供应商的保证金。</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方式2：电子投标保函（若供应商选择此方式，须执行本规定）</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2.1电子投标保函交纳形式及要求</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供应商在投标文件递交截止时间前通过金融服务支撑平台向金融机构申请开具电子投标保函，电子投标保函应至少体现如下内容：</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2.1.1担保项目必须为本项目。</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2.1.2受益人必须为本项目采购人。</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2.1.3保函担保金额必须满足本项目招标文件要求：详见本篇“一、招标项目内容”。</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2.1.4保函生效时间必须在2023年1月  日前（含），有效期限必须至少包含至整个投标有效期结束后30日。否则，投标保函无效，判定为不符合本项目资格要求。</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2.2投标保函有效性</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电子投标保函的有效性以重庆市沙坪坝区公共资源交易中心开标现场提交的投标保函缴纳情况的信息为准。</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2.3若供应商为联合体，则由联合体牵头人提供投标保函。</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2.4技术咨询电话：023-65360409</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方式3：纸质投标保函（若供应商选择此方式，须执行本规定）</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3.1纸质投标保函交纳形式及要求：</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3.1.1缴纳形式：响应供应商提供不可撤销且见索即付的金融机构或担保机构保函。</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3.1.2具体要求：响应供应商须在投标文件的“资格文件”中提供开具的纸质投标保函正本复制件，纸质投标保函正本原件应当于投标文件提交截止时间前在开标现场递交，由采购代理机构保管。纸质投标保函应至少体现如下内容：</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3.1.2.1担保项目必须为本项目。</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3.1.2.2受益人必须为本项目采购人。</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3.1.2.3保函担保金额必须满足本项目招标文件要求。</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3.1.2.4保函生效时间必须在2023年1月  日前（含），有效期限必须至少包含至整个投标有效期结束后30日；</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3.1.2.5保函须不可撤销且见索即付。</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3.2若投标截止时间延期，则纸质投标保函递交的截止时间和投标截止时间保持一致。</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3.3采购代理机构展示纸质投标保函方式保证金的交纳情况，并对异常情况进行记录。</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3.4资格审查委员会负责对保函内容进行形式审查，不满足上述要求的纸质投标保函无效。</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3.5以纸质投标保函形式担保的投标保证金的金额：详见本篇“一、招标项目内容”。</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3.6响应供应商须确保其递交的纸质投标保函能在重庆市核验真伪，并在投标文件的“资格文件”中提供纸质投标保函的核验地点、方式和联系人，否则该纸质投标保函视为无效。</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3.7响应供应商在开标现场递交的纸质投标保函原件应与投标文件中提供的纸质投标保函扫描件一致，否则判定为不符合本项目资格要求。</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3.8在发出中标通知书前，采购人应当对响应供应商（至少中标候选人或中标人）的纸质投标保函开展核验。采购人按照响应供应商提供的核验地点、方式和联系人等信息无法对该纸质投标保函进行核验的，或发现响应供应商递交的纸质投标保函弄虚作假的，对已取得中标候选人资格或中标资格的响应供应商，取消中标候选人资格或中标资格，给采购人造成损失的，响应供应商依法承担赔偿责任。采购人对纸质投标保函无法核验的，应当报行政监管部门依法依规处理；对纸质投标保函弄虚作假的，应当报行政监管部门和公安机关依法依规处理。</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3.9若响应供应商为联合体，则由联合体牵头人提供纸质投标保函。</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3.10纸质投标保函的退还、注销</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3.10.1采购人应当在法定时间内确定中标人，采购代理机构向中标人发出中标通知书，同时向除中标人以外的其他响应供应商退还纸质投标保函正本并书面通知担保人本项目准予提前注销纸质投标保函。具体注销事宜由响应供应商负责办理。</w:t>
      </w:r>
    </w:p>
    <w:p>
      <w:pPr>
        <w:snapToGrid w:val="0"/>
        <w:spacing w:line="400" w:lineRule="exact"/>
        <w:ind w:firstLine="480" w:firstLineChars="200"/>
        <w:rPr>
          <w:rFonts w:hint="default" w:ascii="方正仿宋_GBK" w:hAnsi="宋体" w:eastAsia="方正仿宋_GBK"/>
          <w:sz w:val="24"/>
          <w:szCs w:val="24"/>
        </w:rPr>
      </w:pPr>
      <w:r>
        <w:rPr>
          <w:rFonts w:hint="eastAsia" w:ascii="方正仿宋_GBK" w:hAnsi="宋体" w:eastAsia="方正仿宋_GBK"/>
          <w:sz w:val="24"/>
          <w:szCs w:val="24"/>
          <w:lang w:val="en-US" w:eastAsia="zh-CN"/>
        </w:rPr>
        <w:t>3.10.2采购人应在法定时间内和中标人签订合同，并同时书面通知担保人向中标人注销纸质投标保函。具体注销事宜由响应供应商负责办理</w:t>
      </w:r>
      <w:r>
        <w:rPr>
          <w:rFonts w:hint="default"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lang w:val="en-US" w:eastAsia="zh-CN"/>
        </w:rPr>
        <w:t>（二）</w:t>
      </w:r>
      <w:r>
        <w:rPr>
          <w:rFonts w:hint="eastAsia" w:ascii="方正仿宋_GBK" w:hAnsi="宋体" w:eastAsia="方正仿宋_GBK"/>
          <w:color w:val="auto"/>
          <w:sz w:val="24"/>
          <w:szCs w:val="24"/>
          <w:lang w:val="en-US" w:eastAsia="zh-CN"/>
        </w:rPr>
        <w:t>履约保证金</w:t>
      </w:r>
    </w:p>
    <w:p>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成交供应商应在签订合同前将履约保证金以非现金形式提交至采购人指定账户，履约保证金的金额为成交金额的3%。</w:t>
      </w:r>
    </w:p>
    <w:p>
      <w:pPr>
        <w:pStyle w:val="3"/>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t>采购项目需落实的政府采购政策</w:t>
      </w:r>
      <w:bookmarkEnd w:id="24"/>
      <w:bookmarkEnd w:id="25"/>
      <w:bookmarkEnd w:id="26"/>
      <w:bookmarkEnd w:id="27"/>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（二）按照财政部、工业和信息化部关于印发《政府采购促进中小企业发展管理办法》的通知（财库〔2020〕46号）的规定，落实促进中小企业发展政策。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（三）按照《财政部、司法部关于政府采购支持监狱企业发展有关问题的通知》（财库〔2014〕68号）的规定，落实支持监狱企业发展政策。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（四）按照《三部门联合发布关于促进残疾人就业政府采购政策的通知》（财库〔2017〕 141号）的规定，落实支持残疾人福利性单位发展政策。</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28" w:name="_Toc480466699"/>
      <w:bookmarkStart w:id="29" w:name="_Toc106030876"/>
      <w:bookmarkStart w:id="30" w:name="_Toc76462322"/>
      <w:r>
        <w:rPr>
          <w:rFonts w:hint="eastAsia" w:ascii="方正仿宋_GBK" w:hAnsi="宋体" w:eastAsia="方正仿宋_GBK"/>
          <w:sz w:val="24"/>
        </w:rPr>
        <w:t>六、其它有关规定</w:t>
      </w:r>
      <w:bookmarkEnd w:id="28"/>
      <w:bookmarkEnd w:id="29"/>
      <w:bookmarkEnd w:id="30"/>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，否则均为无效响应。</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（三）本项目的澄清文件（如果有）一律在重庆市政府采购网（www.ccgp-chongqing.gov.cn）上发布，请各供应商注意下载；无论供应商下载与否，均视同供应商已知晓本项目澄清文件（如果有）的内容。</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（四）超过响应文件截止时间递交的响应文件，恕不接收。</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（五）磋商费用：无论磋商结果如何，供应商参与本项目磋商的所有费用均应由供应商自行承担。</w:t>
      </w:r>
    </w:p>
    <w:p>
      <w:pPr>
        <w:snapToGrid w:val="0"/>
        <w:spacing w:line="400" w:lineRule="exact"/>
        <w:ind w:firstLine="361" w:firstLineChars="150"/>
        <w:rPr>
          <w:rFonts w:hint="eastAsia" w:ascii="方正仿宋_GBK" w:hAnsi="宋体" w:eastAsia="方正仿宋_GBK" w:cs="Times New Roman"/>
          <w:b/>
          <w:kern w:val="2"/>
          <w:sz w:val="24"/>
          <w:szCs w:val="22"/>
          <w:lang w:val="en-US" w:eastAsia="zh-CN" w:bidi="ar-SA"/>
        </w:rPr>
      </w:pPr>
      <w:r>
        <w:rPr>
          <w:rFonts w:hint="eastAsia" w:ascii="方正仿宋_GBK" w:hAnsi="宋体" w:eastAsia="方正仿宋_GBK" w:cs="Times New Roman"/>
          <w:b/>
          <w:kern w:val="2"/>
          <w:sz w:val="24"/>
          <w:szCs w:val="22"/>
          <w:lang w:val="en-US" w:eastAsia="zh-CN" w:bidi="ar-SA"/>
        </w:rPr>
        <w:t>（六）本项目不接受联合体参与磋商，否则按无效响应处理。</w:t>
      </w:r>
    </w:p>
    <w:p>
      <w:pPr>
        <w:snapToGrid w:val="0"/>
        <w:spacing w:line="400" w:lineRule="exact"/>
        <w:ind w:firstLine="361" w:firstLineChars="150"/>
        <w:rPr>
          <w:rFonts w:hint="eastAsia" w:ascii="方正仿宋_GBK" w:hAnsi="宋体" w:eastAsia="方正仿宋_GBK" w:cs="Times New Roman"/>
          <w:b/>
          <w:kern w:val="2"/>
          <w:sz w:val="24"/>
          <w:szCs w:val="22"/>
          <w:lang w:val="en-US" w:eastAsia="zh-CN" w:bidi="ar-SA"/>
        </w:rPr>
      </w:pPr>
      <w:r>
        <w:rPr>
          <w:rFonts w:hint="eastAsia" w:ascii="方正仿宋_GBK" w:hAnsi="宋体" w:eastAsia="方正仿宋_GBK" w:cs="Times New Roman"/>
          <w:b/>
          <w:kern w:val="2"/>
          <w:sz w:val="24"/>
          <w:szCs w:val="22"/>
          <w:lang w:val="en-US" w:eastAsia="zh-CN" w:bidi="ar-SA"/>
        </w:rPr>
        <w:t>（七）本项目不接受合同分包，否则按无效响应处理。</w:t>
      </w:r>
    </w:p>
    <w:p>
      <w:pPr>
        <w:snapToGrid w:val="0"/>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（八）</w:t>
      </w:r>
      <w:bookmarkStart w:id="31" w:name="_Toc480466700"/>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2" w:name="_Toc106030877"/>
      <w:bookmarkStart w:id="33" w:name="_Toc76462323"/>
      <w:r>
        <w:rPr>
          <w:rFonts w:hint="eastAsia" w:ascii="方正仿宋_GBK" w:hAnsi="宋体" w:eastAsia="方正仿宋_GBK"/>
          <w:sz w:val="24"/>
        </w:rPr>
        <w:t>七、联系方式</w:t>
      </w:r>
      <w:bookmarkEnd w:id="31"/>
      <w:bookmarkEnd w:id="32"/>
      <w:bookmarkEnd w:id="33"/>
    </w:p>
    <w:p>
      <w:pPr>
        <w:snapToGrid w:val="0"/>
        <w:spacing w:line="400" w:lineRule="exact"/>
        <w:ind w:firstLine="480" w:firstLineChars="200"/>
        <w:outlineLvl w:val="2"/>
        <w:rPr>
          <w:rFonts w:hint="eastAsia" w:ascii="方正仿宋_GBK" w:hAnsi="宋体" w:eastAsia="方正仿宋_GBK"/>
          <w:sz w:val="24"/>
          <w:szCs w:val="24"/>
          <w:lang w:eastAsia="zh-CN"/>
        </w:rPr>
      </w:pPr>
      <w:r>
        <w:rPr>
          <w:rFonts w:hint="eastAsia" w:ascii="方正仿宋_GBK" w:hAnsi="宋体" w:eastAsia="方正仿宋_GBK"/>
          <w:sz w:val="24"/>
          <w:szCs w:val="24"/>
        </w:rPr>
        <w:t>（一）采购人：</w:t>
      </w:r>
      <w:r>
        <w:rPr>
          <w:rFonts w:hint="eastAsia" w:ascii="方正仿宋_GBK" w:hAnsi="宋体" w:eastAsia="方正仿宋_GBK"/>
          <w:sz w:val="24"/>
          <w:szCs w:val="24"/>
          <w:lang w:eastAsia="zh-CN"/>
        </w:rPr>
        <w:t>重庆市沙坪坝区住房保障中心</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张老师</w:t>
      </w:r>
      <w:r>
        <w:rPr>
          <w:rFonts w:hint="eastAsia" w:ascii="方正仿宋_GBK" w:hAnsi="宋体" w:eastAsia="方正仿宋_GBK"/>
          <w:sz w:val="24"/>
          <w:szCs w:val="24"/>
        </w:rPr>
        <w:t xml:space="preserve">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话：023-65390019</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址：沙坪坝区学府悦园公租房小区清悦路3号附6号（C1组团）</w:t>
      </w:r>
    </w:p>
    <w:p>
      <w:pPr>
        <w:snapToGrid w:val="0"/>
        <w:spacing w:line="400" w:lineRule="exact"/>
        <w:ind w:firstLine="480" w:firstLineChars="200"/>
        <w:outlineLvl w:val="2"/>
        <w:rPr>
          <w:rFonts w:hint="eastAsia" w:ascii="方正仿宋_GBK" w:hAnsi="宋体" w:eastAsia="方正仿宋_GBK"/>
          <w:sz w:val="24"/>
          <w:szCs w:val="24"/>
        </w:rPr>
      </w:pPr>
      <w:r>
        <w:rPr>
          <w:rFonts w:hint="eastAsia" w:ascii="方正仿宋_GBK" w:hAnsi="宋体" w:eastAsia="方正仿宋_GBK"/>
          <w:sz w:val="24"/>
          <w:szCs w:val="24"/>
        </w:rPr>
        <w:t>（二）采购代理机构：</w:t>
      </w:r>
      <w:r>
        <w:rPr>
          <w:rFonts w:hint="eastAsia" w:ascii="方正仿宋_GBK" w:hAnsi="宋体" w:eastAsia="方正仿宋_GBK"/>
          <w:color w:val="000000"/>
          <w:sz w:val="24"/>
          <w:szCs w:val="24"/>
        </w:rPr>
        <w:t>重庆市沙坪坝区公共资源交易中心</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联系人：</w:t>
      </w:r>
      <w:r>
        <w:rPr>
          <w:rFonts w:hint="eastAsia" w:ascii="方正仿宋_GBK" w:hAnsi="宋体" w:eastAsia="方正仿宋_GBK"/>
          <w:sz w:val="24"/>
          <w:szCs w:val="24"/>
          <w:lang w:val="en-US" w:eastAsia="zh-CN"/>
        </w:rPr>
        <w:t>代老师</w:t>
      </w:r>
      <w:r>
        <w:rPr>
          <w:rFonts w:hint="eastAsia" w:ascii="方正仿宋_GBK" w:hAnsi="宋体" w:eastAsia="方正仿宋_GBK"/>
          <w:sz w:val="24"/>
          <w:szCs w:val="24"/>
        </w:rPr>
        <w:t xml:space="preserve">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  话：023-</w:t>
      </w:r>
      <w:r>
        <w:rPr>
          <w:rFonts w:hint="eastAsia" w:ascii="方正仿宋_GBK" w:hAnsi="宋体" w:eastAsia="方正仿宋_GBK"/>
          <w:sz w:val="24"/>
          <w:szCs w:val="24"/>
          <w:lang w:val="en-US" w:eastAsia="zh-CN"/>
        </w:rPr>
        <w:t>81151011</w:t>
      </w:r>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质疑联系人：周老师</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联系电话</w:t>
      </w:r>
      <w:r>
        <w:rPr>
          <w:rFonts w:hint="eastAsia" w:ascii="方正仿宋_GBK" w:hAnsi="宋体" w:eastAsia="方正仿宋_GBK"/>
          <w:sz w:val="24"/>
          <w:szCs w:val="24"/>
        </w:rPr>
        <w:t>：023-</w:t>
      </w:r>
      <w:r>
        <w:rPr>
          <w:rFonts w:hint="eastAsia" w:ascii="方正仿宋_GBK" w:hAnsi="宋体" w:eastAsia="方正仿宋_GBK"/>
          <w:sz w:val="24"/>
          <w:szCs w:val="24"/>
          <w:lang w:val="en-US" w:eastAsia="zh-CN"/>
        </w:rPr>
        <w:t>81151009</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  址：</w:t>
      </w:r>
      <w:r>
        <w:rPr>
          <w:rFonts w:hint="eastAsia" w:ascii="方正仿宋_GBK" w:hAnsi="宋体" w:eastAsia="方正仿宋_GBK"/>
          <w:color w:val="000000"/>
          <w:sz w:val="24"/>
          <w:szCs w:val="24"/>
        </w:rPr>
        <w:t>重庆市沙坪坝区沙中路</w:t>
      </w:r>
      <w:r>
        <w:rPr>
          <w:rFonts w:hint="eastAsia" w:ascii="方正仿宋_GBK" w:hAnsi="宋体" w:eastAsia="方正仿宋_GBK"/>
          <w:color w:val="000000"/>
          <w:sz w:val="24"/>
          <w:szCs w:val="24"/>
          <w:lang w:val="en-US" w:eastAsia="zh-CN"/>
        </w:rPr>
        <w:t>6</w:t>
      </w:r>
      <w:r>
        <w:rPr>
          <w:rFonts w:hint="eastAsia" w:ascii="方正仿宋_GBK" w:hAnsi="宋体" w:eastAsia="方正仿宋_GBK"/>
          <w:color w:val="000000"/>
          <w:sz w:val="24"/>
          <w:szCs w:val="24"/>
        </w:rPr>
        <w:t>号</w:t>
      </w:r>
      <w:r>
        <w:rPr>
          <w:rFonts w:hint="eastAsia" w:ascii="方正仿宋_GBK" w:hAnsi="宋体" w:eastAsia="方正仿宋_GBK"/>
          <w:color w:val="000000"/>
          <w:sz w:val="24"/>
          <w:szCs w:val="24"/>
          <w:lang w:eastAsia="zh-CN"/>
        </w:rPr>
        <w:t>附</w:t>
      </w:r>
      <w:r>
        <w:rPr>
          <w:rFonts w:hint="eastAsia" w:ascii="方正仿宋_GBK" w:hAnsi="宋体" w:eastAsia="方正仿宋_GBK"/>
          <w:color w:val="000000"/>
          <w:sz w:val="24"/>
          <w:szCs w:val="24"/>
          <w:lang w:val="en-US" w:eastAsia="zh-CN"/>
        </w:rPr>
        <w:t>6号</w:t>
      </w: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2" w:firstLineChars="200"/>
        <w:rPr>
          <w:rFonts w:hint="eastAsia" w:ascii="宋体" w:hAnsi="宋体"/>
          <w:b/>
          <w:sz w:val="24"/>
          <w:szCs w:val="24"/>
        </w:rPr>
        <w:sectPr>
          <w:pgSz w:w="11907" w:h="16840"/>
          <w:pgMar w:top="1134" w:right="1418" w:bottom="1134" w:left="1418" w:header="964" w:footer="992" w:gutter="0"/>
          <w:pgNumType w:fmt="numberInDash"/>
          <w:cols w:space="720" w:num="1"/>
          <w:docGrid w:linePitch="312" w:charSpace="0"/>
        </w:sectPr>
      </w:pPr>
    </w:p>
    <w:p>
      <w:pPr>
        <w:pStyle w:val="3"/>
        <w:spacing w:before="0" w:after="0" w:line="360" w:lineRule="auto"/>
        <w:jc w:val="center"/>
        <w:rPr>
          <w:rFonts w:hint="eastAsia" w:ascii="方正小标宋_GBK" w:hAnsi="宋体" w:eastAsia="方正小标宋_GBK"/>
          <w:b w:val="0"/>
          <w:sz w:val="30"/>
          <w:szCs w:val="30"/>
        </w:rPr>
      </w:pPr>
      <w:bookmarkStart w:id="34" w:name="_Toc106030878"/>
      <w:bookmarkStart w:id="35" w:name="_Toc76462324"/>
      <w:r>
        <w:rPr>
          <w:rFonts w:hint="eastAsia" w:ascii="方正小标宋_GBK" w:hAnsi="宋体" w:eastAsia="方正小标宋_GBK"/>
          <w:b w:val="0"/>
          <w:sz w:val="36"/>
          <w:szCs w:val="30"/>
        </w:rPr>
        <w:t>第二篇  项目服务需求</w:t>
      </w:r>
      <w:bookmarkEnd w:id="34"/>
      <w:bookmarkEnd w:id="35"/>
    </w:p>
    <w:p>
      <w:pPr>
        <w:spacing w:line="400" w:lineRule="exact"/>
        <w:ind w:firstLine="480" w:firstLineChars="200"/>
        <w:rPr>
          <w:rFonts w:hint="eastAsia" w:ascii="方正仿宋_GBK" w:hAnsi="宋体" w:eastAsia="方正仿宋_GBK"/>
          <w:sz w:val="24"/>
          <w:szCs w:val="24"/>
        </w:rPr>
      </w:pPr>
      <w:bookmarkStart w:id="36" w:name="_Toc76462325"/>
      <w:bookmarkStart w:id="37" w:name="_Toc12789058"/>
      <w:r>
        <w:rPr>
          <w:rFonts w:hint="eastAsia" w:ascii="方正仿宋_GBK" w:hAnsi="宋体" w:eastAsia="方正仿宋_GBK"/>
          <w:sz w:val="24"/>
          <w:szCs w:val="24"/>
        </w:rPr>
        <w:t>“※”标注的服务需求为符合性审查中的实质性要求，响应文件若不满足按无效响应处理。</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8" w:name="_Toc106030879"/>
      <w:r>
        <w:rPr>
          <w:rFonts w:hint="eastAsia" w:ascii="方正仿宋_GBK" w:hAnsi="宋体" w:eastAsia="方正仿宋_GBK"/>
          <w:sz w:val="24"/>
          <w:szCs w:val="24"/>
        </w:rPr>
        <w:t>※</w:t>
      </w:r>
      <w:r>
        <w:rPr>
          <w:rFonts w:hint="eastAsia" w:ascii="方正仿宋_GBK" w:hAnsi="宋体" w:eastAsia="方正仿宋_GBK"/>
          <w:sz w:val="24"/>
        </w:rPr>
        <w:t>一、项目基本概况介绍</w:t>
      </w:r>
      <w:bookmarkEnd w:id="36"/>
      <w:bookmarkEnd w:id="38"/>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642"/>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802" w:type="dxa"/>
            <w:vAlign w:val="center"/>
          </w:tcPr>
          <w:p>
            <w:pPr>
              <w:jc w:val="cente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名称</w:t>
            </w:r>
          </w:p>
        </w:tc>
        <w:tc>
          <w:tcPr>
            <w:tcW w:w="2642" w:type="dxa"/>
            <w:vAlign w:val="center"/>
          </w:tcPr>
          <w:p>
            <w:pPr>
              <w:jc w:val="cente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成交供应商数量（名）</w:t>
            </w:r>
          </w:p>
        </w:tc>
        <w:tc>
          <w:tcPr>
            <w:tcW w:w="4184" w:type="dxa"/>
            <w:vAlign w:val="center"/>
          </w:tcPr>
          <w:p>
            <w:pPr>
              <w:jc w:val="center"/>
              <w:rPr>
                <w:rFonts w:hint="eastAsia" w:ascii="微软雅黑" w:hAnsi="微软雅黑" w:eastAsia="微软雅黑" w:cs="微软雅黑"/>
                <w:sz w:val="24"/>
                <w:szCs w:val="24"/>
                <w:lang w:val="zh-CN" w:eastAsia="zh-CN"/>
              </w:rPr>
            </w:pPr>
            <w:r>
              <w:rPr>
                <w:rFonts w:hint="eastAsia" w:ascii="微软雅黑" w:hAnsi="微软雅黑" w:eastAsia="微软雅黑" w:cs="微软雅黑"/>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2802" w:type="dxa"/>
            <w:vAlign w:val="top"/>
          </w:tcPr>
          <w:p>
            <w:pP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zh-CN"/>
              </w:rPr>
              <w:t>重庆市沙坪坝区住房保障中心采购后勤保障服务</w:t>
            </w:r>
          </w:p>
        </w:tc>
        <w:tc>
          <w:tcPr>
            <w:tcW w:w="2642" w:type="dxa"/>
            <w:vAlign w:val="center"/>
          </w:tcPr>
          <w:p>
            <w:pPr>
              <w:jc w:val="center"/>
              <w:rPr>
                <w:rFonts w:hint="eastAsia" w:ascii="微软雅黑" w:hAnsi="微软雅黑" w:eastAsia="微软雅黑" w:cs="微软雅黑"/>
                <w:sz w:val="24"/>
                <w:szCs w:val="24"/>
                <w:lang w:val="zh-CN"/>
              </w:rPr>
            </w:pPr>
            <w:r>
              <w:rPr>
                <w:rFonts w:hint="eastAsia" w:ascii="微软雅黑" w:hAnsi="微软雅黑" w:eastAsia="微软雅黑" w:cs="微软雅黑"/>
                <w:sz w:val="24"/>
                <w:szCs w:val="24"/>
                <w:lang w:val="en-US" w:eastAsia="zh-CN"/>
              </w:rPr>
              <w:t>1</w:t>
            </w:r>
          </w:p>
        </w:tc>
        <w:tc>
          <w:tcPr>
            <w:tcW w:w="4184" w:type="dxa"/>
            <w:vAlign w:val="center"/>
          </w:tcPr>
          <w:p>
            <w:pPr>
              <w:jc w:val="cente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合同签订后1年</w:t>
            </w:r>
          </w:p>
        </w:tc>
      </w:tr>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39" w:name="_Toc106030880"/>
      <w:r>
        <w:rPr>
          <w:rFonts w:hint="eastAsia" w:ascii="方正仿宋_GBK" w:hAnsi="宋体" w:eastAsia="方正仿宋_GBK"/>
          <w:sz w:val="24"/>
          <w:szCs w:val="24"/>
        </w:rPr>
        <w:t>※</w:t>
      </w:r>
      <w:r>
        <w:rPr>
          <w:rFonts w:hint="eastAsia" w:ascii="方正仿宋_GBK" w:hAnsi="宋体" w:eastAsia="方正仿宋_GBK"/>
          <w:sz w:val="24"/>
        </w:rPr>
        <w:t>二、</w:t>
      </w:r>
      <w:bookmarkEnd w:id="39"/>
      <w:r>
        <w:rPr>
          <w:rFonts w:hint="eastAsia" w:ascii="方正仿宋_GBK" w:hAnsi="宋体" w:eastAsia="方正仿宋_GBK"/>
          <w:sz w:val="24"/>
        </w:rPr>
        <w:t>项目基本情况</w:t>
      </w:r>
    </w:p>
    <w:p>
      <w:pPr>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zh-CN"/>
        </w:rPr>
        <w:t>服务地址：</w:t>
      </w:r>
    </w:p>
    <w:p>
      <w:pPr>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zh-CN"/>
        </w:rPr>
        <w:t>1.住保中心本部办公室：沙坪坝区学府悦园公租房小区清悦路3号附6号（C1组团）；</w:t>
      </w:r>
    </w:p>
    <w:p>
      <w:pPr>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zh-CN"/>
        </w:rPr>
        <w:t>2.沙坪坝房屋管理工作站：沙坪坝正街77-4-5-1号；</w:t>
      </w:r>
    </w:p>
    <w:p>
      <w:pPr>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zh-CN"/>
        </w:rPr>
        <w:t>3.小龙坎房屋管理工作站：沙坪坝区小龙坎新村路4号；</w:t>
      </w:r>
    </w:p>
    <w:p>
      <w:pPr>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zh-CN"/>
        </w:rPr>
        <w:t>4.学府悦园公租房管理处：沙坪坝区学府悦园公租房小区崇贤路2号7幢商业二楼；</w:t>
      </w:r>
    </w:p>
    <w:p>
      <w:pPr>
        <w:spacing w:line="400" w:lineRule="exact"/>
        <w:ind w:firstLine="480" w:firstLineChars="200"/>
        <w:rPr>
          <w:rFonts w:hint="eastAsia" w:ascii="方正仿宋_GBK" w:hAnsi="宋体" w:eastAsia="方正仿宋_GBK"/>
          <w:sz w:val="24"/>
          <w:szCs w:val="24"/>
          <w:lang w:val="zh-CN"/>
        </w:rPr>
      </w:pPr>
      <w:r>
        <w:rPr>
          <w:rFonts w:hint="eastAsia" w:ascii="方正仿宋_GBK" w:hAnsi="宋体" w:eastAsia="方正仿宋_GBK"/>
          <w:sz w:val="24"/>
          <w:szCs w:val="24"/>
          <w:lang w:val="zh-CN"/>
        </w:rPr>
        <w:t>5.美丽阳光家园公租房管理处：沙坪坝区美丽阳光家园小区公租房小区井源路2号社区便民服务中心三楼</w:t>
      </w:r>
      <w:r>
        <w:rPr>
          <w:rFonts w:hint="eastAsia" w:ascii="方正仿宋_GBK" w:hAnsi="宋体" w:eastAsia="方正仿宋_GBK"/>
          <w:sz w:val="24"/>
          <w:szCs w:val="24"/>
          <w:lang w:val="en-US" w:eastAsia="zh-CN"/>
        </w:rPr>
        <w:t>。</w:t>
      </w:r>
    </w:p>
    <w:p>
      <w:pPr>
        <w:pStyle w:val="3"/>
        <w:adjustRightInd w:val="0"/>
        <w:snapToGrid w:val="0"/>
        <w:spacing w:before="0" w:after="0" w:line="400" w:lineRule="exact"/>
        <w:ind w:firstLine="482" w:firstLineChars="200"/>
        <w:rPr>
          <w:rFonts w:hint="eastAsia" w:ascii="微软雅黑" w:hAnsi="微软雅黑" w:eastAsia="微软雅黑" w:cs="微软雅黑"/>
          <w:b/>
          <w:bCs/>
          <w:sz w:val="24"/>
          <w:szCs w:val="24"/>
          <w:lang w:val="zh-CN"/>
        </w:rPr>
      </w:pPr>
      <w:bookmarkStart w:id="40" w:name="_Toc344475116"/>
      <w:bookmarkStart w:id="41" w:name="_Toc76462326"/>
      <w:bookmarkStart w:id="42" w:name="_Toc106030881"/>
      <w:bookmarkStart w:id="43" w:name="_Toc313536013"/>
      <w:r>
        <w:rPr>
          <w:rFonts w:hint="eastAsia" w:ascii="方正仿宋_GBK" w:hAnsi="宋体" w:eastAsia="方正仿宋_GBK"/>
          <w:sz w:val="24"/>
          <w:szCs w:val="22"/>
        </w:rPr>
        <w:t>※三、</w:t>
      </w:r>
      <w:bookmarkEnd w:id="40"/>
      <w:bookmarkEnd w:id="41"/>
      <w:bookmarkEnd w:id="42"/>
      <w:bookmarkEnd w:id="43"/>
      <w:r>
        <w:rPr>
          <w:rFonts w:hint="eastAsia" w:ascii="方正仿宋_GBK" w:hAnsi="宋体" w:eastAsia="方正仿宋_GBK"/>
          <w:sz w:val="24"/>
          <w:szCs w:val="22"/>
          <w:lang w:val="zh-CN"/>
        </w:rPr>
        <w:t>项目服务内容</w:t>
      </w:r>
    </w:p>
    <w:p>
      <w:pPr>
        <w:spacing w:line="400" w:lineRule="exact"/>
        <w:ind w:firstLine="480" w:firstLineChars="200"/>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住房保障中心本部及学府悦园管理处、沙坪坝房屋管理工作站、小龙坎房屋管理工作站工作站、美丽阳光家园管理处的餐饮服务；住房保障中心本部、沙坪坝房屋管理工作站、小龙坎房屋管理工作站的安保及保洁服务，以及采购人临时交办的相关服务事项等。</w:t>
      </w:r>
    </w:p>
    <w:p>
      <w:pPr>
        <w:pStyle w:val="4"/>
        <w:ind w:firstLine="480" w:firstLineChars="200"/>
        <w:rPr>
          <w:rFonts w:hint="eastAsia" w:ascii="方正仿宋_GBK" w:hAnsi="宋体" w:eastAsia="方正仿宋_GBK" w:cs="Times New Roman"/>
          <w:b/>
          <w:kern w:val="2"/>
          <w:sz w:val="24"/>
          <w:szCs w:val="22"/>
          <w:lang w:val="zh-CN" w:eastAsia="zh-CN" w:bidi="ar-SA"/>
        </w:rPr>
      </w:pPr>
      <w:r>
        <w:rPr>
          <w:rFonts w:hint="eastAsia" w:ascii="方正仿宋_GBK" w:hAnsi="宋体" w:eastAsia="方正仿宋_GBK"/>
          <w:sz w:val="24"/>
          <w:szCs w:val="24"/>
        </w:rPr>
        <w:t>※</w:t>
      </w:r>
      <w:r>
        <w:rPr>
          <w:rFonts w:hint="eastAsia" w:ascii="方正仿宋_GBK" w:hAnsi="宋体" w:eastAsia="方正仿宋_GBK" w:cs="Times New Roman"/>
          <w:b/>
          <w:kern w:val="2"/>
          <w:sz w:val="24"/>
          <w:szCs w:val="22"/>
          <w:lang w:val="zh-CN" w:eastAsia="zh-CN" w:bidi="ar-SA"/>
        </w:rPr>
        <w:t>四、项目服务标准</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1.着统一的工作制服，佩戴工作证；</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2.无迟到、早退，无擅自离岗；无不良嗜好或犯罪前科；</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3.服从采购人管理，自觉遵守员工守则和管理规定，工作主动热情；</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4.操作熟练，正确使用本岗工具；</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5.安保人员熟悉国家有关治安、消防等方面的法律法规，能正确使用治安工具和消防器材，维护管理区域内的正常秩序；</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6.食堂服务人员身体健康、品行端正,无家庭传染病史，能按照食品卫生管理相关规定确保饭菜的质量，并能按照采购方的要求准时向就餐人员提供餐饮保障服务；</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7.保洁人员能按照采购方的要求对各个服务区域内的公共区域（包含公共厕所、门厅、过道、走廊等）环境卫生进行清扫、保洁，完成采购方交给的其他保洁任务。　</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8.其他：</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年龄要求：男：18——60周岁；女：18——55周岁。</w:t>
      </w:r>
    </w:p>
    <w:p>
      <w:pPr>
        <w:spacing w:line="400" w:lineRule="exact"/>
        <w:ind w:firstLine="482" w:firstLineChars="200"/>
        <w:rPr>
          <w:rFonts w:hint="eastAsia" w:ascii="方正仿宋_GBK" w:hAnsi="宋体" w:eastAsia="方正仿宋_GBK"/>
          <w:b/>
          <w:bCs/>
          <w:sz w:val="24"/>
          <w:szCs w:val="24"/>
          <w:lang w:val="zh-CN" w:eastAsia="zh-CN"/>
        </w:rPr>
      </w:pPr>
      <w:r>
        <w:rPr>
          <w:rFonts w:hint="eastAsia" w:ascii="方正仿宋_GBK" w:hAnsi="宋体" w:eastAsia="方正仿宋_GBK"/>
          <w:b/>
          <w:bCs/>
          <w:sz w:val="24"/>
          <w:szCs w:val="24"/>
          <w:lang w:val="en-US" w:eastAsia="zh-CN"/>
        </w:rPr>
        <w:t>五</w:t>
      </w:r>
      <w:r>
        <w:rPr>
          <w:rFonts w:hint="eastAsia" w:ascii="方正仿宋_GBK" w:hAnsi="宋体" w:eastAsia="方正仿宋_GBK"/>
          <w:b/>
          <w:bCs/>
          <w:sz w:val="24"/>
          <w:szCs w:val="24"/>
          <w:lang w:val="zh-CN" w:eastAsia="zh-CN"/>
        </w:rPr>
        <w:t>、实施方案</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响应供应商针对本项目需求提供详细的《实施方案》，包括但不限于“秩序维护方案”、“保洁服务方案”、“食堂服务方案”、“质量管理考核方案”、“拟投入装备”。响应供应商在编制投标文件时不得更改以上方案的名称。</w:t>
      </w:r>
    </w:p>
    <w:p>
      <w:pPr>
        <w:spacing w:line="400" w:lineRule="exact"/>
        <w:ind w:firstLine="480" w:firstLineChars="200"/>
        <w:rPr>
          <w:rFonts w:hint="eastAsia" w:ascii="方正仿宋_GBK" w:hAnsi="宋体" w:eastAsia="方正仿宋_GBK" w:cs="Times New Roman"/>
          <w:sz w:val="24"/>
          <w:szCs w:val="24"/>
          <w:lang w:val="zh-CN" w:eastAsia="zh-CN"/>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hint="eastAsia" w:ascii="方正小标宋_GBK" w:hAnsi="宋体" w:eastAsia="方正小标宋_GBK"/>
          <w:b w:val="0"/>
          <w:sz w:val="36"/>
          <w:szCs w:val="30"/>
        </w:rPr>
      </w:pPr>
      <w:bookmarkStart w:id="44" w:name="_Toc106030882"/>
      <w:bookmarkStart w:id="45" w:name="_Toc76462327"/>
      <w:r>
        <w:rPr>
          <w:rFonts w:hint="eastAsia" w:ascii="方正小标宋_GBK" w:hAnsi="宋体" w:eastAsia="方正小标宋_GBK"/>
          <w:b w:val="0"/>
          <w:sz w:val="36"/>
          <w:szCs w:val="30"/>
        </w:rPr>
        <w:t xml:space="preserve">第三篇  </w:t>
      </w:r>
      <w:bookmarkEnd w:id="37"/>
      <w:r>
        <w:rPr>
          <w:rFonts w:hint="eastAsia" w:ascii="方正小标宋_GBK" w:hAnsi="宋体" w:eastAsia="方正小标宋_GBK"/>
          <w:b w:val="0"/>
          <w:sz w:val="36"/>
          <w:szCs w:val="30"/>
        </w:rPr>
        <w:t>项目商务需求</w:t>
      </w:r>
      <w:bookmarkEnd w:id="44"/>
      <w:bookmarkEnd w:id="45"/>
    </w:p>
    <w:p>
      <w:pPr>
        <w:pStyle w:val="8"/>
        <w:spacing w:line="400" w:lineRule="exact"/>
        <w:ind w:firstLine="480" w:firstLineChars="200"/>
        <w:rPr>
          <w:rFonts w:hint="eastAsia" w:ascii="方正仿宋_GBK" w:hAnsi="宋体" w:eastAsia="方正仿宋_GBK"/>
          <w:sz w:val="24"/>
          <w:szCs w:val="24"/>
        </w:rPr>
      </w:pPr>
      <w:bookmarkStart w:id="46" w:name="_Toc344475120"/>
      <w:bookmarkStart w:id="47" w:name="_Toc76462328"/>
      <w:r>
        <w:rPr>
          <w:rFonts w:hint="eastAsia" w:ascii="方正仿宋_GBK" w:hAnsi="宋体" w:eastAsia="方正仿宋_GBK"/>
          <w:sz w:val="24"/>
          <w:szCs w:val="24"/>
        </w:rPr>
        <w:t>“※”标注的商务需求为符合性审查中的实质性要求，响应文件若不满足按无效响应处理。</w:t>
      </w:r>
    </w:p>
    <w:p>
      <w:pPr>
        <w:pStyle w:val="3"/>
        <w:adjustRightInd w:val="0"/>
        <w:snapToGrid w:val="0"/>
        <w:spacing w:before="0" w:after="0" w:line="400" w:lineRule="exact"/>
        <w:ind w:firstLine="482" w:firstLineChars="200"/>
        <w:rPr>
          <w:rFonts w:ascii="方正仿宋_GBK" w:hAnsi="宋体" w:eastAsia="方正仿宋_GBK"/>
          <w:sz w:val="24"/>
        </w:rPr>
      </w:pPr>
      <w:bookmarkStart w:id="48" w:name="_Toc106030883"/>
      <w:r>
        <w:rPr>
          <w:rFonts w:hint="eastAsia" w:ascii="方正仿宋_GBK" w:hAnsi="宋体" w:eastAsia="方正仿宋_GBK"/>
          <w:sz w:val="24"/>
          <w:szCs w:val="24"/>
        </w:rPr>
        <w:t>※</w:t>
      </w:r>
      <w:r>
        <w:rPr>
          <w:rFonts w:hint="eastAsia" w:ascii="方正仿宋_GBK" w:hAnsi="宋体" w:eastAsia="方正仿宋_GBK"/>
          <w:sz w:val="24"/>
        </w:rPr>
        <w:t>一、服务期、地点及验收方式</w:t>
      </w:r>
      <w:bookmarkEnd w:id="46"/>
      <w:bookmarkEnd w:id="47"/>
      <w:bookmarkEnd w:id="48"/>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（一）服务期：</w:t>
      </w:r>
      <w:r>
        <w:rPr>
          <w:rFonts w:hint="eastAsia" w:ascii="方正仿宋_GBK" w:hAnsi="宋体" w:eastAsia="方正仿宋_GBK"/>
          <w:sz w:val="24"/>
          <w:szCs w:val="24"/>
          <w:lang w:val="en-US" w:eastAsia="zh-CN"/>
        </w:rPr>
        <w:t>合同签订后1年。</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（二）服务地点：</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1.住保中心本部办公室：沙坪坝区学府悦园公租房小区清悦路3号附6号（C1组团）；</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2.沙坪坝房屋管理工作站：沙坪坝正街77-4-5-1号；</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3.小龙坎房屋管理工作站：沙坪坝区小龙坎新村路4号；</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4.学府悦园公租房管理处：沙坪坝区学府悦园公租房小区崇贤路2号7幢商业二楼；</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5.美丽阳光家园公租房管理处：沙坪坝区美丽阳光家园小区公租房小区井源路2号社区便民服务中心三楼。</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cs="Times New Roman"/>
          <w:kern w:val="2"/>
          <w:sz w:val="24"/>
          <w:szCs w:val="24"/>
          <w:lang w:val="en-US" w:eastAsia="zh-CN" w:bidi="ar-SA"/>
        </w:rPr>
        <w:t xml:space="preserve">    （三）验收标准和方法：</w:t>
      </w:r>
      <w:r>
        <w:rPr>
          <w:rFonts w:hint="eastAsia" w:ascii="方正仿宋_GBK" w:hAnsi="宋体" w:eastAsia="方正仿宋_GBK"/>
          <w:sz w:val="24"/>
          <w:szCs w:val="24"/>
          <w:lang w:val="en-US" w:eastAsia="zh-CN"/>
        </w:rPr>
        <w:t>采购人组织相关人员按照合同和采购标的承诺对物业公司在本项目工作实际到场工作人员、服务情况等进行核实，并在项目实施过程中对项目实施情况进行定期考核，具体内容如下：</w:t>
      </w:r>
    </w:p>
    <w:tbl>
      <w:tblPr>
        <w:tblStyle w:val="18"/>
        <w:tblpPr w:leftFromText="180" w:rightFromText="180" w:vertAnchor="text" w:horzAnchor="page" w:tblpX="1509" w:tblpY="497"/>
        <w:tblOverlap w:val="never"/>
        <w:tblW w:w="9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6886"/>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项目</w:t>
            </w:r>
          </w:p>
        </w:tc>
        <w:tc>
          <w:tcPr>
            <w:tcW w:w="6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服务内容、标准</w:t>
            </w:r>
          </w:p>
        </w:tc>
        <w:tc>
          <w:tcPr>
            <w:tcW w:w="1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6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按规定人员数量定岗定位，对采购人指定的重要岗位和人员进行变动，需征求采购人同意。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建立24小时值班制度和巡查制度，接受投诉并在15分钟之内及时处理、回复。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val="zh-CN" w:eastAsia="zh-CN"/>
              </w:rPr>
              <w:t>工作中服务态度好，待人礼貌热情；遇来人来访时要热诚、主动接待。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val="zh-CN" w:eastAsia="zh-CN"/>
              </w:rPr>
              <w:t>建立各种突发应急事件预案并组织演练，发生突发事件时需及时汇报并妥善处理。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val="zh-CN" w:eastAsia="zh-CN"/>
              </w:rPr>
              <w:t>承接的库房物品等保管应作到进出登记，帐物相符。</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lang w:val="zh-CN" w:eastAsia="zh-CN"/>
              </w:rPr>
              <w:t>内部管理有序，各种制度、计划、资料齐全。</w:t>
            </w:r>
          </w:p>
        </w:tc>
        <w:tc>
          <w:tcPr>
            <w:tcW w:w="1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有不符合要求经采购人书面要求整改时，供应商未在合理时限内整改，发现一次扣200元物业管理费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6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6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建立服务意见受理和反馈机制，对采购人提出的意见和建议应积极响应，及时解决采购人投诉，处理率控制在100%。</w:t>
            </w:r>
          </w:p>
        </w:tc>
        <w:tc>
          <w:tcPr>
            <w:tcW w:w="1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处理率低于95%每次扣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6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6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员工素质优良，不得盗窃本物业项目内物资。</w:t>
            </w:r>
          </w:p>
        </w:tc>
        <w:tc>
          <w:tcPr>
            <w:tcW w:w="1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发现一次扣罚500元物业管理费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63"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68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物管公司应按照国家法律法规规定与员工签订劳动合同、交纳保险费用。</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方正仿宋_GBK" w:hAnsi="宋体" w:eastAsia="方正仿宋_GBK"/>
                <w:sz w:val="24"/>
                <w:szCs w:val="24"/>
                <w:lang w:val="zh-CN" w:eastAsia="zh-CN"/>
              </w:rPr>
            </w:pPr>
          </w:p>
        </w:tc>
        <w:tc>
          <w:tcPr>
            <w:tcW w:w="197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物管公司内部员工的劳资纠纷不得影响采购人，否则，发现一次扣罚500元物业管理费</w:t>
            </w:r>
          </w:p>
        </w:tc>
      </w:tr>
    </w:tbl>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eastAsia" w:ascii="方正仿宋_GBK" w:hAnsi="宋体" w:eastAsia="方正仿宋_GBK"/>
          <w:b/>
          <w:bCs/>
          <w:sz w:val="24"/>
          <w:szCs w:val="24"/>
          <w:lang w:val="zh-CN" w:eastAsia="zh-CN"/>
        </w:rPr>
      </w:pPr>
      <w:r>
        <w:rPr>
          <w:rFonts w:hint="eastAsia" w:ascii="方正仿宋_GBK" w:hAnsi="宋体" w:eastAsia="方正仿宋_GBK"/>
          <w:b/>
          <w:bCs/>
          <w:sz w:val="24"/>
          <w:szCs w:val="24"/>
          <w:lang w:val="en-US" w:eastAsia="zh-CN"/>
        </w:rPr>
        <w:t>1.</w:t>
      </w:r>
      <w:r>
        <w:rPr>
          <w:rFonts w:hint="eastAsia" w:ascii="方正仿宋_GBK" w:hAnsi="宋体" w:eastAsia="方正仿宋_GBK"/>
          <w:b/>
          <w:bCs/>
          <w:sz w:val="24"/>
          <w:szCs w:val="24"/>
          <w:lang w:val="zh-CN" w:eastAsia="zh-CN"/>
        </w:rPr>
        <w:t>基础管理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b/>
          <w:bCs/>
          <w:sz w:val="24"/>
          <w:szCs w:val="24"/>
          <w:lang w:val="zh-CN" w:eastAsia="zh-CN"/>
        </w:rPr>
      </w:pPr>
      <w:r>
        <w:rPr>
          <w:rFonts w:hint="eastAsia" w:ascii="方正仿宋_GBK" w:hAnsi="宋体" w:eastAsia="方正仿宋_GBK"/>
          <w:b/>
          <w:bCs/>
          <w:sz w:val="24"/>
          <w:szCs w:val="24"/>
          <w:lang w:val="en-US" w:eastAsia="zh-CN"/>
        </w:rPr>
        <w:t>2.</w:t>
      </w:r>
      <w:r>
        <w:rPr>
          <w:rFonts w:hint="eastAsia" w:ascii="方正仿宋_GBK" w:hAnsi="宋体" w:eastAsia="方正仿宋_GBK"/>
          <w:b/>
          <w:bCs/>
          <w:sz w:val="24"/>
          <w:szCs w:val="24"/>
          <w:lang w:val="zh-CN" w:eastAsia="zh-CN"/>
        </w:rPr>
        <w:t>物业管理人员行为规范</w:t>
      </w:r>
    </w:p>
    <w:tbl>
      <w:tblPr>
        <w:tblStyle w:val="18"/>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708"/>
        <w:gridCol w:w="6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项  目</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行为规范标准</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仪</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仪</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表</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服饰着装</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1、上班时间必须穿工作服，工作服穿戴整齐整洁；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、非特殊情况不允许穿背心、短裤、拖鞋；</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val="zh-CN" w:eastAsia="zh-CN"/>
              </w:rPr>
              <w:t>、男女员工均不允许戴有色眼镜。</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须发</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女员工前发不遮眼，不梳怪异发型；</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2、男员工后发根不超过衣领（其中：保安员头发不得长于5cm），不盖耳，不留胡须；</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3、所有员工头发应保持整洁光鲜，不允许剃光头。</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个人卫生</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1、保持手部干净，指甲不允许超过指头两毫米，指甲内不允许残留污物，不涂有色指甲油；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2、员工应经常洗澡防汗臭，勤换衣服。衣服因工作而弄湿、弄脏后应及时换洗；</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3、上班前不允许吃有异味食品，保持口腔清洁，口气清新，早晚刷牙，饭后漱口；</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4、保持眼、耳清洁，不允许残留眼屎、耳垢。</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5、女员工应淡妆打扮，不允许浓妆艳抹，避免使用味浓的化妆品。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6、每天上班前应注意检查自己的仪表，上班时不能在客人面前或公共场所整理仪容仪表，必要时应到卫生间或工作间整理。</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行</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举</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止</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服务态度</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1、对客人服务无论何时都应面带笑容，和颜悦色，热情主动，做到微笑服务；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2、在将客人劝离工作场所时要文明礼貌，并做好解释及道歉工作；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3、谦虚和悦接受客人的评价，对客人的投诉应耐心倾听，并及时向主管部门汇报。</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行走姿态</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行走时不允许把手放入衣袋里，也不允许双手抱胸或背手走路；</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2、在工作场合与他人同行时，不允许勾肩搭背，不允许同行时嘻戏打闹；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3、走路动作应轻快，但非紧急情况不应奔跑、跳跃；</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4、手拉货物行走时不应遮住自己的视线；尽量靠路右侧行走；</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5、与采购人相遇时，应主动点头示意。</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坐立姿态</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1、就座时姿态要端正，入坐要轻缓，上身要直，人体重心要稳，腰部挺起，手自然放在双膝上，双膝并拢，目光平视，面带笑容。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2、坐在椅子上不允许前俯后仰、摇腿跷脚或趴在工作台上或把脚放于工作台上。</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3、站立时姿态要端正，上身要直，人体重心要稳，腰部挺起，双手自然下坠，双脚并拢，目光平视，面带笑容。</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其他行为</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不允许随地吐痰，乱扔果皮、纸屑；</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2、上班时间不允许吃零食，玩弄个人小物品或做与工作无关的事情；</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3、在公共场所或住户面前不吸烟、掏鼻孔、掏耳朵、搔痒、不允许脱鞋、卷裤角衣袖、不允许伸懒腰、哼小调、打哈欠；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4、到工作场所（采购人处）进行工作时，不允许乱翻乱摸，更不允许拿采购人的东西、礼物；</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5、谈话时，手势不宜过多，幅度不宜太大。</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trPr>
        <w:tc>
          <w:tcPr>
            <w:tcW w:w="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用</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语</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礼貌用语</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上班期间文明做到谈吐文明，对待领导、同事、来访者等应热情、有礼貌。</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来</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访</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人</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员</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bookmarkStart w:id="138" w:name="_GoBack"/>
            <w:r>
              <w:rPr>
                <w:rFonts w:hint="eastAsia" w:ascii="方正仿宋_GBK" w:hAnsi="宋体" w:eastAsia="方正仿宋_GBK"/>
                <w:sz w:val="24"/>
                <w:szCs w:val="24"/>
                <w:lang w:val="en-US" w:eastAsia="zh-CN"/>
              </w:rPr>
              <w:t>1</w:t>
            </w:r>
            <w:bookmarkEnd w:id="138"/>
            <w:r>
              <w:rPr>
                <w:rFonts w:hint="eastAsia" w:ascii="方正仿宋_GBK" w:hAnsi="宋体" w:eastAsia="方正仿宋_GBK"/>
                <w:sz w:val="24"/>
                <w:szCs w:val="24"/>
                <w:lang w:val="en-US" w:eastAsia="zh-CN"/>
              </w:rPr>
              <w:t>、</w:t>
            </w:r>
            <w:r>
              <w:rPr>
                <w:rFonts w:hint="eastAsia" w:ascii="方正仿宋_GBK" w:hAnsi="宋体" w:eastAsia="方正仿宋_GBK"/>
                <w:sz w:val="24"/>
                <w:szCs w:val="24"/>
                <w:lang w:val="zh-CN" w:eastAsia="zh-CN"/>
              </w:rPr>
              <w:t>主动说：“您好，请问您找哪一位”或“我可以帮助您吗？”“请您出示证件”（保安专用）。</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2、确认来访人要求后，说“请稍等，我帮您找”并及时与被访人联系，并告诉来访人“他马上来，请您先等一下，好吗？”</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lang w:val="zh-CN" w:eastAsia="zh-CN"/>
              </w:rPr>
              <w:t xml:space="preserve">、当来访人员忘记带证件必须进入区域时，应说：“先生/小姐，请稍候，让我请示一下好吗？”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val="zh-CN" w:eastAsia="zh-CN"/>
              </w:rPr>
              <w:t>、当确认来访人故意捣乱，耍横硬闯时，应先说：“对不起，按规定，没有证件不允许进入，请配合我的工作；”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val="zh-CN" w:eastAsia="zh-CN"/>
              </w:rPr>
              <w:t>、当来访人员出示证件时，应说：“谢谢您的合作，”。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lang w:val="zh-CN" w:eastAsia="zh-CN"/>
              </w:rPr>
              <w:t>、如果要找的人不在或不想见时，应礼貌地对对方说“对不起，他现在不在，您能留下卡片或口信吗？”。</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7</w:t>
            </w:r>
            <w:r>
              <w:rPr>
                <w:rFonts w:hint="eastAsia" w:ascii="方正仿宋_GBK" w:hAnsi="宋体" w:eastAsia="方正仿宋_GBK"/>
                <w:sz w:val="24"/>
                <w:szCs w:val="24"/>
                <w:lang w:val="zh-CN" w:eastAsia="zh-CN"/>
              </w:rPr>
              <w:t>、当来访人员离开时，应说：“请慢走，再见！”</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b/>
          <w:bCs/>
          <w:sz w:val="24"/>
          <w:szCs w:val="24"/>
          <w:lang w:val="zh-CN" w:eastAsia="zh-CN"/>
        </w:rPr>
      </w:pPr>
      <w:r>
        <w:rPr>
          <w:rFonts w:hint="eastAsia" w:ascii="方正仿宋_GBK" w:hAnsi="宋体" w:eastAsia="方正仿宋_GBK"/>
          <w:b/>
          <w:bCs/>
          <w:sz w:val="24"/>
          <w:szCs w:val="24"/>
          <w:lang w:val="en-US" w:eastAsia="zh-CN"/>
        </w:rPr>
        <w:t>3.</w:t>
      </w:r>
      <w:r>
        <w:rPr>
          <w:rFonts w:hint="eastAsia" w:ascii="方正仿宋_GBK" w:hAnsi="宋体" w:eastAsia="方正仿宋_GBK"/>
          <w:b/>
          <w:bCs/>
          <w:sz w:val="24"/>
          <w:szCs w:val="24"/>
          <w:lang w:val="zh-CN" w:eastAsia="zh-CN"/>
        </w:rPr>
        <w:t>保洁服务</w:t>
      </w:r>
    </w:p>
    <w:tbl>
      <w:tblPr>
        <w:tblStyle w:val="18"/>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4589"/>
        <w:gridCol w:w="223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项目</w:t>
            </w:r>
          </w:p>
        </w:tc>
        <w:tc>
          <w:tcPr>
            <w:tcW w:w="458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服务内容及标准</w:t>
            </w:r>
          </w:p>
        </w:tc>
        <w:tc>
          <w:tcPr>
            <w:tcW w:w="22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作业频率</w:t>
            </w:r>
          </w:p>
        </w:tc>
        <w:tc>
          <w:tcPr>
            <w:tcW w:w="15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7" w:hRule="atLeast"/>
        </w:trPr>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基本要求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45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服务人员统一着装、佩证上岗，语言文明、行为得体、整洁大方。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2、爱护公共物品，不乱拿损坏，损坏照价赔偿，无卫生死角，垃圾每天清运。</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3、楼内地面无垃圾杂物、污渍、水迹，天花板无灰尘、蛛网，保持光亮；垃圾筒、开关、消防箱、门窗、标识牌、扶手等设施洁净、明亮无污渍。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4、清洁工作完成后应及时对办公室门进行反锁保障安全。</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无</w:t>
            </w:r>
          </w:p>
        </w:tc>
        <w:tc>
          <w:tcPr>
            <w:tcW w:w="15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未达到服务标准，甲方发现一次扣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trPr>
        <w:tc>
          <w:tcPr>
            <w:tcW w:w="129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楼道</w:t>
            </w:r>
          </w:p>
        </w:tc>
        <w:tc>
          <w:tcPr>
            <w:tcW w:w="458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地面无水渍、无污渍，无垃圾，无积尘，光亮；</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2、墙面无灰尘、无污渍，光亮，墙角无蜘蛛网；</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3、公共设施表面无积尘、无污渍、光亮；</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4、不锈钢表面无手印，无积尘，无污渍、光亮；玻璃上无手印，无积尘，无污渍、明亮；</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5、窗台无积尘。</w:t>
            </w:r>
          </w:p>
        </w:tc>
        <w:tc>
          <w:tcPr>
            <w:tcW w:w="22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lang w:val="zh-CN" w:eastAsia="zh-CN"/>
              </w:rPr>
              <w:t>地面、楼梯、扶手、垃圾桶等每天不定时保洁；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2、天花板每月保洁一次。</w:t>
            </w:r>
          </w:p>
        </w:tc>
        <w:tc>
          <w:tcPr>
            <w:tcW w:w="15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未达到服务标准，甲方发现一次扣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0" w:hRule="atLeast"/>
        </w:trPr>
        <w:tc>
          <w:tcPr>
            <w:tcW w:w="1294" w:type="dxa"/>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卫生间</w:t>
            </w:r>
          </w:p>
        </w:tc>
        <w:tc>
          <w:tcPr>
            <w:tcW w:w="458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1地面干净、无异味、无积水、无杂物、无污渍，</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2、墙面瓷砖、门、窗无灰尘，镜面、洗手台干净无水迹，厕坑便具洁净无黄渍，卫生篓、茶水篓干净、完好；</w:t>
            </w:r>
          </w:p>
        </w:tc>
        <w:tc>
          <w:tcPr>
            <w:tcW w:w="223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 xml:space="preserve">1、每天不定时对卫生间进行保洁； </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2、天棚、灯具、窗玻璃排气扇每两周保洁1次</w:t>
            </w:r>
          </w:p>
        </w:tc>
        <w:tc>
          <w:tcPr>
            <w:tcW w:w="151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未达到服务标准，甲方发现一次扣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4.餐饮服务</w:t>
      </w:r>
    </w:p>
    <w:tbl>
      <w:tblPr>
        <w:tblStyle w:val="18"/>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项  目</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服务内容及标准</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2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食品卫生</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1、认真贯彻执行《中华人民共和国食品卫生法》。</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2、从事餐饮业的工作人员必须持有健康合格证。负责餐饮加工和冷拼人员须戴口罩、手套上岗。</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3、保持店内的餐桌，餐椅、墙面、地面等环境设施的消毒清洁，保持室内空气流通，严防各种污染。</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val="zh-CN" w:eastAsia="zh-CN"/>
              </w:rPr>
              <w:t>、对餐具、饮具、食品容器等进行严格洗涮消毒，确保清洁卫生。</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val="zh-CN" w:eastAsia="zh-CN"/>
              </w:rPr>
              <w:t>、洗碗间、冷荤间、烹调制作间应保持清洁卫生，厨房用具应及时清洗、消毒，严格做到生熟分开。</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6</w:t>
            </w:r>
            <w:r>
              <w:rPr>
                <w:rFonts w:hint="eastAsia" w:ascii="方正仿宋_GBK" w:hAnsi="宋体" w:eastAsia="方正仿宋_GBK"/>
                <w:sz w:val="24"/>
                <w:szCs w:val="24"/>
                <w:lang w:val="zh-CN" w:eastAsia="zh-CN"/>
              </w:rPr>
              <w:t>、垃圾要及时清运，未清运的垃圾要设有垃圾盖。</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5.秩序服务</w:t>
      </w:r>
    </w:p>
    <w:tbl>
      <w:tblPr>
        <w:tblStyle w:val="18"/>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391"/>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项  目</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服务内容及标准</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222"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秩序维护</w:t>
            </w:r>
          </w:p>
        </w:tc>
        <w:tc>
          <w:tcPr>
            <w:tcW w:w="639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1、落实</w:t>
            </w:r>
            <w:r>
              <w:rPr>
                <w:rFonts w:hint="eastAsia" w:ascii="方正仿宋_GBK" w:hAnsi="宋体" w:eastAsia="方正仿宋_GBK"/>
                <w:sz w:val="24"/>
                <w:szCs w:val="24"/>
                <w:lang w:val="en-US" w:eastAsia="zh-CN"/>
              </w:rPr>
              <w:t>24小时值守和巡逻制度</w:t>
            </w:r>
            <w:r>
              <w:rPr>
                <w:rFonts w:hint="eastAsia" w:ascii="方正仿宋_GBK" w:hAnsi="宋体" w:eastAsia="方正仿宋_GBK"/>
                <w:sz w:val="24"/>
                <w:szCs w:val="24"/>
                <w:lang w:val="zh-CN"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2、来人来访做好登记工作，中心和小龙坎工作站除负责登记工作外，还需要提供办理公租房相关业务的咨询、接待等工作。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3、搞好服务区治安防范工作，维持办公区域内良好的工作秩序。</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4</w:t>
            </w:r>
            <w:r>
              <w:rPr>
                <w:rFonts w:hint="eastAsia" w:ascii="方正仿宋_GBK" w:hAnsi="宋体" w:eastAsia="方正仿宋_GBK"/>
                <w:sz w:val="24"/>
                <w:szCs w:val="24"/>
                <w:lang w:val="zh-CN" w:eastAsia="zh-CN"/>
              </w:rPr>
              <w:t>、做好消防设施的巡查登记工作。</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en-US" w:eastAsia="zh-CN"/>
              </w:rPr>
              <w:t>5</w:t>
            </w:r>
            <w:r>
              <w:rPr>
                <w:rFonts w:hint="eastAsia" w:ascii="方正仿宋_GBK" w:hAnsi="宋体" w:eastAsia="方正仿宋_GBK"/>
                <w:sz w:val="24"/>
                <w:szCs w:val="24"/>
                <w:lang w:val="zh-CN" w:eastAsia="zh-CN"/>
              </w:rPr>
              <w:t>、熟悉服务区域内消防设施、消防疏散通道的分布，熟练使用消防防火设施。</w:t>
            </w:r>
          </w:p>
        </w:tc>
        <w:tc>
          <w:tcPr>
            <w:tcW w:w="2011"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未达到要求或服务标准，发现不规范一次扣</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lang w:val="zh-CN" w:eastAsia="zh-CN"/>
              </w:rPr>
              <w:t>00元物业管理服务费</w:t>
            </w:r>
          </w:p>
        </w:tc>
      </w:tr>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49" w:name="_Toc344475121"/>
      <w:bookmarkStart w:id="50" w:name="_Toc76462329"/>
      <w:bookmarkStart w:id="51" w:name="_Toc106030884"/>
      <w:r>
        <w:rPr>
          <w:rFonts w:hint="eastAsia" w:ascii="方正仿宋_GBK" w:hAnsi="宋体" w:eastAsia="方正仿宋_GBK"/>
          <w:sz w:val="24"/>
          <w:szCs w:val="24"/>
        </w:rPr>
        <w:t>※</w:t>
      </w:r>
      <w:r>
        <w:rPr>
          <w:rFonts w:hint="eastAsia" w:ascii="方正仿宋_GBK" w:hAnsi="宋体" w:eastAsia="方正仿宋_GBK"/>
          <w:sz w:val="24"/>
        </w:rPr>
        <w:t>二、</w:t>
      </w:r>
      <w:bookmarkEnd w:id="49"/>
      <w:r>
        <w:rPr>
          <w:rFonts w:hint="eastAsia" w:ascii="方正仿宋_GBK" w:hAnsi="宋体" w:eastAsia="方正仿宋_GBK"/>
          <w:sz w:val="24"/>
        </w:rPr>
        <w:t>报价要求</w:t>
      </w:r>
      <w:bookmarkEnd w:id="50"/>
      <w:bookmarkEnd w:id="51"/>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投标</w:t>
      </w:r>
      <w:r>
        <w:rPr>
          <w:rFonts w:hint="eastAsia" w:ascii="方正仿宋_GBK" w:hAnsi="宋体" w:eastAsia="方正仿宋_GBK"/>
          <w:sz w:val="24"/>
          <w:szCs w:val="24"/>
        </w:rPr>
        <w:t>报价</w:t>
      </w:r>
      <w:r>
        <w:rPr>
          <w:rFonts w:hint="eastAsia" w:ascii="方正仿宋_GBK" w:hAnsi="宋体" w:eastAsia="方正仿宋_GBK"/>
          <w:sz w:val="24"/>
          <w:szCs w:val="24"/>
          <w:lang w:val="zh-CN"/>
        </w:rPr>
        <w:t>须为人民币报价，包含：人工费（含员工工资、社会保险费、加班费、节日福利费、服装费）、工具和耗材费、管理费、税费等完成本项目所需的所有费用。</w:t>
      </w:r>
      <w:r>
        <w:rPr>
          <w:rFonts w:hint="eastAsia" w:ascii="方正仿宋_GBK" w:hAnsi="宋体" w:eastAsia="方正仿宋_GBK"/>
          <w:sz w:val="24"/>
          <w:szCs w:val="24"/>
        </w:rPr>
        <w:t>因成交供应商自身原因造成漏报、少报皆由其自行承担责任，采购人不再补偿。</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2" w:name="_Toc76462330"/>
      <w:bookmarkStart w:id="53" w:name="_Toc344475122"/>
      <w:bookmarkStart w:id="54" w:name="_Toc106030885"/>
      <w:r>
        <w:rPr>
          <w:rFonts w:hint="eastAsia" w:ascii="方正仿宋_GBK" w:hAnsi="宋体" w:eastAsia="方正仿宋_GBK"/>
          <w:sz w:val="24"/>
          <w:szCs w:val="24"/>
        </w:rPr>
        <w:t>※</w:t>
      </w:r>
      <w:r>
        <w:rPr>
          <w:rFonts w:hint="eastAsia" w:ascii="方正仿宋_GBK" w:hAnsi="宋体" w:eastAsia="方正仿宋_GBK"/>
          <w:sz w:val="24"/>
        </w:rPr>
        <w:t>三、付款方式</w:t>
      </w:r>
      <w:bookmarkEnd w:id="52"/>
      <w:bookmarkEnd w:id="53"/>
      <w:bookmarkEnd w:id="54"/>
    </w:p>
    <w:p>
      <w:pPr>
        <w:spacing w:line="400" w:lineRule="exact"/>
        <w:ind w:firstLine="480" w:firstLineChars="200"/>
        <w:rPr>
          <w:rFonts w:hint="eastAsia" w:ascii="微软雅黑" w:hAnsi="微软雅黑" w:eastAsia="微软雅黑" w:cs="微软雅黑"/>
          <w:sz w:val="24"/>
          <w:szCs w:val="24"/>
          <w:lang w:val="zh-CN"/>
        </w:rPr>
      </w:pPr>
      <w:r>
        <w:rPr>
          <w:rFonts w:hint="eastAsia" w:ascii="方正仿宋_GBK" w:hAnsi="宋体" w:eastAsia="方正仿宋_GBK"/>
          <w:sz w:val="24"/>
          <w:szCs w:val="24"/>
          <w:lang w:val="en-US" w:eastAsia="zh-CN"/>
        </w:rPr>
        <w:t>2023年2月28日前支付合同生效日起前6个月服务费用；2023年8月30日前支付合同服务期结束前剩余服务费用</w:t>
      </w:r>
      <w:r>
        <w:rPr>
          <w:rFonts w:hint="eastAsia" w:ascii="微软雅黑" w:hAnsi="微软雅黑" w:eastAsia="微软雅黑" w:cs="微软雅黑"/>
          <w:sz w:val="24"/>
          <w:szCs w:val="24"/>
          <w:lang w:val="zh-CN"/>
        </w:rPr>
        <w:t>。</w:t>
      </w:r>
    </w:p>
    <w:p>
      <w:pPr>
        <w:snapToGrid w:val="0"/>
        <w:spacing w:line="400" w:lineRule="exact"/>
        <w:ind w:firstLine="482" w:firstLineChars="200"/>
        <w:rPr>
          <w:rFonts w:hint="eastAsia" w:ascii="方正仿宋_GBK" w:hAnsi="宋体" w:eastAsia="方正仿宋_GBK" w:cs="Times New Roman"/>
          <w:b/>
          <w:kern w:val="2"/>
          <w:sz w:val="24"/>
          <w:szCs w:val="24"/>
          <w:lang w:val="zh-CN" w:eastAsia="zh-CN" w:bidi="ar-SA"/>
        </w:rPr>
      </w:pPr>
      <w:r>
        <w:rPr>
          <w:rFonts w:hint="eastAsia" w:ascii="方正仿宋_GBK" w:hAnsi="宋体" w:eastAsia="方正仿宋_GBK" w:cs="Times New Roman"/>
          <w:b/>
          <w:kern w:val="2"/>
          <w:sz w:val="24"/>
          <w:szCs w:val="24"/>
          <w:lang w:val="en-US" w:eastAsia="zh-CN" w:bidi="ar-SA"/>
        </w:rPr>
        <w:t>※</w:t>
      </w:r>
      <w:r>
        <w:rPr>
          <w:rFonts w:hint="eastAsia" w:ascii="方正仿宋_GBK" w:hAnsi="宋体" w:eastAsia="方正仿宋_GBK"/>
          <w:sz w:val="24"/>
          <w:szCs w:val="24"/>
        </w:rPr>
        <w:t>※</w:t>
      </w:r>
      <w:r>
        <w:rPr>
          <w:rFonts w:hint="eastAsia" w:ascii="方正仿宋_GBK" w:hAnsi="宋体" w:eastAsia="方正仿宋_GBK" w:cs="Times New Roman"/>
          <w:b/>
          <w:kern w:val="2"/>
          <w:sz w:val="24"/>
          <w:szCs w:val="24"/>
          <w:lang w:val="en-US" w:eastAsia="zh-CN" w:bidi="ar-SA"/>
        </w:rPr>
        <w:t>四</w:t>
      </w:r>
      <w:r>
        <w:rPr>
          <w:rFonts w:hint="eastAsia" w:ascii="方正仿宋_GBK" w:hAnsi="宋体" w:eastAsia="方正仿宋_GBK" w:cs="Times New Roman"/>
          <w:b/>
          <w:kern w:val="2"/>
          <w:sz w:val="24"/>
          <w:szCs w:val="24"/>
          <w:lang w:val="zh-CN" w:eastAsia="zh-CN" w:bidi="ar-SA"/>
        </w:rPr>
        <w:t>、人员和设备配备</w:t>
      </w:r>
    </w:p>
    <w:tbl>
      <w:tblPr>
        <w:tblStyle w:val="18"/>
        <w:tblW w:w="8030" w:type="dxa"/>
        <w:jc w:val="center"/>
        <w:tblInd w:w="0" w:type="dxa"/>
        <w:tblLayout w:type="fixed"/>
        <w:tblCellMar>
          <w:top w:w="0" w:type="dxa"/>
          <w:left w:w="0" w:type="dxa"/>
          <w:bottom w:w="0" w:type="dxa"/>
          <w:right w:w="0" w:type="dxa"/>
        </w:tblCellMar>
      </w:tblPr>
      <w:tblGrid>
        <w:gridCol w:w="838"/>
        <w:gridCol w:w="1124"/>
        <w:gridCol w:w="982"/>
        <w:gridCol w:w="3191"/>
        <w:gridCol w:w="1895"/>
      </w:tblGrid>
      <w:tr>
        <w:tblPrEx>
          <w:tblLayout w:type="fixed"/>
          <w:tblCellMar>
            <w:top w:w="0" w:type="dxa"/>
            <w:left w:w="0" w:type="dxa"/>
            <w:bottom w:w="0" w:type="dxa"/>
            <w:right w:w="0" w:type="dxa"/>
          </w:tblCellMar>
        </w:tblPrEx>
        <w:trPr>
          <w:trHeight w:val="285"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序号</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岗位名称</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岗位人数</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岗位说明</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备注</w:t>
            </w:r>
          </w:p>
        </w:tc>
      </w:tr>
      <w:tr>
        <w:tblPrEx>
          <w:tblLayout w:type="fixed"/>
          <w:tblCellMar>
            <w:top w:w="0" w:type="dxa"/>
            <w:left w:w="0" w:type="dxa"/>
            <w:bottom w:w="0" w:type="dxa"/>
            <w:right w:w="0" w:type="dxa"/>
          </w:tblCellMar>
        </w:tblPrEx>
        <w:trPr>
          <w:trHeight w:val="285"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r>
        <w:tblPrEx>
          <w:tblLayout w:type="fixed"/>
          <w:tblCellMar>
            <w:top w:w="0" w:type="dxa"/>
            <w:left w:w="0" w:type="dxa"/>
            <w:bottom w:w="0" w:type="dxa"/>
            <w:right w:w="0" w:type="dxa"/>
          </w:tblCellMar>
        </w:tblPrEx>
        <w:trPr>
          <w:trHeight w:val="36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w:t>
            </w:r>
          </w:p>
        </w:tc>
        <w:tc>
          <w:tcPr>
            <w:tcW w:w="11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安保</w:t>
            </w:r>
          </w:p>
        </w:tc>
        <w:tc>
          <w:tcPr>
            <w:tcW w:w="9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zh-CN" w:eastAsia="zh-CN"/>
              </w:rPr>
              <w:t>8</w:t>
            </w:r>
            <w:r>
              <w:rPr>
                <w:rFonts w:hint="eastAsia" w:ascii="方正仿宋_GBK" w:hAnsi="宋体" w:eastAsia="方正仿宋_GBK"/>
                <w:sz w:val="24"/>
                <w:szCs w:val="24"/>
                <w:lang w:val="en-US" w:eastAsia="zh-CN"/>
              </w:rPr>
              <w:t>人</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1、负责对进入管理区域内的外来办事人员进行盘查、登记，阻止无关人员进入；</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中心本部办公区域4名、沙坪坝房屋管理工作站、小龙坎房屋管理工作站各2名</w:t>
            </w:r>
          </w:p>
        </w:tc>
      </w:tr>
      <w:tr>
        <w:tblPrEx>
          <w:tblLayout w:type="fixed"/>
          <w:tblCellMar>
            <w:top w:w="0" w:type="dxa"/>
            <w:left w:w="0" w:type="dxa"/>
            <w:bottom w:w="0" w:type="dxa"/>
            <w:right w:w="0" w:type="dxa"/>
          </w:tblCellMar>
        </w:tblPrEx>
        <w:trPr>
          <w:trHeight w:val="36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11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9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2、负责检查管理区域内的消防设施，发现问题立即向甲方相关领导报告；</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r>
        <w:tblPrEx>
          <w:tblLayout w:type="fixed"/>
          <w:tblCellMar>
            <w:top w:w="0" w:type="dxa"/>
            <w:left w:w="0" w:type="dxa"/>
            <w:bottom w:w="0" w:type="dxa"/>
            <w:right w:w="0" w:type="dxa"/>
          </w:tblCellMar>
        </w:tblPrEx>
        <w:trPr>
          <w:trHeight w:val="285"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11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9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3、协助甲方做好治安及消防安全工作。</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r>
        <w:tblPrEx>
          <w:tblLayout w:type="fixed"/>
          <w:tblCellMar>
            <w:top w:w="0" w:type="dxa"/>
            <w:left w:w="0" w:type="dxa"/>
            <w:bottom w:w="0" w:type="dxa"/>
            <w:right w:w="0" w:type="dxa"/>
          </w:tblCellMar>
        </w:tblPrEx>
        <w:trPr>
          <w:trHeight w:val="375" w:hRule="atLeast"/>
          <w:jc w:val="center"/>
        </w:trPr>
        <w:tc>
          <w:tcPr>
            <w:tcW w:w="8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保洁</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zh-CN" w:eastAsia="zh-CN"/>
              </w:rPr>
              <w:t>3</w:t>
            </w:r>
            <w:r>
              <w:rPr>
                <w:rFonts w:hint="eastAsia" w:ascii="方正仿宋_GBK" w:hAnsi="宋体" w:eastAsia="方正仿宋_GBK"/>
                <w:sz w:val="24"/>
                <w:szCs w:val="24"/>
                <w:lang w:val="en-US" w:eastAsia="zh-CN"/>
              </w:rPr>
              <w:t>人</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负责服务区域内的公共区域内的卫生清扫、保洁工作；</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中心本部1名、沙坪坝房屋管理工作站、小龙坎房屋管理工作站各1名</w:t>
            </w:r>
          </w:p>
        </w:tc>
      </w:tr>
      <w:tr>
        <w:tblPrEx>
          <w:tblLayout w:type="fixed"/>
          <w:tblCellMar>
            <w:top w:w="0" w:type="dxa"/>
            <w:left w:w="0" w:type="dxa"/>
            <w:bottom w:w="0" w:type="dxa"/>
            <w:right w:w="0" w:type="dxa"/>
          </w:tblCellMar>
        </w:tblPrEx>
        <w:trPr>
          <w:trHeight w:val="90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w:t>
            </w:r>
          </w:p>
        </w:tc>
        <w:tc>
          <w:tcPr>
            <w:tcW w:w="112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食堂工作人员</w:t>
            </w:r>
          </w:p>
        </w:tc>
        <w:tc>
          <w:tcPr>
            <w:tcW w:w="9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zh-CN" w:eastAsia="zh-CN"/>
              </w:rPr>
              <w:t>6</w:t>
            </w:r>
            <w:r>
              <w:rPr>
                <w:rFonts w:hint="eastAsia" w:ascii="方正仿宋_GBK" w:hAnsi="宋体" w:eastAsia="方正仿宋_GBK"/>
                <w:sz w:val="24"/>
                <w:szCs w:val="24"/>
                <w:lang w:val="en-US" w:eastAsia="zh-CN"/>
              </w:rPr>
              <w:t>人</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1、保证各自工作站点的饭菜卫生质量；</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中心本部3名、美丽阳光家园公租房管理处1名；沙坪坝房屋管理工作站1名、小龙坎房屋管理工作站1名。</w:t>
            </w:r>
          </w:p>
        </w:tc>
      </w:tr>
      <w:tr>
        <w:tblPrEx>
          <w:tblLayout w:type="fixed"/>
          <w:tblCellMar>
            <w:top w:w="0" w:type="dxa"/>
            <w:left w:w="0" w:type="dxa"/>
            <w:bottom w:w="0" w:type="dxa"/>
            <w:right w:w="0" w:type="dxa"/>
          </w:tblCellMar>
        </w:tblPrEx>
        <w:trPr>
          <w:trHeight w:val="270" w:hRule="atLeast"/>
          <w:jc w:val="center"/>
        </w:trPr>
        <w:tc>
          <w:tcPr>
            <w:tcW w:w="83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112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9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2、保证按时向就餐人员提供就餐服务。</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r>
        <w:tblPrEx>
          <w:tblLayout w:type="fixed"/>
          <w:tblCellMar>
            <w:top w:w="0" w:type="dxa"/>
            <w:left w:w="0" w:type="dxa"/>
            <w:bottom w:w="0" w:type="dxa"/>
            <w:right w:w="0" w:type="dxa"/>
          </w:tblCellMar>
        </w:tblPrEx>
        <w:trPr>
          <w:trHeight w:val="270" w:hRule="atLeast"/>
          <w:jc w:val="center"/>
        </w:trPr>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合计</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zh-CN" w:eastAsia="zh-CN"/>
              </w:rPr>
              <w:t>17</w:t>
            </w:r>
            <w:r>
              <w:rPr>
                <w:rFonts w:hint="eastAsia" w:ascii="方正仿宋_GBK" w:hAnsi="宋体" w:eastAsia="方正仿宋_GBK"/>
                <w:sz w:val="24"/>
                <w:szCs w:val="24"/>
                <w:lang w:val="en-US" w:eastAsia="zh-CN"/>
              </w:rPr>
              <w:t>人</w:t>
            </w:r>
          </w:p>
        </w:tc>
        <w:tc>
          <w:tcPr>
            <w:tcW w:w="31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p>
        </w:tc>
      </w:tr>
    </w:tbl>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注：</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1.上述人员配置为采购人最低要求，响应供应商的人员配置不得低于该要求，若低于该人员配置要求，则按无效响应处理。</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2.所有人员上岗须经采购人审核同意，成交供应商不得随意调整，如有调整或更换，应提前告知采购人，并征求采购人意见。</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textAlignment w:val="auto"/>
        <w:rPr>
          <w:rFonts w:hint="eastAsia" w:ascii="方正仿宋_GBK" w:hAnsi="宋体" w:eastAsia="方正仿宋_GBK"/>
          <w:sz w:val="24"/>
          <w:szCs w:val="24"/>
          <w:lang w:val="zh-CN" w:eastAsia="zh-CN"/>
        </w:rPr>
      </w:pPr>
      <w:r>
        <w:rPr>
          <w:rFonts w:hint="eastAsia" w:ascii="方正仿宋_GBK" w:hAnsi="宋体" w:eastAsia="方正仿宋_GBK"/>
          <w:sz w:val="24"/>
          <w:szCs w:val="24"/>
          <w:lang w:val="zh-CN" w:eastAsia="zh-CN"/>
        </w:rPr>
        <w:t>3.采购人有权按上表所述对成交供应商岗位及上岗人员不定期进行巡查、抽查。人员配置为物业管理服务考核的重要内容。未经采购人同意，成交供应商不得随意撤、并。若确因离职、解聘等原因造成某个岗位短期缺岗的，成交供应商应于缺岗当日向采购人进行书面报告备案。成交供应商须于15日内安排人员上岗，超过15日仍未安排人员的，采购人将按岗位的日工资标准从月费用中扣除以至人员到位。关键岗位，特别是需24小时值守的岗位，无论何原因造成缺岗的，成交供应商须采取应急措施抽调人员顶岗，不得缺岗。</w:t>
      </w:r>
    </w:p>
    <w:p>
      <w:pPr>
        <w:spacing w:line="400" w:lineRule="exact"/>
        <w:ind w:firstLine="480" w:firstLineChars="200"/>
        <w:rPr>
          <w:rFonts w:hint="eastAsia" w:ascii="方正仿宋_GBK" w:hAnsi="宋体" w:eastAsia="方正仿宋_GBK" w:cs="Times New Roman"/>
          <w:b/>
          <w:bCs/>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cs="Times New Roman"/>
          <w:b/>
          <w:bCs/>
          <w:sz w:val="24"/>
          <w:szCs w:val="24"/>
          <w:lang w:val="en-US" w:eastAsia="zh-CN"/>
        </w:rPr>
        <w:t>五、其他</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1.成交供应商须有稳定和较高素质的管理团队和员工队伍，确保服务质量承诺能够圆满兑现，成交供应商派驻到该项目的人员不得低于本磋商文件规定的配置。</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2.成交供应商应依法用工，负责所聘人员的培训、劳动保护、保险、伤病等事项；在招录员工时，必须按照《劳动法》相关规定进行招录并提供相关依据的复印件。凡是“未岗前常规体检”、“有传染病史”、“有违法乱纪记录”、“有心理疾病”、“未岗前培训”等人员不得录用；其所派人员发生事故或其他意外均由成交供应商负责。</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3.岗位及岗位人员的实际配备，由采购人根据实际工作需要进行调整。</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4.成交供应商服从采购人监督管理和考核，采购人考核未达到要求可以根据情况扣减物业费用，如果采购人考核未达到合格及以上要求或因成交供应商原因发生责任事故，采购人可单方面解除合同。</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5.成交供应商物业合同到期即终止合同，及时办理物业移交，妥善处理相关后续事宜，本合同终止时，必须向采购人移交物业管理用房、采购人的所有设备以及在采购人处所接收的全部物业档案、图纸、资料。所有手续和费用完清，无任何用工纠纷和遗留问题，采购人确认无异议后十五日内退还成交供应商履约保证金。</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6.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7.成交供应商应定期对员工进行岗位培训，不断提高员工服务技能；从业人员有较强的服务、责任、保密意识以及稳定性。</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8.成交供应商应当严格按照国家和重庆市物业管理的有关规定和政府采购合同，对本项目实施专业化管理，综合性服务。</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9.履约服务期限内所发生的一切安全事故均由成交供应商自行负责。</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10成交供应商必须在响应文件中对以上条款和服务承诺明确列出，承诺内容必须达到磋商文件的要求。</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11.成交供应商不得分包、转包、挂靠成交项目。</w:t>
      </w:r>
    </w:p>
    <w:p>
      <w:pPr>
        <w:spacing w:line="400" w:lineRule="exact"/>
        <w:ind w:firstLine="480" w:firstLineChars="200"/>
        <w:rPr>
          <w:rFonts w:hint="eastAsia" w:ascii="方正仿宋_GBK" w:hAnsi="宋体" w:eastAsia="方正仿宋_GBK" w:cs="Times New Roman"/>
          <w:sz w:val="24"/>
          <w:szCs w:val="24"/>
          <w:lang w:val="en-US" w:eastAsia="zh-CN"/>
        </w:rPr>
      </w:pPr>
      <w:r>
        <w:rPr>
          <w:rFonts w:hint="eastAsia" w:ascii="方正仿宋_GBK" w:hAnsi="宋体" w:eastAsia="方正仿宋_GBK" w:cs="Times New Roman"/>
          <w:sz w:val="24"/>
          <w:szCs w:val="24"/>
          <w:lang w:val="en-US" w:eastAsia="zh-CN"/>
        </w:rPr>
        <w:t>12.其他未尽事宜由采购人和成交供应商双方在采购合同中详细约定</w:t>
      </w:r>
    </w:p>
    <w:p>
      <w:pPr>
        <w:pStyle w:val="3"/>
        <w:pageBreakBefore/>
        <w:spacing w:before="0" w:after="0" w:line="360" w:lineRule="auto"/>
        <w:jc w:val="center"/>
        <w:rPr>
          <w:rFonts w:hint="eastAsia" w:ascii="方正小标宋_GBK" w:hAnsi="宋体" w:eastAsia="方正小标宋_GBK"/>
          <w:b w:val="0"/>
          <w:sz w:val="36"/>
          <w:szCs w:val="30"/>
        </w:rPr>
      </w:pPr>
      <w:bookmarkStart w:id="55" w:name="_Toc106030887"/>
      <w:bookmarkStart w:id="56" w:name="_Toc76462332"/>
      <w:r>
        <w:rPr>
          <w:rFonts w:hint="eastAsia" w:ascii="方正小标宋_GBK" w:hAnsi="宋体" w:eastAsia="方正小标宋_GBK"/>
          <w:b w:val="0"/>
          <w:sz w:val="36"/>
          <w:szCs w:val="30"/>
        </w:rPr>
        <w:t>第四篇  磋商程序及方法、评审标准、无效响应和</w:t>
      </w:r>
      <w:r>
        <w:rPr>
          <w:rFonts w:hint="eastAsia" w:ascii="方正小标宋_GBK" w:eastAsia="方正小标宋_GBK"/>
          <w:b w:val="0"/>
          <w:sz w:val="36"/>
          <w:szCs w:val="36"/>
        </w:rPr>
        <w:t>采购终止</w:t>
      </w:r>
      <w:bookmarkEnd w:id="55"/>
      <w:bookmarkEnd w:id="56"/>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7" w:name="_Toc106030888"/>
      <w:bookmarkStart w:id="58" w:name="_Toc76462333"/>
      <w:r>
        <w:rPr>
          <w:rFonts w:hint="eastAsia" w:ascii="方正仿宋_GBK" w:hAnsi="宋体" w:eastAsia="方正仿宋_GBK"/>
          <w:sz w:val="24"/>
        </w:rPr>
        <w:t>一、磋商程序及方法</w:t>
      </w:r>
      <w:bookmarkEnd w:id="57"/>
      <w:bookmarkEnd w:id="58"/>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资格性审查。依据法律法规和竞争性磋商文件的规定，对响应文件中的资格证明、等进行审查，以确定供应商是否具备磋商资格。资格性审查资料表如下：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pPr>
              <w:rPr>
                <w:rFonts w:hint="eastAsia"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lang w:val="zh-CN"/>
              </w:rPr>
            </w:pPr>
          </w:p>
        </w:tc>
        <w:tc>
          <w:tcPr>
            <w:tcW w:w="3118" w:type="dxa"/>
            <w:vAlign w:val="center"/>
          </w:tcPr>
          <w:p>
            <w:pPr>
              <w:rPr>
                <w:rFonts w:hint="eastAsia"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pPr>
              <w:rPr>
                <w:rFonts w:hint="eastAsia"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pPr>
              <w:rPr>
                <w:rFonts w:hint="eastAsia"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vMerge w:val="continue"/>
            <w:vAlign w:val="center"/>
          </w:tcPr>
          <w:p>
            <w:pPr>
              <w:jc w:val="center"/>
              <w:rPr>
                <w:rFonts w:hint="eastAsia" w:ascii="方正仿宋_GBK" w:hAnsi="仿宋" w:eastAsia="方正仿宋_GBK"/>
                <w:sz w:val="21"/>
                <w:szCs w:val="21"/>
              </w:rPr>
            </w:pPr>
          </w:p>
        </w:tc>
        <w:tc>
          <w:tcPr>
            <w:tcW w:w="709" w:type="dxa"/>
            <w:vMerge w:val="continue"/>
            <w:vAlign w:val="center"/>
          </w:tcPr>
          <w:p>
            <w:pPr>
              <w:rPr>
                <w:rFonts w:hint="eastAsia" w:ascii="方正仿宋_GBK" w:hAnsi="仿宋" w:eastAsia="方正仿宋_GBK" w:cs="仿宋_GB2312"/>
                <w:sz w:val="21"/>
                <w:szCs w:val="21"/>
              </w:rPr>
            </w:pPr>
          </w:p>
        </w:tc>
        <w:tc>
          <w:tcPr>
            <w:tcW w:w="3118"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按“第一篇三、供应商资格要求（三）本项目的特定资格要求”的要求提交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17" w:type="dxa"/>
            <w:vAlign w:val="center"/>
          </w:tcPr>
          <w:p>
            <w:pPr>
              <w:jc w:val="center"/>
              <w:rPr>
                <w:rFonts w:hint="eastAsia" w:ascii="方正仿宋_GBK" w:hAnsi="仿宋" w:eastAsia="方正仿宋_GBK"/>
                <w:sz w:val="21"/>
                <w:szCs w:val="21"/>
              </w:rPr>
            </w:pPr>
            <w:r>
              <w:rPr>
                <w:rFonts w:hint="eastAsia" w:ascii="方正仿宋_GBK" w:hAnsi="仿宋" w:eastAsia="方正仿宋_GBK"/>
                <w:sz w:val="21"/>
                <w:szCs w:val="21"/>
              </w:rPr>
              <w:t>（二）</w:t>
            </w:r>
          </w:p>
        </w:tc>
        <w:tc>
          <w:tcPr>
            <w:tcW w:w="3827" w:type="dxa"/>
            <w:gridSpan w:val="2"/>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落实政府采购政策需满足的资格要求</w:t>
            </w:r>
          </w:p>
        </w:tc>
        <w:tc>
          <w:tcPr>
            <w:tcW w:w="4984" w:type="dxa"/>
            <w:vAlign w:val="center"/>
          </w:tcPr>
          <w:p>
            <w:pPr>
              <w:rPr>
                <w:rFonts w:hint="eastAsia" w:ascii="方正仿宋_GBK" w:hAnsi="仿宋" w:eastAsia="方正仿宋_GBK"/>
                <w:sz w:val="21"/>
                <w:szCs w:val="21"/>
              </w:rPr>
            </w:pPr>
            <w:r>
              <w:rPr>
                <w:rFonts w:hint="eastAsia" w:ascii="方正仿宋_GBK" w:hAnsi="仿宋" w:eastAsia="方正仿宋_GBK"/>
                <w:sz w:val="21"/>
                <w:szCs w:val="21"/>
              </w:rPr>
              <w:t>按“第一篇三、供应商资格要求（二）落实政府采购政策需满足的资格要求”的要求提交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17" w:type="dxa"/>
            <w:vAlign w:val="center"/>
          </w:tcPr>
          <w:p>
            <w:pPr>
              <w:jc w:val="center"/>
              <w:rPr>
                <w:rFonts w:hint="eastAsia" w:ascii="方正仿宋_GBK" w:hAnsi="仿宋" w:eastAsia="方正仿宋_GBK"/>
                <w:sz w:val="21"/>
                <w:szCs w:val="21"/>
                <w:lang w:eastAsia="zh-CN"/>
              </w:rPr>
            </w:pPr>
            <w:r>
              <w:rPr>
                <w:rFonts w:hint="eastAsia" w:ascii="方正仿宋_GBK" w:hAnsi="仿宋" w:eastAsia="方正仿宋_GBK"/>
                <w:sz w:val="21"/>
                <w:szCs w:val="21"/>
                <w:lang w:eastAsia="zh-CN"/>
              </w:rPr>
              <w:t>（</w:t>
            </w:r>
            <w:r>
              <w:rPr>
                <w:rFonts w:hint="eastAsia" w:ascii="方正仿宋_GBK" w:hAnsi="仿宋" w:eastAsia="方正仿宋_GBK"/>
                <w:sz w:val="21"/>
                <w:szCs w:val="21"/>
                <w:lang w:val="en-US" w:eastAsia="zh-CN"/>
              </w:rPr>
              <w:t>三）</w:t>
            </w:r>
          </w:p>
        </w:tc>
        <w:tc>
          <w:tcPr>
            <w:tcW w:w="3827" w:type="dxa"/>
            <w:gridSpan w:val="2"/>
            <w:vAlign w:val="top"/>
          </w:tcPr>
          <w:p>
            <w:pPr>
              <w:jc w:val="left"/>
              <w:rPr>
                <w:rFonts w:hint="eastAsia" w:ascii="方正仿宋_GBK" w:hAnsi="仿宋" w:eastAsia="方正仿宋_GBK"/>
                <w:sz w:val="21"/>
                <w:szCs w:val="21"/>
              </w:rPr>
            </w:pPr>
            <w:r>
              <w:rPr>
                <w:rFonts w:hint="eastAsia" w:ascii="方正仿宋_GBK" w:hAnsi="仿宋" w:eastAsia="方正仿宋_GBK"/>
                <w:sz w:val="21"/>
                <w:szCs w:val="21"/>
              </w:rPr>
              <w:t>保证金</w:t>
            </w:r>
          </w:p>
        </w:tc>
        <w:tc>
          <w:tcPr>
            <w:tcW w:w="4984" w:type="dxa"/>
            <w:vAlign w:val="top"/>
          </w:tcPr>
          <w:p>
            <w:pPr>
              <w:rPr>
                <w:rFonts w:hint="eastAsia" w:ascii="方正仿宋_GBK" w:hAnsi="仿宋" w:eastAsia="方正仿宋_GBK"/>
                <w:sz w:val="21"/>
                <w:szCs w:val="21"/>
              </w:rPr>
            </w:pPr>
            <w:r>
              <w:rPr>
                <w:rFonts w:hint="eastAsia" w:ascii="方正仿宋_GBK" w:hAnsi="仿宋" w:eastAsia="方正仿宋_GBK"/>
                <w:sz w:val="21"/>
                <w:szCs w:val="21"/>
              </w:rPr>
              <w:t>按</w:t>
            </w:r>
            <w:r>
              <w:rPr>
                <w:rFonts w:hint="eastAsia" w:ascii="方正仿宋_GBK" w:hAnsi="仿宋" w:eastAsia="方正仿宋_GBK"/>
                <w:sz w:val="21"/>
                <w:szCs w:val="21"/>
                <w:lang w:val="en-US" w:eastAsia="zh-CN"/>
              </w:rPr>
              <w:t>磋商文件</w:t>
            </w:r>
            <w:r>
              <w:rPr>
                <w:rFonts w:hint="eastAsia" w:ascii="方正仿宋_GBK" w:hAnsi="仿宋" w:eastAsia="方正仿宋_GBK"/>
                <w:sz w:val="21"/>
                <w:szCs w:val="21"/>
              </w:rPr>
              <w:t>要求足额交纳所参与包的保证金</w:t>
            </w:r>
            <w:r>
              <w:rPr>
                <w:rFonts w:hint="eastAsia" w:ascii="方正仿宋_GBK" w:hAnsi="仿宋" w:eastAsia="方正仿宋_GBK"/>
                <w:sz w:val="21"/>
                <w:szCs w:val="21"/>
                <w:lang w:val="en-US" w:eastAsia="zh-CN"/>
              </w:rPr>
              <w:t>，并提供相关证明材料</w:t>
            </w:r>
            <w:r>
              <w:rPr>
                <w:rFonts w:hint="eastAsia" w:ascii="方正仿宋_GBK" w:hAnsi="仿宋" w:eastAsia="方正仿宋_GBK"/>
                <w:sz w:val="21"/>
                <w:szCs w:val="21"/>
              </w:rPr>
              <w:t>。</w:t>
            </w:r>
          </w:p>
        </w:tc>
      </w:tr>
    </w:tbl>
    <w:p>
      <w:pPr>
        <w:snapToGrid w:val="0"/>
        <w:spacing w:line="400" w:lineRule="exact"/>
        <w:ind w:firstLine="480" w:firstLineChars="200"/>
        <w:rPr>
          <w:rFonts w:hint="eastAsia"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以联合体形式参与磋商的，共同联合协议中应确定主办方（主体），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hint="eastAsia"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3</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sz w:val="24"/>
        </w:rPr>
        <w:t>以联合体形式参加本项目的，联合体各方均为中小企业的，联合体视同中小企业（其中，联合体各方均为小微企业的，联合体视同小微企业</w:t>
      </w:r>
      <w:r>
        <w:rPr>
          <w:rFonts w:hint="eastAsia" w:ascii="方正仿宋_GBK" w:hAnsi="宋体" w:eastAsia="方正仿宋_GBK" w:cs="宋体"/>
          <w:kern w:val="0"/>
          <w:sz w:val="24"/>
          <w:szCs w:val="24"/>
        </w:rPr>
        <w:t>）。</w:t>
      </w:r>
    </w:p>
    <w:p>
      <w:pPr>
        <w:snapToGrid w:val="0"/>
        <w:spacing w:line="400" w:lineRule="exact"/>
        <w:ind w:firstLine="480" w:firstLineChars="200"/>
        <w:rPr>
          <w:rFonts w:hint="eastAsia" w:ascii="方正仿宋_GBK" w:eastAsia="方正仿宋_GBK"/>
          <w:kern w:val="0"/>
          <w:sz w:val="24"/>
          <w:szCs w:val="24"/>
        </w:rPr>
      </w:pPr>
      <w:r>
        <w:rPr>
          <w:rFonts w:hint="eastAsia" w:ascii="方正仿宋_GBK" w:hAnsi="宋体" w:eastAsia="方正仿宋_GBK" w:cs="宋体"/>
          <w:kern w:val="0"/>
          <w:sz w:val="24"/>
          <w:szCs w:val="24"/>
        </w:rPr>
        <w:t>2.符合性审查。依据竞争性磋商文件的规定，从响应文件的有效性、完整性和对竞争性磋商文件的响应程度进行审查，以确定是否对竞争性磋商文件的实质性要求作出响应。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kern w:val="0"/>
          <w:sz w:val="24"/>
          <w:szCs w:val="24"/>
        </w:rPr>
        <w:t>符合性审查资料表如下：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1560" w:type="dxa"/>
            <w:vMerge w:val="continue"/>
            <w:vAlign w:val="center"/>
          </w:tcPr>
          <w:p>
            <w:pPr>
              <w:rPr>
                <w:rFonts w:hint="eastAsia" w:ascii="方正仿宋_GBK" w:hAnsi="宋体" w:eastAsia="方正仿宋_GBK" w:cs="宋体"/>
                <w:kern w:val="0"/>
                <w:sz w:val="21"/>
                <w:szCs w:val="21"/>
              </w:rPr>
            </w:pPr>
          </w:p>
        </w:tc>
        <w:tc>
          <w:tcPr>
            <w:tcW w:w="1984"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1560" w:type="dxa"/>
            <w:vMerge w:val="continue"/>
            <w:vAlign w:val="center"/>
          </w:tcPr>
          <w:p>
            <w:pPr>
              <w:rPr>
                <w:rFonts w:hint="eastAsia" w:ascii="方正仿宋_GBK" w:hAnsi="宋体" w:eastAsia="方正仿宋_GBK" w:cs="宋体"/>
                <w:kern w:val="0"/>
                <w:sz w:val="21"/>
                <w:szCs w:val="21"/>
              </w:rPr>
            </w:pPr>
          </w:p>
        </w:tc>
        <w:tc>
          <w:tcPr>
            <w:tcW w:w="198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1560" w:type="dxa"/>
            <w:vMerge w:val="continue"/>
            <w:vAlign w:val="center"/>
          </w:tcPr>
          <w:p>
            <w:pPr>
              <w:rPr>
                <w:rFonts w:hint="eastAsia" w:ascii="方正仿宋_GBK" w:hAnsi="宋体" w:eastAsia="方正仿宋_GBK" w:cs="宋体"/>
                <w:kern w:val="0"/>
                <w:sz w:val="21"/>
                <w:szCs w:val="21"/>
              </w:rPr>
            </w:pPr>
          </w:p>
        </w:tc>
        <w:tc>
          <w:tcPr>
            <w:tcW w:w="198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675" w:type="dxa"/>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竞争性磋商</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竞争性磋商文件第二篇、第三篇“</w:t>
            </w:r>
            <w:r>
              <w:rPr>
                <w:rFonts w:hint="eastAsia" w:ascii="方正仿宋_GBK" w:hAnsi="宋体" w:eastAsia="方正仿宋_GBK"/>
                <w:sz w:val="24"/>
                <w:szCs w:val="24"/>
              </w:rPr>
              <w:t>※</w:t>
            </w:r>
            <w:r>
              <w:rPr>
                <w:rFonts w:hint="eastAsia" w:ascii="方正仿宋_GBK" w:hAnsi="宋体" w:eastAsia="方正仿宋_GBK" w:cs="宋体"/>
                <w:kern w:val="0"/>
                <w:sz w:val="21"/>
                <w:szCs w:val="21"/>
              </w:rPr>
              <w:t>”标注部分。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1560" w:type="dxa"/>
            <w:vMerge w:val="continue"/>
            <w:vAlign w:val="center"/>
          </w:tcPr>
          <w:p>
            <w:pPr>
              <w:rPr>
                <w:rFonts w:hint="eastAsia" w:ascii="方正仿宋_GBK" w:hAnsi="宋体" w:eastAsia="方正仿宋_GBK" w:cs="仿宋_GB2312"/>
                <w:sz w:val="21"/>
                <w:szCs w:val="21"/>
                <w:lang w:val="zh-CN"/>
              </w:rPr>
            </w:pPr>
          </w:p>
        </w:tc>
        <w:tc>
          <w:tcPr>
            <w:tcW w:w="198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40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（五）在磋商过程中磋商的任何一方不得向他人透露与磋商有关的服务资料、价格或其他信息。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（八）经磋商确定最终采购需求且磋商结束后，供应商应当按照竞争性磋商文件的变动情况</w:t>
      </w:r>
      <w:r>
        <w:rPr>
          <w:rFonts w:hint="eastAsia" w:ascii="方正仿宋_GBK" w:hAnsi="宋体" w:eastAsia="方正仿宋_GBK"/>
          <w:sz w:val="24"/>
          <w:szCs w:val="24"/>
          <w:highlight w:val="none"/>
        </w:rPr>
        <w:t>和磋商小组的要求重新提交响应文件或重新做出相关的书面承诺，最后书面提交最后报价及有关承诺（《最后报价表》在磋商现场向供应商提供</w:t>
      </w:r>
      <w:r>
        <w:rPr>
          <w:rFonts w:hint="eastAsia" w:ascii="方正仿宋_GBK" w:hAnsi="宋体" w:eastAsia="方正仿宋_GBK"/>
          <w:sz w:val="24"/>
          <w:szCs w:val="24"/>
          <w:highlight w:val="none"/>
          <w:lang w:eastAsia="zh-CN"/>
        </w:rPr>
        <w:t>，</w:t>
      </w:r>
      <w:r>
        <w:rPr>
          <w:rFonts w:hint="eastAsia" w:ascii="方正仿宋_GBK" w:hAnsi="宋体" w:eastAsia="方正仿宋_GBK"/>
          <w:sz w:val="24"/>
          <w:szCs w:val="24"/>
          <w:highlight w:val="none"/>
          <w:lang w:val="en-US" w:eastAsia="zh-CN"/>
        </w:rPr>
        <w:t>注：</w:t>
      </w:r>
      <w:r>
        <w:rPr>
          <w:rFonts w:hint="eastAsia" w:ascii="方正仿宋_GBK" w:hAnsi="宋体" w:eastAsia="方正仿宋_GBK"/>
          <w:color w:val="000000"/>
          <w:sz w:val="24"/>
          <w:szCs w:val="24"/>
          <w:highlight w:val="none"/>
        </w:rPr>
        <w:t>本项目</w:t>
      </w:r>
      <w:r>
        <w:rPr>
          <w:rFonts w:hint="eastAsia" w:ascii="方正仿宋_GBK" w:hAnsi="宋体" w:eastAsia="方正仿宋_GBK"/>
          <w:color w:val="000000"/>
          <w:sz w:val="24"/>
          <w:szCs w:val="24"/>
          <w:highlight w:val="none"/>
          <w:lang w:val="en-US" w:eastAsia="zh-CN"/>
        </w:rPr>
        <w:t>采用</w:t>
      </w:r>
      <w:r>
        <w:rPr>
          <w:rFonts w:hint="eastAsia" w:ascii="方正仿宋_GBK" w:hAnsi="宋体" w:eastAsia="方正仿宋_GBK"/>
          <w:color w:val="000000"/>
          <w:sz w:val="24"/>
          <w:szCs w:val="24"/>
          <w:highlight w:val="none"/>
        </w:rPr>
        <w:t>两次报价</w:t>
      </w:r>
      <w:r>
        <w:rPr>
          <w:rFonts w:hint="eastAsia" w:ascii="方正仿宋_GBK" w:hAnsi="宋体" w:eastAsia="方正仿宋_GBK"/>
          <w:color w:val="000000"/>
          <w:sz w:val="24"/>
          <w:szCs w:val="24"/>
          <w:highlight w:val="none"/>
          <w:lang w:eastAsia="zh-CN"/>
        </w:rPr>
        <w:t>，</w:t>
      </w:r>
      <w:r>
        <w:rPr>
          <w:rFonts w:hint="eastAsia" w:ascii="方正仿宋_GBK" w:hAnsi="宋体" w:eastAsia="方正仿宋_GBK"/>
          <w:sz w:val="24"/>
          <w:szCs w:val="24"/>
          <w:highlight w:val="none"/>
        </w:rPr>
        <w:t>最后报价</w:t>
      </w:r>
      <w:r>
        <w:rPr>
          <w:rFonts w:hint="eastAsia" w:ascii="方正仿宋_GBK" w:hAnsi="宋体" w:eastAsia="方正仿宋_GBK"/>
          <w:sz w:val="24"/>
          <w:szCs w:val="24"/>
          <w:highlight w:val="none"/>
          <w:lang w:val="en-US" w:eastAsia="zh-CN"/>
        </w:rPr>
        <w:t>只能低于或等于</w:t>
      </w:r>
      <w:r>
        <w:rPr>
          <w:rFonts w:hint="eastAsia" w:ascii="方正仿宋_GBK" w:hAnsi="宋体" w:eastAsia="方正仿宋_GBK"/>
          <w:sz w:val="24"/>
          <w:szCs w:val="24"/>
          <w:highlight w:val="none"/>
        </w:rPr>
        <w:t>响应文件中的报价</w:t>
      </w:r>
      <w:r>
        <w:rPr>
          <w:rFonts w:hint="eastAsia" w:ascii="方正仿宋_GBK" w:hAnsi="宋体" w:eastAsia="方正仿宋_GBK"/>
          <w:sz w:val="24"/>
          <w:szCs w:val="24"/>
          <w:highlight w:val="none"/>
          <w:lang w:val="en-US" w:eastAsia="zh-CN"/>
        </w:rPr>
        <w:t>。若高于响应文件中的报价则以</w:t>
      </w:r>
      <w:r>
        <w:rPr>
          <w:rFonts w:hint="eastAsia" w:ascii="方正仿宋_GBK" w:hAnsi="宋体" w:eastAsia="方正仿宋_GBK"/>
          <w:sz w:val="24"/>
          <w:szCs w:val="24"/>
          <w:highlight w:val="none"/>
        </w:rPr>
        <w:t>供应商响应文件中的报价为准）。</w:t>
      </w:r>
      <w:r>
        <w:rPr>
          <w:rFonts w:ascii="方正仿宋_GBK" w:hAnsi="宋体" w:eastAsia="方正仿宋_GBK"/>
          <w:sz w:val="24"/>
          <w:szCs w:val="24"/>
          <w:highlight w:val="none"/>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（九）磋商小组采用综合评分法对提交最后报价的供应商的响应文件和最后报价（含有效书面承诺）进行综合评分。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竞争性磋商</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磋商小组各成员独立对响应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服务部分</w:t>
      </w:r>
      <w:r>
        <w:rPr>
          <w:rFonts w:ascii="方正仿宋_GBK" w:hAnsi="宋体" w:eastAsia="方正仿宋_GBK"/>
          <w:sz w:val="24"/>
          <w:szCs w:val="24"/>
        </w:rPr>
        <w:t>得分为</w:t>
      </w:r>
      <w:r>
        <w:rPr>
          <w:rFonts w:hint="eastAsia" w:ascii="方正仿宋_GBK" w:hAnsi="宋体" w:eastAsia="方正仿宋_GBK"/>
          <w:sz w:val="24"/>
          <w:szCs w:val="24"/>
        </w:rPr>
        <w:t>0分</w:t>
      </w:r>
      <w:r>
        <w:rPr>
          <w:rFonts w:ascii="方正仿宋_GBK" w:hAnsi="宋体" w:eastAsia="方正仿宋_GBK"/>
          <w:sz w:val="24"/>
          <w:szCs w:val="24"/>
        </w:rPr>
        <w:t>的</w:t>
      </w:r>
      <w:r>
        <w:rPr>
          <w:rFonts w:hint="eastAsia" w:ascii="方正仿宋_GBK" w:hAnsi="宋体" w:eastAsia="方正仿宋_GBK"/>
          <w:sz w:val="24"/>
          <w:szCs w:val="24"/>
        </w:rPr>
        <w:t>供应商</w:t>
      </w:r>
      <w:r>
        <w:rPr>
          <w:rFonts w:hint="eastAsia" w:ascii="方正仿宋_GBK" w:hAnsi="宋体" w:eastAsia="方正仿宋_GBK"/>
          <w:sz w:val="24"/>
          <w:szCs w:val="24"/>
          <w:lang w:eastAsia="zh-CN"/>
        </w:rPr>
        <w:t>不能</w:t>
      </w:r>
      <w:r>
        <w:rPr>
          <w:rFonts w:ascii="方正仿宋_GBK" w:hAnsi="宋体" w:eastAsia="方正仿宋_GBK"/>
          <w:sz w:val="24"/>
          <w:szCs w:val="24"/>
        </w:rPr>
        <w:t>成为</w:t>
      </w:r>
      <w:r>
        <w:rPr>
          <w:rFonts w:hint="eastAsia" w:ascii="方正仿宋_GBK" w:hAnsi="宋体" w:eastAsia="方正仿宋_GBK"/>
          <w:sz w:val="24"/>
          <w:szCs w:val="24"/>
        </w:rPr>
        <w:t>成交供应商</w:t>
      </w:r>
      <w:r>
        <w:rPr>
          <w:rFonts w:ascii="方正仿宋_GBK" w:hAnsi="宋体" w:eastAsia="方正仿宋_GBK"/>
          <w:sz w:val="24"/>
          <w:szCs w:val="24"/>
        </w:rPr>
        <w:t>。</w:t>
      </w:r>
      <w:r>
        <w:rPr>
          <w:rFonts w:hint="eastAsia" w:ascii="方正仿宋_GBK" w:hAnsi="宋体" w:eastAsia="方正仿宋_GBK"/>
          <w:sz w:val="24"/>
          <w:szCs w:val="24"/>
        </w:rPr>
        <w:t>）</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59" w:name="_Toc106030889"/>
      <w:bookmarkStart w:id="60" w:name="_Toc76462334"/>
      <w:r>
        <w:rPr>
          <w:rFonts w:hint="eastAsia" w:ascii="方正仿宋_GBK" w:hAnsi="宋体" w:eastAsia="方正仿宋_GBK"/>
          <w:sz w:val="24"/>
        </w:rPr>
        <w:t>二、</w:t>
      </w:r>
      <w:bookmarkStart w:id="61" w:name="_Toc102227320"/>
      <w:bookmarkStart w:id="62" w:name="_Toc342913394"/>
      <w:r>
        <w:rPr>
          <w:rFonts w:hint="eastAsia" w:ascii="方正仿宋_GBK" w:hAnsi="宋体" w:eastAsia="方正仿宋_GBK"/>
          <w:sz w:val="24"/>
        </w:rPr>
        <w:t>评审标准</w:t>
      </w:r>
      <w:bookmarkEnd w:id="59"/>
      <w:bookmarkEnd w:id="60"/>
    </w:p>
    <w:tbl>
      <w:tblPr>
        <w:tblStyle w:val="1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
        <w:gridCol w:w="762"/>
        <w:gridCol w:w="700"/>
        <w:gridCol w:w="733"/>
        <w:gridCol w:w="517"/>
        <w:gridCol w:w="4967"/>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Align w:val="center"/>
          </w:tcPr>
          <w:p>
            <w:pPr>
              <w:ind w:firstLine="28"/>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2195" w:type="dxa"/>
            <w:gridSpan w:val="3"/>
            <w:vAlign w:val="center"/>
          </w:tcPr>
          <w:p>
            <w:pPr>
              <w:ind w:firstLine="28"/>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评分因素及权值</w:t>
            </w:r>
          </w:p>
        </w:tc>
        <w:tc>
          <w:tcPr>
            <w:tcW w:w="517" w:type="dxa"/>
            <w:vAlign w:val="center"/>
          </w:tcPr>
          <w:p>
            <w:pPr>
              <w:ind w:firstLine="28"/>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分值</w:t>
            </w:r>
          </w:p>
        </w:tc>
        <w:tc>
          <w:tcPr>
            <w:tcW w:w="4967" w:type="dxa"/>
            <w:vAlign w:val="center"/>
          </w:tcPr>
          <w:p>
            <w:pPr>
              <w:ind w:firstLine="28"/>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评分标准</w:t>
            </w:r>
          </w:p>
        </w:tc>
        <w:tc>
          <w:tcPr>
            <w:tcW w:w="1603" w:type="dxa"/>
            <w:vAlign w:val="center"/>
          </w:tcPr>
          <w:p>
            <w:pPr>
              <w:pStyle w:val="19"/>
              <w:spacing w:before="0" w:after="0" w:line="240" w:lineRule="auto"/>
              <w:ind w:left="1540" w:hanging="420"/>
              <w:rPr>
                <w:rFonts w:hint="eastAsia" w:ascii="微软雅黑" w:hAnsi="微软雅黑" w:eastAsia="微软雅黑" w:cs="微软雅黑"/>
                <w:sz w:val="24"/>
                <w:szCs w:val="24"/>
              </w:rPr>
            </w:pPr>
            <w:r>
              <w:rPr>
                <w:rFonts w:hint="eastAsia" w:ascii="微软雅黑" w:hAnsi="微软雅黑" w:eastAsia="微软雅黑" w:cs="微软雅黑"/>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4" w:hRule="atLeast"/>
        </w:trPr>
        <w:tc>
          <w:tcPr>
            <w:tcW w:w="454" w:type="dxa"/>
            <w:vAlign w:val="center"/>
          </w:tcPr>
          <w:p>
            <w:pPr>
              <w:ind w:firstLine="2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2195" w:type="dxa"/>
            <w:gridSpan w:val="3"/>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磋商报价</w:t>
            </w:r>
          </w:p>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val="en-US" w:eastAsia="zh-CN"/>
              </w:rPr>
              <w:t>10</w:t>
            </w:r>
            <w:r>
              <w:rPr>
                <w:rFonts w:hint="eastAsia" w:ascii="微软雅黑" w:hAnsi="微软雅黑" w:eastAsia="微软雅黑" w:cs="微软雅黑"/>
                <w:color w:val="000000"/>
                <w:sz w:val="24"/>
                <w:szCs w:val="24"/>
              </w:rPr>
              <w:t>%）</w:t>
            </w:r>
          </w:p>
        </w:tc>
        <w:tc>
          <w:tcPr>
            <w:tcW w:w="517" w:type="dxa"/>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10</w:t>
            </w:r>
          </w:p>
        </w:tc>
        <w:tc>
          <w:tcPr>
            <w:tcW w:w="4967" w:type="dxa"/>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满足资格性、符合性要求且最后报价最低的供应商的价格为磋商基准价，其价格分为满分。其他供应商的价格分统一按照下列公式计算：</w:t>
            </w:r>
          </w:p>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磋商报价得分=（磋商基准价/最后磋商报价）×价格权值×100</w:t>
            </w:r>
          </w:p>
        </w:tc>
        <w:tc>
          <w:tcPr>
            <w:tcW w:w="1603" w:type="dxa"/>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454" w:type="dxa"/>
            <w:vMerge w:val="restart"/>
            <w:vAlign w:val="center"/>
          </w:tcPr>
          <w:p>
            <w:pPr>
              <w:ind w:firstLine="28"/>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p>
        </w:tc>
        <w:tc>
          <w:tcPr>
            <w:tcW w:w="762" w:type="dxa"/>
            <w:vMerge w:val="restart"/>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服务部分（</w:t>
            </w: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47%</w:t>
            </w: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w:t>
            </w:r>
          </w:p>
        </w:tc>
        <w:tc>
          <w:tcPr>
            <w:tcW w:w="700" w:type="dxa"/>
            <w:vMerge w:val="restart"/>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val="en-US" w:eastAsia="zh-CN"/>
              </w:rPr>
            </w:pPr>
          </w:p>
          <w:p>
            <w:pPr>
              <w:wordWrap w:val="0"/>
              <w:snapToGrid w:val="0"/>
              <w:spacing w:line="0" w:lineRule="atLeast"/>
              <w:jc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sz w:val="24"/>
                <w:szCs w:val="24"/>
                <w:lang w:val="en-US" w:eastAsia="zh-CN"/>
              </w:rPr>
              <w:t>实施方案</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47</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tc>
        <w:tc>
          <w:tcPr>
            <w:tcW w:w="733" w:type="dxa"/>
            <w:vAlign w:val="center"/>
          </w:tcPr>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b w:val="0"/>
                <w:bCs w:val="0"/>
                <w:caps w:val="0"/>
                <w:sz w:val="24"/>
                <w:szCs w:val="24"/>
              </w:rPr>
              <w:t>秩序维护方案</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8</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tc>
        <w:tc>
          <w:tcPr>
            <w:tcW w:w="517" w:type="dxa"/>
            <w:tcBorders>
              <w:bottom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8</w:t>
            </w:r>
          </w:p>
        </w:tc>
        <w:tc>
          <w:tcPr>
            <w:tcW w:w="4967" w:type="dxa"/>
            <w:vAlign w:val="center"/>
          </w:tcPr>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1.有完整的秩序维护方案得2分；岗位职责明确、清晰，作业流程规范、完善，优加6分，良加3分，差的加0分；</w:t>
            </w:r>
          </w:p>
          <w:p>
            <w:pPr>
              <w:pStyle w:val="2"/>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color w:val="000000"/>
                <w:kern w:val="2"/>
                <w:sz w:val="24"/>
                <w:szCs w:val="24"/>
                <w:lang w:val="en-US" w:eastAsia="zh-CN" w:bidi="ar-SA"/>
              </w:rPr>
              <w:t>2.提供的方案与本项目实际不相符的本项得0分。</w:t>
            </w:r>
          </w:p>
        </w:tc>
        <w:tc>
          <w:tcPr>
            <w:tcW w:w="1603" w:type="dxa"/>
            <w:vMerge w:val="restart"/>
            <w:vAlign w:val="center"/>
          </w:tcPr>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评标委员会成员根据</w:t>
            </w:r>
            <w:r>
              <w:rPr>
                <w:rFonts w:hint="eastAsia" w:ascii="微软雅黑" w:hAnsi="微软雅黑" w:eastAsia="微软雅黑" w:cs="微软雅黑"/>
                <w:color w:val="000000"/>
                <w:sz w:val="24"/>
                <w:szCs w:val="24"/>
                <w:lang w:eastAsia="zh-CN"/>
              </w:rPr>
              <w:t>响应供应商</w:t>
            </w:r>
            <w:r>
              <w:rPr>
                <w:rFonts w:hint="eastAsia" w:ascii="微软雅黑" w:hAnsi="微软雅黑" w:eastAsia="微软雅黑" w:cs="微软雅黑"/>
                <w:color w:val="000000"/>
                <w:sz w:val="24"/>
                <w:szCs w:val="24"/>
              </w:rPr>
              <w:t>针对本项目制定的方案独立评分，其中：</w:t>
            </w: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1.“优”的标准：现场踏勘方案内容全面、符合本项目实际。</w:t>
            </w: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2.“良”的标准：次之于“优的标准”。</w:t>
            </w: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3.“差”的标准：次之于“</w:t>
            </w:r>
            <w:r>
              <w:rPr>
                <w:rFonts w:hint="eastAsia" w:ascii="微软雅黑" w:hAnsi="微软雅黑" w:eastAsia="微软雅黑" w:cs="微软雅黑"/>
                <w:color w:val="000000"/>
                <w:sz w:val="24"/>
                <w:szCs w:val="24"/>
                <w:lang w:val="en-US" w:eastAsia="zh-CN"/>
              </w:rPr>
              <w:t>良</w:t>
            </w:r>
            <w:r>
              <w:rPr>
                <w:rFonts w:hint="eastAsia" w:ascii="微软雅黑" w:hAnsi="微软雅黑" w:eastAsia="微软雅黑" w:cs="微软雅黑"/>
                <w:color w:val="000000"/>
                <w:sz w:val="24"/>
                <w:szCs w:val="24"/>
              </w:rPr>
              <w:t>的标准”。</w:t>
            </w: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454" w:type="dxa"/>
            <w:vMerge w:val="continue"/>
            <w:vAlign w:val="center"/>
          </w:tcPr>
          <w:p>
            <w:pPr>
              <w:ind w:firstLine="28"/>
              <w:jc w:val="center"/>
              <w:rPr>
                <w:rFonts w:hint="eastAsia" w:ascii="微软雅黑" w:hAnsi="微软雅黑" w:eastAsia="微软雅黑" w:cs="微软雅黑"/>
                <w:sz w:val="24"/>
                <w:szCs w:val="24"/>
              </w:rPr>
            </w:pPr>
          </w:p>
        </w:tc>
        <w:tc>
          <w:tcPr>
            <w:tcW w:w="762"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00"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33" w:type="dxa"/>
            <w:vAlign w:val="center"/>
          </w:tcPr>
          <w:p>
            <w:pPr>
              <w:wordWrap w:val="0"/>
              <w:snapToGrid w:val="0"/>
              <w:spacing w:line="0" w:lineRule="atLeast"/>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保洁服务方案</w:t>
            </w:r>
          </w:p>
          <w:p>
            <w:pPr>
              <w:wordWrap w:val="0"/>
              <w:snapToGrid w:val="0"/>
              <w:spacing w:line="0" w:lineRule="atLeast"/>
              <w:ind w:firstLine="240" w:firstLineChars="100"/>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w:t>
            </w:r>
          </w:p>
          <w:p>
            <w:pPr>
              <w:wordWrap w:val="0"/>
              <w:snapToGrid w:val="0"/>
              <w:spacing w:line="0" w:lineRule="atLeast"/>
              <w:ind w:firstLine="240" w:firstLineChars="100"/>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8%</w:t>
            </w:r>
          </w:p>
          <w:p>
            <w:pPr>
              <w:wordWrap w:val="0"/>
              <w:snapToGrid w:val="0"/>
              <w:spacing w:line="0" w:lineRule="atLeast"/>
              <w:ind w:firstLine="240" w:firstLineChars="100"/>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w:t>
            </w:r>
          </w:p>
        </w:tc>
        <w:tc>
          <w:tcPr>
            <w:tcW w:w="517" w:type="dxa"/>
            <w:tcBorders>
              <w:bottom w:val="single" w:color="auto" w:sz="4" w:space="0"/>
            </w:tcBorders>
            <w:vAlign w:val="center"/>
          </w:tcPr>
          <w:p>
            <w:pPr>
              <w:wordWrap w:val="0"/>
              <w:snapToGrid w:val="0"/>
              <w:spacing w:line="0" w:lineRule="atLeast"/>
              <w:ind w:firstLine="240" w:firstLineChars="100"/>
              <w:jc w:val="center"/>
              <w:rPr>
                <w:rFonts w:hint="eastAsia" w:ascii="微软雅黑" w:hAnsi="微软雅黑" w:eastAsia="微软雅黑" w:cs="微软雅黑"/>
                <w:color w:val="000000"/>
                <w:kern w:val="2"/>
                <w:sz w:val="24"/>
                <w:szCs w:val="24"/>
                <w:lang w:val="en-US" w:eastAsia="zh-CN" w:bidi="ar-SA"/>
              </w:rPr>
            </w:pPr>
          </w:p>
          <w:p>
            <w:pPr>
              <w:wordWrap w:val="0"/>
              <w:snapToGrid w:val="0"/>
              <w:spacing w:line="0" w:lineRule="atLeast"/>
              <w:ind w:firstLine="240" w:firstLineChars="100"/>
              <w:jc w:val="center"/>
              <w:rPr>
                <w:rFonts w:hint="eastAsia" w:ascii="微软雅黑" w:hAnsi="微软雅黑" w:eastAsia="微软雅黑" w:cs="微软雅黑"/>
                <w:color w:val="000000"/>
                <w:kern w:val="2"/>
                <w:sz w:val="24"/>
                <w:szCs w:val="24"/>
                <w:lang w:val="en-US" w:eastAsia="zh-CN" w:bidi="ar-SA"/>
              </w:rPr>
            </w:pPr>
          </w:p>
          <w:p>
            <w:pPr>
              <w:wordWrap w:val="0"/>
              <w:snapToGrid w:val="0"/>
              <w:spacing w:line="0" w:lineRule="atLeast"/>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8</w:t>
            </w:r>
          </w:p>
        </w:tc>
        <w:tc>
          <w:tcPr>
            <w:tcW w:w="4967" w:type="dxa"/>
            <w:vAlign w:val="center"/>
          </w:tcPr>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1.有完整的保洁服务方案得2分；岗位职责明确、清晰，作业流程规范、完善，优加6分，良加3分，差的加0分；</w:t>
            </w:r>
          </w:p>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2.提供的方案与本项目实际不相符的本项得0分。</w:t>
            </w:r>
          </w:p>
        </w:tc>
        <w:tc>
          <w:tcPr>
            <w:tcW w:w="1603"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454" w:type="dxa"/>
            <w:vMerge w:val="continue"/>
            <w:vAlign w:val="center"/>
          </w:tcPr>
          <w:p>
            <w:pPr>
              <w:ind w:firstLine="28"/>
              <w:jc w:val="center"/>
              <w:rPr>
                <w:rFonts w:hint="eastAsia" w:ascii="微软雅黑" w:hAnsi="微软雅黑" w:eastAsia="微软雅黑" w:cs="微软雅黑"/>
                <w:sz w:val="24"/>
                <w:szCs w:val="24"/>
              </w:rPr>
            </w:pPr>
          </w:p>
        </w:tc>
        <w:tc>
          <w:tcPr>
            <w:tcW w:w="762"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00"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33" w:type="dxa"/>
            <w:vAlign w:val="center"/>
          </w:tcPr>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b w:val="0"/>
                <w:bCs w:val="0"/>
                <w:caps w:val="0"/>
                <w:sz w:val="24"/>
                <w:szCs w:val="24"/>
              </w:rPr>
              <w:t>食堂服务方案</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8</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tc>
        <w:tc>
          <w:tcPr>
            <w:tcW w:w="517" w:type="dxa"/>
            <w:tcBorders>
              <w:bottom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8</w:t>
            </w:r>
          </w:p>
        </w:tc>
        <w:tc>
          <w:tcPr>
            <w:tcW w:w="4967" w:type="dxa"/>
            <w:vAlign w:val="center"/>
          </w:tcPr>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1.有完整的食堂服务方案得2分；工作职责明确，工作流程规范，优加6分，良加3分，差加加0分；</w:t>
            </w:r>
          </w:p>
          <w:p>
            <w:pPr>
              <w:wordWrap w:val="0"/>
              <w:snapToGrid w:val="0"/>
              <w:spacing w:line="0" w:lineRule="atLeas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2"/>
                <w:sz w:val="24"/>
                <w:szCs w:val="24"/>
                <w:lang w:val="en-US" w:eastAsia="zh-CN" w:bidi="ar-SA"/>
              </w:rPr>
              <w:t>2.提供的方案与本项目实际不相符的本项得0分。</w:t>
            </w:r>
          </w:p>
        </w:tc>
        <w:tc>
          <w:tcPr>
            <w:tcW w:w="1603"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454" w:type="dxa"/>
            <w:vMerge w:val="continue"/>
            <w:vAlign w:val="center"/>
          </w:tcPr>
          <w:p>
            <w:pPr>
              <w:ind w:firstLine="28"/>
              <w:jc w:val="center"/>
              <w:rPr>
                <w:rFonts w:hint="eastAsia" w:ascii="微软雅黑" w:hAnsi="微软雅黑" w:eastAsia="微软雅黑" w:cs="微软雅黑"/>
                <w:sz w:val="24"/>
                <w:szCs w:val="24"/>
              </w:rPr>
            </w:pPr>
          </w:p>
        </w:tc>
        <w:tc>
          <w:tcPr>
            <w:tcW w:w="762"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00"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33" w:type="dxa"/>
            <w:vAlign w:val="center"/>
          </w:tcPr>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b w:val="0"/>
                <w:bCs w:val="0"/>
                <w:caps w:val="0"/>
                <w:sz w:val="24"/>
                <w:szCs w:val="24"/>
              </w:rPr>
              <w:t>质量管理考核方案</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8</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tc>
        <w:tc>
          <w:tcPr>
            <w:tcW w:w="517" w:type="dxa"/>
            <w:tcBorders>
              <w:bottom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8</w:t>
            </w:r>
          </w:p>
        </w:tc>
        <w:tc>
          <w:tcPr>
            <w:tcW w:w="4967" w:type="dxa"/>
            <w:vAlign w:val="center"/>
          </w:tcPr>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1.有针对本项目的质量管理考核方案得2分；服务人员的考核评价机制合理。优加6分，良加3分，差的加0分；</w:t>
            </w:r>
          </w:p>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2.提供的方案与本项目实际不相符的本项得0分。</w:t>
            </w:r>
          </w:p>
        </w:tc>
        <w:tc>
          <w:tcPr>
            <w:tcW w:w="1603" w:type="dxa"/>
            <w:vMerge w:val="continue"/>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trPr>
        <w:tc>
          <w:tcPr>
            <w:tcW w:w="454" w:type="dxa"/>
            <w:vMerge w:val="continue"/>
            <w:tcBorders>
              <w:bottom w:val="single" w:color="auto" w:sz="4" w:space="0"/>
            </w:tcBorders>
            <w:vAlign w:val="center"/>
          </w:tcPr>
          <w:p>
            <w:pPr>
              <w:ind w:firstLine="28"/>
              <w:jc w:val="center"/>
              <w:rPr>
                <w:rFonts w:hint="eastAsia" w:ascii="微软雅黑" w:hAnsi="微软雅黑" w:eastAsia="微软雅黑" w:cs="微软雅黑"/>
                <w:sz w:val="24"/>
                <w:szCs w:val="24"/>
              </w:rPr>
            </w:pPr>
          </w:p>
        </w:tc>
        <w:tc>
          <w:tcPr>
            <w:tcW w:w="762" w:type="dxa"/>
            <w:vMerge w:val="continue"/>
            <w:tcBorders>
              <w:bottom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00" w:type="dxa"/>
            <w:vMerge w:val="continue"/>
            <w:tcBorders>
              <w:bottom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33" w:type="dxa"/>
            <w:tcBorders>
              <w:bottom w:val="single" w:color="auto" w:sz="4" w:space="0"/>
            </w:tcBorders>
            <w:vAlign w:val="center"/>
          </w:tcPr>
          <w:p>
            <w:pPr>
              <w:wordWrap w:val="0"/>
              <w:snapToGrid w:val="0"/>
              <w:spacing w:line="0" w:lineRule="atLeas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拟投入装备（</w:t>
            </w:r>
          </w:p>
          <w:p>
            <w:pPr>
              <w:wordWrap w:val="0"/>
              <w:snapToGrid w:val="0"/>
              <w:spacing w:line="0" w:lineRule="atLeas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8%</w:t>
            </w:r>
          </w:p>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w:t>
            </w:r>
          </w:p>
        </w:tc>
        <w:tc>
          <w:tcPr>
            <w:tcW w:w="517" w:type="dxa"/>
            <w:tcBorders>
              <w:bottom w:val="single" w:color="auto" w:sz="4" w:space="0"/>
            </w:tcBorders>
            <w:vAlign w:val="center"/>
          </w:tcPr>
          <w:p>
            <w:pPr>
              <w:wordWrap w:val="0"/>
              <w:snapToGrid w:val="0"/>
              <w:spacing w:line="0" w:lineRule="atLeast"/>
              <w:ind w:firstLine="480" w:firstLineChars="200"/>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68</w:t>
            </w:r>
          </w:p>
        </w:tc>
        <w:tc>
          <w:tcPr>
            <w:tcW w:w="4967" w:type="dxa"/>
            <w:tcBorders>
              <w:bottom w:val="single" w:color="auto" w:sz="4" w:space="0"/>
            </w:tcBorders>
            <w:vAlign w:val="center"/>
          </w:tcPr>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1.提供拟投入装备（需提供承诺书）得2分；提供装备，如对讲机、橡胶警棍、强光电筒、警用武装带及保洁设备等，根据提供的情况，优加6分，良加3分，差的加0分；</w:t>
            </w:r>
          </w:p>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2.提供的方案与本项目实际不相符的本项得0分。</w:t>
            </w:r>
          </w:p>
        </w:tc>
        <w:tc>
          <w:tcPr>
            <w:tcW w:w="1603" w:type="dxa"/>
            <w:vMerge w:val="continue"/>
            <w:tcBorders>
              <w:bottom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454" w:type="dxa"/>
            <w:vMerge w:val="continue"/>
            <w:tcBorders>
              <w:bottom w:val="single" w:color="auto" w:sz="4" w:space="0"/>
            </w:tcBorders>
            <w:vAlign w:val="center"/>
          </w:tcPr>
          <w:p>
            <w:pPr>
              <w:ind w:firstLine="28"/>
              <w:jc w:val="center"/>
              <w:rPr>
                <w:rFonts w:hint="eastAsia" w:ascii="微软雅黑" w:hAnsi="微软雅黑" w:eastAsia="微软雅黑" w:cs="微软雅黑"/>
                <w:sz w:val="24"/>
                <w:szCs w:val="24"/>
              </w:rPr>
            </w:pPr>
          </w:p>
        </w:tc>
        <w:tc>
          <w:tcPr>
            <w:tcW w:w="762" w:type="dxa"/>
            <w:vMerge w:val="continue"/>
            <w:tcBorders>
              <w:bottom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00" w:type="dxa"/>
            <w:vMerge w:val="continue"/>
            <w:tcBorders>
              <w:bottom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c>
          <w:tcPr>
            <w:tcW w:w="733" w:type="dxa"/>
            <w:tcBorders>
              <w:bottom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2"/>
                <w:sz w:val="24"/>
                <w:szCs w:val="24"/>
                <w:lang w:val="en-US" w:eastAsia="zh-CN" w:bidi="ar-SA"/>
              </w:rPr>
              <w:t>应急处置方案</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rPr>
              <w:t>%</w:t>
            </w:r>
          </w:p>
          <w:p>
            <w:pPr>
              <w:wordWrap w:val="0"/>
              <w:snapToGrid w:val="0"/>
              <w:spacing w:line="0" w:lineRule="atLeast"/>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p>
        </w:tc>
        <w:tc>
          <w:tcPr>
            <w:tcW w:w="517" w:type="dxa"/>
            <w:tcBorders>
              <w:bottom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7</w:t>
            </w:r>
          </w:p>
        </w:tc>
        <w:tc>
          <w:tcPr>
            <w:tcW w:w="4967" w:type="dxa"/>
            <w:tcBorders>
              <w:bottom w:val="single" w:color="auto" w:sz="4" w:space="0"/>
            </w:tcBorders>
            <w:vAlign w:val="center"/>
          </w:tcPr>
          <w:p>
            <w:pPr>
              <w:wordWrap w:val="0"/>
              <w:snapToGrid w:val="0"/>
              <w:spacing w:line="0" w:lineRule="atLeast"/>
              <w:ind w:firstLine="480" w:firstLineChars="200"/>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sz w:val="24"/>
                <w:szCs w:val="24"/>
                <w:shd w:val="clear" w:color="auto" w:fill="FFFFFF"/>
              </w:rPr>
              <w:t>1.有</w:t>
            </w:r>
            <w:r>
              <w:rPr>
                <w:rFonts w:hint="eastAsia" w:ascii="微软雅黑" w:hAnsi="微软雅黑" w:eastAsia="微软雅黑" w:cs="微软雅黑"/>
                <w:color w:val="000000"/>
                <w:kern w:val="2"/>
                <w:sz w:val="24"/>
                <w:szCs w:val="24"/>
                <w:lang w:val="en-US" w:eastAsia="zh-CN" w:bidi="ar-SA"/>
              </w:rPr>
              <w:t>应急处置方案得2分；有各类完整的应急处置方案、有针对性演练计划，好加5分，一般加3分，差的加0分；</w:t>
            </w:r>
          </w:p>
          <w:p>
            <w:pPr>
              <w:wordWrap w:val="0"/>
              <w:snapToGrid w:val="0"/>
              <w:spacing w:line="0" w:lineRule="atLeas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kern w:val="2"/>
                <w:sz w:val="24"/>
                <w:szCs w:val="24"/>
                <w:lang w:val="en-US" w:eastAsia="zh-CN" w:bidi="ar-SA"/>
              </w:rPr>
              <w:t>2.提供的方案与本项目实际不相符的本项得0分。</w:t>
            </w:r>
          </w:p>
        </w:tc>
        <w:tc>
          <w:tcPr>
            <w:tcW w:w="1603" w:type="dxa"/>
            <w:vMerge w:val="continue"/>
            <w:tcBorders>
              <w:bottom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Merge w:val="restart"/>
            <w:tcBorders>
              <w:top w:val="single" w:color="auto" w:sz="4" w:space="0"/>
              <w:left w:val="single" w:color="auto" w:sz="4" w:space="0"/>
              <w:right w:val="single" w:color="auto" w:sz="4" w:space="0"/>
            </w:tcBorders>
            <w:vAlign w:val="center"/>
          </w:tcPr>
          <w:p>
            <w:pPr>
              <w:wordWrap w:val="0"/>
              <w:snapToGrid w:val="0"/>
              <w:spacing w:line="0" w:lineRule="atLeast"/>
              <w:jc w:val="left"/>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3</w:t>
            </w:r>
          </w:p>
          <w:p>
            <w:pPr>
              <w:ind w:firstLine="28"/>
              <w:jc w:val="left"/>
              <w:rPr>
                <w:rFonts w:hint="eastAsia" w:ascii="微软雅黑" w:hAnsi="微软雅黑" w:eastAsia="微软雅黑" w:cs="微软雅黑"/>
                <w:sz w:val="24"/>
                <w:szCs w:val="24"/>
              </w:rPr>
            </w:pPr>
          </w:p>
        </w:tc>
        <w:tc>
          <w:tcPr>
            <w:tcW w:w="1462" w:type="dxa"/>
            <w:gridSpan w:val="2"/>
            <w:vMerge w:val="restart"/>
            <w:tcBorders>
              <w:top w:val="single" w:color="auto" w:sz="4" w:space="0"/>
              <w:left w:val="single" w:color="auto" w:sz="4" w:space="0"/>
              <w:right w:val="single" w:color="auto" w:sz="4" w:space="0"/>
            </w:tcBorders>
            <w:vAlign w:val="center"/>
          </w:tcPr>
          <w:p>
            <w:pPr>
              <w:wordWrap w:val="0"/>
              <w:snapToGrid w:val="0"/>
              <w:spacing w:line="0" w:lineRule="atLeast"/>
              <w:ind w:firstLine="240" w:firstLineChars="100"/>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商务部分</w:t>
            </w:r>
          </w:p>
          <w:p>
            <w:pPr>
              <w:wordWrap w:val="0"/>
              <w:snapToGrid w:val="0"/>
              <w:spacing w:line="0" w:lineRule="atLeast"/>
              <w:ind w:firstLine="240" w:firstLineChars="100"/>
              <w:jc w:val="center"/>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w:t>
            </w:r>
            <w:r>
              <w:rPr>
                <w:rFonts w:hint="eastAsia" w:ascii="微软雅黑" w:hAnsi="微软雅黑" w:eastAsia="微软雅黑" w:cs="微软雅黑"/>
                <w:color w:val="000000"/>
                <w:sz w:val="24"/>
                <w:szCs w:val="24"/>
                <w:lang w:val="en-US" w:eastAsia="zh-CN"/>
              </w:rPr>
              <w:t>43</w:t>
            </w:r>
            <w:r>
              <w:rPr>
                <w:rFonts w:hint="eastAsia" w:ascii="微软雅黑" w:hAnsi="微软雅黑" w:eastAsia="微软雅黑" w:cs="微软雅黑"/>
                <w:color w:val="000000"/>
                <w:sz w:val="24"/>
                <w:szCs w:val="24"/>
              </w:rPr>
              <w:t>%）</w:t>
            </w:r>
          </w:p>
        </w:tc>
        <w:tc>
          <w:tcPr>
            <w:tcW w:w="73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成本测算方案（</w:t>
            </w:r>
            <w:r>
              <w:rPr>
                <w:rFonts w:hint="eastAsia" w:ascii="微软雅黑" w:hAnsi="微软雅黑" w:eastAsia="微软雅黑" w:cs="微软雅黑"/>
                <w:sz w:val="24"/>
                <w:szCs w:val="24"/>
                <w:shd w:val="clear" w:color="auto" w:fill="FFFFFF"/>
              </w:rPr>
              <w:t>5%</w:t>
            </w:r>
            <w:r>
              <w:rPr>
                <w:rFonts w:hint="eastAsia" w:ascii="微软雅黑" w:hAnsi="微软雅黑" w:eastAsia="微软雅黑" w:cs="微软雅黑"/>
                <w:color w:val="000000"/>
                <w:sz w:val="24"/>
                <w:szCs w:val="24"/>
                <w:lang w:val="en-US" w:eastAsia="zh-CN"/>
              </w:rPr>
              <w:t>）</w:t>
            </w:r>
          </w:p>
        </w:tc>
        <w:tc>
          <w:tcPr>
            <w:tcW w:w="51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5</w:t>
            </w:r>
          </w:p>
        </w:tc>
        <w:tc>
          <w:tcPr>
            <w:tcW w:w="4967" w:type="dxa"/>
            <w:tcBorders>
              <w:top w:val="single" w:color="auto" w:sz="4" w:space="0"/>
              <w:left w:val="single" w:color="auto" w:sz="4" w:space="0"/>
              <w:bottom w:val="single" w:color="auto" w:sz="4" w:space="0"/>
              <w:right w:val="single" w:color="auto" w:sz="4" w:space="0"/>
            </w:tcBorders>
            <w:vAlign w:val="top"/>
          </w:tcPr>
          <w:p>
            <w:pPr>
              <w:widowControl/>
              <w:wordWrap w:val="0"/>
              <w:topLinePunct/>
              <w:adjustRightInd w:val="0"/>
              <w:snapToGrid w:val="0"/>
              <w:spacing w:line="400" w:lineRule="atLeas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1.有成本测算方案且成本测算方案符合本项目实际的得2分。</w:t>
            </w:r>
          </w:p>
          <w:p>
            <w:pPr>
              <w:widowControl/>
              <w:wordWrap w:val="0"/>
              <w:topLinePunct/>
              <w:adjustRightInd w:val="0"/>
              <w:snapToGrid w:val="0"/>
              <w:spacing w:line="400" w:lineRule="atLeast"/>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2.磋商小组成员根据</w:t>
            </w:r>
            <w:r>
              <w:rPr>
                <w:rFonts w:hint="eastAsia" w:ascii="微软雅黑" w:hAnsi="微软雅黑" w:eastAsia="微软雅黑" w:cs="微软雅黑"/>
                <w:sz w:val="24"/>
                <w:szCs w:val="24"/>
              </w:rPr>
              <w:t>响应供应商</w:t>
            </w:r>
            <w:r>
              <w:rPr>
                <w:rFonts w:hint="eastAsia" w:ascii="微软雅黑" w:hAnsi="微软雅黑" w:eastAsia="微软雅黑" w:cs="微软雅黑"/>
                <w:sz w:val="24"/>
                <w:szCs w:val="24"/>
                <w:shd w:val="clear" w:color="auto" w:fill="FFFFFF"/>
              </w:rPr>
              <w:t>制定的成本测算方案的全面性、合理性，并按照优劣程度适当再加分。加分标准为：优加3分、良加2分、一般加1分、差加0分。</w:t>
            </w:r>
          </w:p>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sz w:val="24"/>
                <w:szCs w:val="24"/>
                <w:shd w:val="clear" w:color="auto" w:fill="FFFFFF"/>
              </w:rPr>
              <w:t>3.成本测算方案不符合本项目实际的，本项得0分。</w:t>
            </w:r>
          </w:p>
        </w:tc>
        <w:tc>
          <w:tcPr>
            <w:tcW w:w="1603" w:type="dxa"/>
            <w:tcBorders>
              <w:top w:val="single" w:color="auto" w:sz="4" w:space="0"/>
              <w:left w:val="single" w:color="auto" w:sz="4" w:space="0"/>
              <w:bottom w:val="single" w:color="auto" w:sz="4" w:space="0"/>
              <w:right w:val="single" w:color="auto" w:sz="4" w:space="0"/>
            </w:tcBorders>
            <w:vAlign w:val="top"/>
          </w:tcPr>
          <w:p>
            <w:pPr>
              <w:wordWrap w:val="0"/>
              <w:snapToGrid w:val="0"/>
              <w:spacing w:line="0" w:lineRule="atLeast"/>
              <w:ind w:firstLine="240" w:firstLineChars="100"/>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评标委员会成员根据响应供应商针对本项目制定的成本测算方案独立评分。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Merge w:val="continue"/>
            <w:tcBorders>
              <w:left w:val="single" w:color="auto" w:sz="4" w:space="0"/>
              <w:bottom w:val="single" w:color="auto" w:sz="4" w:space="0"/>
              <w:right w:val="single" w:color="auto" w:sz="4" w:space="0"/>
            </w:tcBorders>
            <w:vAlign w:val="center"/>
          </w:tcPr>
          <w:p>
            <w:pPr>
              <w:ind w:firstLine="28"/>
              <w:jc w:val="center"/>
              <w:rPr>
                <w:rFonts w:hint="eastAsia" w:ascii="微软雅黑" w:hAnsi="微软雅黑" w:eastAsia="微软雅黑" w:cs="微软雅黑"/>
                <w:sz w:val="24"/>
                <w:szCs w:val="24"/>
              </w:rPr>
            </w:pPr>
          </w:p>
        </w:tc>
        <w:tc>
          <w:tcPr>
            <w:tcW w:w="1462" w:type="dxa"/>
            <w:gridSpan w:val="2"/>
            <w:vMerge w:val="continue"/>
            <w:tcBorders>
              <w:left w:val="single" w:color="auto" w:sz="4" w:space="0"/>
              <w:bottom w:val="single" w:color="auto" w:sz="4" w:space="0"/>
              <w:right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lang w:val="en-US" w:eastAsia="zh-CN"/>
              </w:rPr>
            </w:pPr>
          </w:p>
        </w:tc>
        <w:tc>
          <w:tcPr>
            <w:tcW w:w="733"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400" w:lineRule="atLeast"/>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企业</w:t>
            </w:r>
            <w:r>
              <w:rPr>
                <w:rFonts w:hint="eastAsia" w:ascii="微软雅黑" w:hAnsi="微软雅黑" w:eastAsia="微软雅黑" w:cs="微软雅黑"/>
                <w:sz w:val="24"/>
                <w:szCs w:val="24"/>
                <w:lang w:val="en-US" w:eastAsia="zh-CN"/>
              </w:rPr>
              <w:t>实力</w:t>
            </w:r>
            <w:r>
              <w:rPr>
                <w:rFonts w:hint="eastAsia" w:ascii="微软雅黑" w:hAnsi="微软雅黑" w:eastAsia="微软雅黑" w:cs="微软雅黑"/>
                <w:sz w:val="24"/>
                <w:szCs w:val="24"/>
              </w:rPr>
              <w:t>（4%）</w:t>
            </w:r>
          </w:p>
        </w:tc>
        <w:tc>
          <w:tcPr>
            <w:tcW w:w="517" w:type="dxa"/>
            <w:tcBorders>
              <w:top w:val="single" w:color="auto" w:sz="4" w:space="0"/>
              <w:left w:val="single" w:color="auto" w:sz="4" w:space="0"/>
              <w:bottom w:val="single" w:color="auto" w:sz="4" w:space="0"/>
              <w:right w:val="single" w:color="auto" w:sz="4" w:space="0"/>
            </w:tcBorders>
            <w:vAlign w:val="center"/>
          </w:tcPr>
          <w:p>
            <w:pPr>
              <w:widowControl/>
              <w:topLinePunct/>
              <w:adjustRightInd w:val="0"/>
              <w:snapToGrid w:val="0"/>
              <w:spacing w:line="400" w:lineRule="atLeast"/>
              <w:jc w:val="cente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rPr>
              <w:t>4</w:t>
            </w:r>
          </w:p>
        </w:tc>
        <w:tc>
          <w:tcPr>
            <w:tcW w:w="4967"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tabs>
                <w:tab w:val="left" w:pos="312"/>
              </w:tabs>
              <w:wordWrap w:val="0"/>
              <w:topLinePunct/>
              <w:adjustRightInd w:val="0"/>
              <w:snapToGrid w:val="0"/>
              <w:spacing w:line="400" w:lineRule="atLeast"/>
              <w:ind w:left="5" w:leftChars="0" w:hanging="5" w:firstLineChars="0"/>
              <w:rPr>
                <w:rFonts w:hint="eastAsia" w:ascii="微软雅黑" w:hAnsi="微软雅黑" w:eastAsia="微软雅黑" w:cs="微软雅黑"/>
                <w:sz w:val="24"/>
                <w:szCs w:val="24"/>
                <w:shd w:val="clear" w:color="auto" w:fill="FFFFFF"/>
              </w:rPr>
            </w:pPr>
            <w:r>
              <w:rPr>
                <w:rFonts w:hint="eastAsia" w:ascii="微软雅黑" w:hAnsi="微软雅黑" w:eastAsia="微软雅黑" w:cs="微软雅黑"/>
                <w:sz w:val="24"/>
                <w:szCs w:val="24"/>
                <w:shd w:val="clear" w:color="auto" w:fill="FFFFFF"/>
              </w:rPr>
              <w:t>响应供应商具有行政主管部门颁发的自行招用保安员单位备案证的得2分。</w:t>
            </w:r>
          </w:p>
          <w:p>
            <w:pPr>
              <w:widowControl/>
              <w:wordWrap w:val="0"/>
              <w:topLinePunct/>
              <w:adjustRightInd w:val="0"/>
              <w:snapToGrid w:val="0"/>
              <w:spacing w:line="400" w:lineRule="atLeas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sz w:val="24"/>
                <w:szCs w:val="24"/>
                <w:shd w:val="clear" w:color="auto" w:fill="FFFFFF"/>
              </w:rPr>
              <w:t>2.响应供应商取得行政主管部门颁发的“劳务派遣经营许可证”得2分，没有不得分。</w:t>
            </w:r>
          </w:p>
        </w:tc>
        <w:tc>
          <w:tcPr>
            <w:tcW w:w="160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Merge w:val="continue"/>
            <w:tcBorders>
              <w:left w:val="single" w:color="auto" w:sz="4" w:space="0"/>
              <w:bottom w:val="single" w:color="auto" w:sz="4" w:space="0"/>
              <w:right w:val="single" w:color="auto" w:sz="4" w:space="0"/>
            </w:tcBorders>
            <w:vAlign w:val="center"/>
          </w:tcPr>
          <w:p>
            <w:pPr>
              <w:ind w:firstLine="28"/>
              <w:jc w:val="center"/>
              <w:rPr>
                <w:rFonts w:hint="eastAsia" w:ascii="微软雅黑" w:hAnsi="微软雅黑" w:eastAsia="微软雅黑" w:cs="微软雅黑"/>
                <w:sz w:val="24"/>
                <w:szCs w:val="24"/>
              </w:rPr>
            </w:pPr>
          </w:p>
        </w:tc>
        <w:tc>
          <w:tcPr>
            <w:tcW w:w="1462" w:type="dxa"/>
            <w:gridSpan w:val="2"/>
            <w:vMerge w:val="continue"/>
            <w:tcBorders>
              <w:left w:val="single" w:color="auto" w:sz="4" w:space="0"/>
              <w:bottom w:val="single" w:color="auto" w:sz="4" w:space="0"/>
              <w:right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lang w:val="en-US" w:eastAsia="zh-CN"/>
              </w:rPr>
            </w:pPr>
          </w:p>
        </w:tc>
        <w:tc>
          <w:tcPr>
            <w:tcW w:w="73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人员配备（21%）</w:t>
            </w:r>
          </w:p>
        </w:tc>
        <w:tc>
          <w:tcPr>
            <w:tcW w:w="51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jc w:val="both"/>
              <w:rPr>
                <w:rFonts w:hint="default"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21</w:t>
            </w:r>
          </w:p>
        </w:tc>
        <w:tc>
          <w:tcPr>
            <w:tcW w:w="49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1.有人员配备方案且符合本项目实际的得2分。</w:t>
            </w:r>
          </w:p>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2.磋商小组成员根据响应供应商制定的人员配备方案的全面性、合理性，并按照优劣程度适当再加分。加分标准为：优加3分、良加2分、一般加1分、差加0分。</w:t>
            </w:r>
          </w:p>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3.拟派本项目保安员中至少1人具有行业主管部门颁的保安员证书和建（构）筑物消防员或消防设施操作员职业资格证书得2分，同时具有退役证（或退伍证）、人社局颁发的保安员职业资格等级证书(三级/高级工及以上）的加3分。本项最多得5分。</w:t>
            </w:r>
          </w:p>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4.拟派本项目餐饮人员至少1人具有中式烹调师职业技能等级证书的得1分，职业技能等级为三级/高级技能及以上的加2分；拟派本项目餐饮人员至少1人具有省级（直辖市）职业技能鉴定中心颁发的公共营养师职业资格证书的得1分，职业资格等级为三级/高级技能及以上的加2分；拟派本项目餐饮人员至少1人具有人社局颁发的中级及以上餐厅服务员的得2分。本项最多得8分。</w:t>
            </w:r>
          </w:p>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5.拟派本项目保洁人员具有人社局或在人社局备案的第三方鉴定机构颁发的中级及以上保洁员职业资格或职业技能等级证书和省级（直辖市）有害生物防制协会颁发的消毒员培训证书，提供1人得1.5分，最多得3分。</w:t>
            </w:r>
          </w:p>
        </w:tc>
        <w:tc>
          <w:tcPr>
            <w:tcW w:w="160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由响应供应商承诺中标后提供相关证明材料（证明材料是指：资格证书等材料，所有证明材料均须在有效期内），否则视为验收不合格。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4" w:type="dxa"/>
            <w:vMerge w:val="continue"/>
            <w:tcBorders>
              <w:left w:val="single" w:color="auto" w:sz="4" w:space="0"/>
              <w:bottom w:val="single" w:color="auto" w:sz="4" w:space="0"/>
              <w:right w:val="single" w:color="auto" w:sz="4" w:space="0"/>
            </w:tcBorders>
            <w:vAlign w:val="center"/>
          </w:tcPr>
          <w:p>
            <w:pPr>
              <w:ind w:firstLine="28"/>
              <w:jc w:val="center"/>
              <w:rPr>
                <w:rFonts w:hint="eastAsia" w:ascii="微软雅黑" w:hAnsi="微软雅黑" w:eastAsia="微软雅黑" w:cs="微软雅黑"/>
                <w:sz w:val="24"/>
                <w:szCs w:val="24"/>
              </w:rPr>
            </w:pPr>
          </w:p>
        </w:tc>
        <w:tc>
          <w:tcPr>
            <w:tcW w:w="1462" w:type="dxa"/>
            <w:gridSpan w:val="2"/>
            <w:vMerge w:val="continue"/>
            <w:tcBorders>
              <w:left w:val="single" w:color="auto" w:sz="4" w:space="0"/>
              <w:bottom w:val="single" w:color="auto" w:sz="4" w:space="0"/>
              <w:right w:val="single" w:color="auto" w:sz="4" w:space="0"/>
            </w:tcBorders>
            <w:vAlign w:val="center"/>
          </w:tcPr>
          <w:p>
            <w:pPr>
              <w:wordWrap w:val="0"/>
              <w:snapToGrid w:val="0"/>
              <w:spacing w:line="0" w:lineRule="atLeast"/>
              <w:ind w:firstLine="240" w:firstLineChars="100"/>
              <w:rPr>
                <w:rFonts w:hint="eastAsia" w:ascii="微软雅黑" w:hAnsi="微软雅黑" w:eastAsia="微软雅黑" w:cs="微软雅黑"/>
                <w:color w:val="000000"/>
                <w:sz w:val="24"/>
                <w:szCs w:val="24"/>
                <w:lang w:val="en-US" w:eastAsia="zh-CN"/>
              </w:rPr>
            </w:pPr>
          </w:p>
        </w:tc>
        <w:tc>
          <w:tcPr>
            <w:tcW w:w="73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jc w:val="center"/>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业绩（13%）</w:t>
            </w:r>
          </w:p>
        </w:tc>
        <w:tc>
          <w:tcPr>
            <w:tcW w:w="51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jc w:val="both"/>
              <w:rPr>
                <w:rFonts w:hint="default"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13</w:t>
            </w:r>
          </w:p>
        </w:tc>
        <w:tc>
          <w:tcPr>
            <w:tcW w:w="4967"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2019年1月至今，响应供应商具有具有类似服务项目业绩，有1个得1分，最多得13分。</w:t>
            </w:r>
          </w:p>
        </w:tc>
        <w:tc>
          <w:tcPr>
            <w:tcW w:w="1603" w:type="dxa"/>
            <w:tcBorders>
              <w:top w:val="single" w:color="auto" w:sz="4" w:space="0"/>
              <w:left w:val="single" w:color="auto" w:sz="4" w:space="0"/>
              <w:bottom w:val="single" w:color="auto" w:sz="4" w:space="0"/>
              <w:right w:val="single" w:color="auto" w:sz="4" w:space="0"/>
            </w:tcBorders>
            <w:vAlign w:val="center"/>
          </w:tcPr>
          <w:p>
            <w:pPr>
              <w:wordWrap w:val="0"/>
              <w:snapToGrid w:val="0"/>
              <w:spacing w:line="0" w:lineRule="atLeast"/>
              <w:ind w:firstLine="480" w:firstLineChars="200"/>
              <w:jc w:val="left"/>
              <w:rPr>
                <w:rFonts w:hint="eastAsia" w:ascii="微软雅黑" w:hAnsi="微软雅黑" w:eastAsia="微软雅黑" w:cs="微软雅黑"/>
                <w:color w:val="000000"/>
                <w:kern w:val="2"/>
                <w:sz w:val="24"/>
                <w:szCs w:val="24"/>
                <w:lang w:val="en-US" w:eastAsia="zh-CN" w:bidi="ar-SA"/>
              </w:rPr>
            </w:pPr>
            <w:r>
              <w:rPr>
                <w:rFonts w:hint="eastAsia" w:ascii="微软雅黑" w:hAnsi="微软雅黑" w:eastAsia="微软雅黑" w:cs="微软雅黑"/>
                <w:color w:val="000000"/>
                <w:kern w:val="2"/>
                <w:sz w:val="24"/>
                <w:szCs w:val="24"/>
                <w:lang w:val="en-US" w:eastAsia="zh-CN" w:bidi="ar-SA"/>
              </w:rPr>
              <w:t>提供与业主单位签订的合同复印件，原件备查。转包、分包不计分。</w:t>
            </w:r>
          </w:p>
        </w:tc>
      </w:tr>
    </w:tbl>
    <w:p>
      <w:pPr>
        <w:pStyle w:val="3"/>
        <w:adjustRightInd w:val="0"/>
        <w:snapToGrid w:val="0"/>
        <w:spacing w:before="0" w:after="0" w:line="400" w:lineRule="exact"/>
        <w:ind w:firstLine="482" w:firstLineChars="200"/>
        <w:rPr>
          <w:rFonts w:hint="eastAsia" w:ascii="方正仿宋_GBK" w:hAnsi="宋体" w:eastAsia="方正仿宋_GBK"/>
          <w:sz w:val="24"/>
        </w:rPr>
      </w:pPr>
      <w:bookmarkStart w:id="63" w:name="_Toc76462335"/>
      <w:bookmarkStart w:id="64" w:name="_Toc106030890"/>
      <w:r>
        <w:rPr>
          <w:rFonts w:hint="eastAsia" w:ascii="方正仿宋_GBK" w:hAnsi="宋体" w:eastAsia="方正仿宋_GBK"/>
          <w:sz w:val="24"/>
        </w:rPr>
        <w:t>三、无效响应</w:t>
      </w:r>
      <w:bookmarkEnd w:id="63"/>
      <w:bookmarkEnd w:id="64"/>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（五）法定代表人为同一个人的两个及两个以上法人，母公司、全资子公司及其控股公司，在同一包采购中同时参与磋商；</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（八）供应商磋商有效期不满足竞争性磋商文件要求的；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（十）法律、法规和竞争性磋商文件规定的其他无效情形。</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65" w:name="_Toc106030891"/>
      <w:bookmarkStart w:id="66" w:name="_Toc76462336"/>
      <w:r>
        <w:rPr>
          <w:rFonts w:hint="eastAsia" w:ascii="方正仿宋_GBK" w:hAnsi="宋体" w:eastAsia="方正仿宋_GBK"/>
          <w:sz w:val="24"/>
        </w:rPr>
        <w:t>四、</w:t>
      </w:r>
      <w:bookmarkEnd w:id="61"/>
      <w:bookmarkEnd w:id="62"/>
      <w:r>
        <w:rPr>
          <w:rFonts w:hint="eastAsia" w:ascii="方正仿宋_GBK" w:hAnsi="宋体" w:eastAsia="方正仿宋_GBK"/>
          <w:sz w:val="24"/>
        </w:rPr>
        <w:t>采购终止</w:t>
      </w:r>
      <w:bookmarkEnd w:id="65"/>
      <w:bookmarkEnd w:id="66"/>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（一）因情况变化，不再符合规定的竞争性磋商采购方式适用情形的；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65"/>
        <w:rPr>
          <w:rFonts w:hint="eastAsia" w:ascii="方正仿宋_GBK" w:hAnsi="宋体" w:eastAsia="方正仿宋_GBK"/>
          <w:sz w:val="24"/>
          <w:szCs w:val="24"/>
        </w:rPr>
      </w:pPr>
      <w:r>
        <w:rPr>
          <w:rFonts w:hint="eastAsia" w:ascii="方正仿宋_GBK" w:hAnsi="宋体" w:eastAsia="方正仿宋_GBK"/>
          <w:sz w:val="24"/>
          <w:szCs w:val="24"/>
        </w:rPr>
        <w:t>（三）在采购过程中符合要求的供应商或者报价未超过采购预算的供应商不足3家的，但《政府采购竞争性磋商采购方式管理暂行办法》第二十一条第三款规定的情形除外。</w:t>
      </w:r>
    </w:p>
    <w:p>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pStyle w:val="3"/>
        <w:pageBreakBefore/>
        <w:spacing w:before="0" w:after="0" w:line="360" w:lineRule="auto"/>
        <w:jc w:val="center"/>
        <w:rPr>
          <w:rFonts w:hint="eastAsia" w:ascii="方正小标宋_GBK" w:hAnsi="宋体" w:eastAsia="方正小标宋_GBK"/>
          <w:b w:val="0"/>
          <w:bCs/>
          <w:sz w:val="36"/>
          <w:szCs w:val="30"/>
        </w:rPr>
      </w:pPr>
      <w:bookmarkStart w:id="67" w:name="_Toc76462337"/>
      <w:bookmarkStart w:id="68" w:name="_Toc102227313"/>
      <w:bookmarkStart w:id="69" w:name="_Toc106030892"/>
      <w:r>
        <w:rPr>
          <w:rFonts w:hint="eastAsia" w:ascii="方正小标宋_GBK" w:hAnsi="宋体" w:eastAsia="方正小标宋_GBK"/>
          <w:b w:val="0"/>
          <w:bCs/>
          <w:sz w:val="36"/>
          <w:szCs w:val="30"/>
        </w:rPr>
        <w:t>第五篇  供应商须知</w:t>
      </w:r>
      <w:bookmarkEnd w:id="67"/>
      <w:bookmarkEnd w:id="68"/>
      <w:bookmarkEnd w:id="69"/>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0" w:name="_Toc106030893"/>
      <w:bookmarkStart w:id="71" w:name="_Toc342913389"/>
      <w:bookmarkStart w:id="72" w:name="_Toc76462338"/>
      <w:r>
        <w:rPr>
          <w:rFonts w:hint="eastAsia" w:ascii="方正仿宋_GBK" w:hAnsi="宋体" w:eastAsia="方正仿宋_GBK"/>
          <w:sz w:val="24"/>
        </w:rPr>
        <w:t>一、磋商费用</w:t>
      </w:r>
      <w:bookmarkEnd w:id="70"/>
      <w:bookmarkEnd w:id="71"/>
      <w:bookmarkEnd w:id="72"/>
    </w:p>
    <w:p>
      <w:pPr>
        <w:pStyle w:val="2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参与</w:t>
      </w:r>
      <w:r>
        <w:rPr>
          <w:rFonts w:hint="eastAsia" w:ascii="方正仿宋_GBK" w:eastAsia="方正仿宋_GBK"/>
          <w:sz w:val="24"/>
          <w:szCs w:val="24"/>
        </w:rPr>
        <w:t>磋商</w:t>
      </w:r>
      <w:r>
        <w:rPr>
          <w:rFonts w:hint="eastAsia" w:ascii="方正仿宋_GBK" w:hAnsi="宋体" w:eastAsia="方正仿宋_GBK"/>
          <w:sz w:val="24"/>
          <w:szCs w:val="24"/>
        </w:rPr>
        <w:t>的供应商应承担其编制响应文件与递交响应文件所涉及的一切费用，不论</w:t>
      </w:r>
      <w:r>
        <w:rPr>
          <w:rFonts w:hint="eastAsia" w:ascii="方正仿宋_GBK" w:eastAsia="方正仿宋_GBK"/>
          <w:sz w:val="24"/>
          <w:szCs w:val="24"/>
        </w:rPr>
        <w:t>磋商</w:t>
      </w:r>
      <w:r>
        <w:rPr>
          <w:rFonts w:hint="eastAsia" w:ascii="方正仿宋_GBK" w:hAnsi="宋体" w:eastAsia="方正仿宋_GBK"/>
          <w:sz w:val="24"/>
          <w:szCs w:val="24"/>
        </w:rPr>
        <w:t>结果如何，采购人和采购代理机构在任何情况下无义务也无责任承担这些费用。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73" w:name="_Toc76462339"/>
      <w:bookmarkStart w:id="74" w:name="_Toc106030894"/>
      <w:bookmarkStart w:id="75" w:name="_Toc342913391"/>
      <w:r>
        <w:rPr>
          <w:rFonts w:hint="eastAsia" w:ascii="方正仿宋_GBK" w:hAnsi="宋体" w:eastAsia="方正仿宋_GBK"/>
          <w:sz w:val="24"/>
        </w:rPr>
        <w:t>二、竞争性磋商文件</w:t>
      </w:r>
      <w:bookmarkEnd w:id="73"/>
      <w:bookmarkEnd w:id="74"/>
      <w:bookmarkEnd w:id="7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（一）竞争性磋商文件由采购邀请书、项目服务需求、供应商须知、项目商务需求、磋商程序及方法、评审标准、无效响应和采购终止、供应商须知</w:t>
      </w:r>
      <w:r>
        <w:rPr>
          <w:rFonts w:hint="eastAsia" w:ascii="方正仿宋_GBK" w:hAnsi="宋体" w:eastAsia="方正仿宋_GBK"/>
          <w:b/>
          <w:sz w:val="24"/>
          <w:szCs w:val="24"/>
        </w:rPr>
        <w:t>、</w:t>
      </w:r>
      <w:r>
        <w:rPr>
          <w:rFonts w:hint="eastAsia" w:ascii="方正仿宋_GBK" w:hAnsi="宋体" w:eastAsia="方正仿宋_GBK"/>
          <w:sz w:val="24"/>
          <w:szCs w:val="24"/>
        </w:rPr>
        <w:t>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w:t>
      </w:r>
      <w:r>
        <w:rPr>
          <w:rFonts w:hint="eastAsia" w:ascii="方正仿宋_GBK" w:hAnsi="宋体" w:eastAsia="方正仿宋_GBK"/>
          <w:sz w:val="24"/>
          <w:szCs w:val="24"/>
          <w:lang w:eastAsia="zh-CN"/>
        </w:rPr>
        <w:t>或公告形式的通知</w:t>
      </w:r>
      <w:r>
        <w:rPr>
          <w:rFonts w:hint="eastAsia" w:ascii="方正仿宋_GBK" w:hAnsi="宋体" w:eastAsia="方正仿宋_GBK"/>
          <w:sz w:val="24"/>
          <w:szCs w:val="24"/>
        </w:rPr>
        <w:t>、修改及补充，都是竞争性磋商文件不可分割的部分。</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（三）竞争性磋商文件的解释</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代理机构要求澄清，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6" w:name="_Toc318159160"/>
      <w:bookmarkStart w:id="77" w:name="_Toc318166429"/>
      <w:bookmarkStart w:id="78" w:name="_Toc318159780"/>
      <w:bookmarkStart w:id="79" w:name="_Toc31815934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76"/>
    <w:bookmarkEnd w:id="77"/>
    <w:bookmarkEnd w:id="78"/>
    <w:bookmarkEnd w:id="79"/>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0" w:name="_Toc76462340"/>
      <w:bookmarkStart w:id="81" w:name="_Toc106030895"/>
      <w:bookmarkStart w:id="82" w:name="_Toc342913392"/>
      <w:bookmarkStart w:id="83" w:name="_Toc102227318"/>
      <w:bookmarkStart w:id="84" w:name="_Toc179714297"/>
      <w:r>
        <w:rPr>
          <w:rFonts w:hint="eastAsia" w:ascii="方正仿宋_GBK" w:hAnsi="宋体" w:eastAsia="方正仿宋_GBK"/>
          <w:sz w:val="24"/>
        </w:rPr>
        <w:t>三、磋商要求</w:t>
      </w:r>
      <w:bookmarkEnd w:id="80"/>
      <w:bookmarkEnd w:id="81"/>
      <w:bookmarkEnd w:id="82"/>
      <w:bookmarkEnd w:id="83"/>
      <w:bookmarkEnd w:id="8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2.响应文件组成</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（二）联合体</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本项目不接受联合体响应</w:t>
      </w:r>
      <w:r>
        <w:rPr>
          <w:rFonts w:ascii="方正仿宋_GBK" w:hAnsi="宋体" w:eastAsia="方正仿宋_GBK"/>
          <w:sz w:val="24"/>
          <w:szCs w:val="24"/>
        </w:rPr>
        <w:t>。</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（四）修正错误</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（五）提交响应文件的份数和签署</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1.响应文件一式四份，其中正本一份，副本二份，电子文档一份（电子文档为PDF格式和非PDF格式各一份，且内容应与纸质文件正本一致，如不一致以纸质文件正本为准。推荐采用光盘或U盘为电子文档载体</w:t>
      </w:r>
      <w:r>
        <w:rPr>
          <w:rFonts w:hint="eastAsia" w:ascii="方正仿宋_GBK" w:hAnsi="宋体" w:eastAsia="方正仿宋_GBK"/>
          <w:sz w:val="24"/>
          <w:szCs w:val="24"/>
          <w:highlight w:val="none"/>
          <w:lang w:eastAsia="zh-CN"/>
        </w:rPr>
        <w:t>。</w:t>
      </w:r>
      <w:r>
        <w:rPr>
          <w:rFonts w:eastAsia="方正仿宋_GBK"/>
          <w:b/>
          <w:bCs/>
          <w:sz w:val="24"/>
          <w:highlight w:val="none"/>
        </w:rPr>
        <w:t>电子文档内容不能包含“实施方案”，否则“实施方案”作0分处理</w:t>
      </w:r>
      <w:r>
        <w:rPr>
          <w:rFonts w:eastAsia="方正仿宋_GBK"/>
          <w:bCs/>
          <w:sz w:val="24"/>
          <w:highlight w:val="none"/>
        </w:rPr>
        <w:t>）</w:t>
      </w:r>
      <w:r>
        <w:rPr>
          <w:rFonts w:hint="eastAsia" w:ascii="方正仿宋_GBK" w:hAnsi="宋体" w:eastAsia="方正仿宋_GBK"/>
          <w:sz w:val="24"/>
          <w:szCs w:val="24"/>
          <w:highlight w:val="none"/>
        </w:rPr>
        <w:t>；副本可为正本的复印件，应与正本一致，如出现不一致情况以正本为准。</w:t>
      </w:r>
      <w:r>
        <w:rPr>
          <w:rFonts w:eastAsia="方正仿宋_GBK"/>
          <w:bCs/>
          <w:sz w:val="24"/>
          <w:highlight w:val="none"/>
        </w:rPr>
        <w:t>“实施方案”一式</w:t>
      </w:r>
      <w:r>
        <w:rPr>
          <w:rFonts w:hint="eastAsia" w:eastAsia="方正仿宋_GBK"/>
          <w:bCs/>
          <w:sz w:val="24"/>
          <w:highlight w:val="none"/>
          <w:lang w:val="en-US" w:eastAsia="zh-CN"/>
        </w:rPr>
        <w:t>3</w:t>
      </w:r>
      <w:r>
        <w:rPr>
          <w:rFonts w:eastAsia="方正仿宋_GBK"/>
          <w:bCs/>
          <w:sz w:val="24"/>
          <w:highlight w:val="none"/>
        </w:rPr>
        <w:t>份（不分正副本）</w:t>
      </w:r>
    </w:p>
    <w:p>
      <w:pPr>
        <w:snapToGrid w:val="0"/>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szCs w:val="24"/>
          <w:highlight w:val="none"/>
        </w:rPr>
        <w:t>2.</w:t>
      </w:r>
      <w:r>
        <w:rPr>
          <w:rFonts w:hint="eastAsia" w:ascii="方正仿宋_GBK" w:hAnsi="宋体" w:eastAsia="方正仿宋_GBK"/>
          <w:sz w:val="24"/>
          <w:highlight w:val="none"/>
        </w:rPr>
        <w:t>响应文件按竞争性磋商文件“第七篇响应文件编制要求”要求签署或盖章。</w:t>
      </w:r>
    </w:p>
    <w:p>
      <w:pPr>
        <w:pStyle w:val="2"/>
        <w:ind w:firstLine="480" w:firstLineChars="200"/>
        <w:rPr>
          <w:rFonts w:hint="eastAsia" w:eastAsia="方正仿宋_GBK"/>
          <w:sz w:val="24"/>
          <w:highlight w:val="none"/>
        </w:rPr>
      </w:pPr>
      <w:r>
        <w:rPr>
          <w:rFonts w:hint="eastAsia" w:ascii="方正仿宋_GBK" w:hAnsi="宋体" w:eastAsia="方正仿宋_GBK"/>
          <w:sz w:val="24"/>
          <w:highlight w:val="none"/>
          <w:lang w:val="en-US" w:eastAsia="zh-CN"/>
        </w:rPr>
        <w:t>3.</w:t>
      </w:r>
      <w:r>
        <w:rPr>
          <w:rFonts w:hint="eastAsia" w:eastAsia="方正仿宋_GBK"/>
          <w:sz w:val="24"/>
          <w:highlight w:val="none"/>
        </w:rPr>
        <w:t>本项目“实施方案”采用暗标评审，</w:t>
      </w:r>
      <w:r>
        <w:rPr>
          <w:rFonts w:hint="eastAsia" w:eastAsia="方正仿宋_GBK"/>
          <w:kern w:val="0"/>
          <w:sz w:val="24"/>
          <w:szCs w:val="24"/>
          <w:highlight w:val="none"/>
        </w:rPr>
        <w:t>投标文件</w:t>
      </w:r>
      <w:r>
        <w:rPr>
          <w:rFonts w:eastAsia="方正仿宋_GBK"/>
          <w:kern w:val="0"/>
          <w:sz w:val="24"/>
          <w:szCs w:val="24"/>
          <w:highlight w:val="none"/>
        </w:rPr>
        <w:t>“实施方案”</w:t>
      </w:r>
      <w:r>
        <w:rPr>
          <w:rFonts w:hint="eastAsia" w:eastAsia="方正仿宋_GBK"/>
          <w:kern w:val="0"/>
          <w:sz w:val="24"/>
          <w:szCs w:val="24"/>
          <w:highlight w:val="none"/>
        </w:rPr>
        <w:t>不得更改招标文件规定的具体方案名称</w:t>
      </w:r>
      <w:r>
        <w:rPr>
          <w:rFonts w:hint="eastAsia" w:eastAsia="方正仿宋_GBK"/>
          <w:kern w:val="0"/>
          <w:sz w:val="24"/>
          <w:szCs w:val="24"/>
          <w:highlight w:val="none"/>
          <w:lang w:eastAsia="zh-CN"/>
        </w:rPr>
        <w:t>，</w:t>
      </w:r>
      <w:r>
        <w:rPr>
          <w:rFonts w:hint="eastAsia" w:eastAsia="方正仿宋_GBK"/>
          <w:sz w:val="24"/>
          <w:highlight w:val="none"/>
        </w:rPr>
        <w:t>整个“实施方案”均不得出现可识别</w:t>
      </w:r>
      <w:r>
        <w:rPr>
          <w:rFonts w:hint="eastAsia" w:eastAsia="方正仿宋_GBK"/>
          <w:sz w:val="24"/>
          <w:highlight w:val="none"/>
          <w:lang w:eastAsia="zh-CN"/>
        </w:rPr>
        <w:t>响应供应商</w:t>
      </w:r>
      <w:r>
        <w:rPr>
          <w:rFonts w:hint="eastAsia" w:eastAsia="方正仿宋_GBK"/>
          <w:sz w:val="24"/>
          <w:highlight w:val="none"/>
        </w:rPr>
        <w:t>身份的任何字符、徽标（包括文字、符号、图案、标识、标志、人员姓名、企业名称、以往工程名称、</w:t>
      </w:r>
      <w:r>
        <w:rPr>
          <w:rFonts w:hint="eastAsia" w:eastAsia="方正仿宋_GBK"/>
          <w:sz w:val="24"/>
          <w:highlight w:val="none"/>
          <w:lang w:eastAsia="zh-CN"/>
        </w:rPr>
        <w:t>响应供应商</w:t>
      </w:r>
      <w:r>
        <w:rPr>
          <w:rFonts w:hint="eastAsia" w:eastAsia="方正仿宋_GBK"/>
          <w:sz w:val="24"/>
          <w:highlight w:val="none"/>
        </w:rPr>
        <w:t>独有的标准名称或编号等），也不得出现其他具有标识性作用的符号、图案或对文字进行加粗、加黑、倾斜、加下划线等修饰，须标注页码但不得编制目录、不得使用图片、</w:t>
      </w:r>
      <w:r>
        <w:rPr>
          <w:rFonts w:hint="eastAsia" w:eastAsia="方正仿宋_GBK"/>
          <w:sz w:val="24"/>
          <w:highlight w:val="none"/>
          <w:lang w:eastAsia="zh-CN"/>
        </w:rPr>
        <w:t>表格，</w:t>
      </w:r>
      <w:r>
        <w:rPr>
          <w:rFonts w:hint="eastAsia" w:eastAsia="方正仿宋_GBK"/>
          <w:sz w:val="24"/>
          <w:highlight w:val="none"/>
        </w:rPr>
        <w:t>不得出现与本项目无关的内容、须采用</w:t>
      </w:r>
      <w:r>
        <w:rPr>
          <w:rFonts w:hint="eastAsia" w:eastAsia="方正仿宋_GBK"/>
          <w:sz w:val="24"/>
          <w:highlight w:val="none"/>
          <w:lang w:val="en-US" w:eastAsia="zh-CN"/>
        </w:rPr>
        <w:t>单</w:t>
      </w:r>
      <w:r>
        <w:rPr>
          <w:rFonts w:hint="eastAsia" w:eastAsia="方正仿宋_GBK"/>
          <w:sz w:val="24"/>
          <w:highlight w:val="none"/>
        </w:rPr>
        <w:t>面打印、不得有重页、漏页、残页、倒页、横页、</w:t>
      </w:r>
      <w:r>
        <w:rPr>
          <w:rFonts w:hint="eastAsia" w:eastAsia="方正仿宋_GBK"/>
          <w:sz w:val="24"/>
          <w:highlight w:val="none"/>
          <w:lang w:eastAsia="zh-CN"/>
        </w:rPr>
        <w:t>章节不得重复或缺少、</w:t>
      </w:r>
      <w:r>
        <w:rPr>
          <w:rFonts w:hint="eastAsia" w:eastAsia="方正仿宋_GBK"/>
          <w:sz w:val="24"/>
          <w:highlight w:val="none"/>
        </w:rPr>
        <w:t>同一</w:t>
      </w:r>
      <w:r>
        <w:rPr>
          <w:rFonts w:hint="eastAsia" w:eastAsia="方正仿宋_GBK"/>
          <w:sz w:val="24"/>
          <w:highlight w:val="none"/>
          <w:lang w:eastAsia="zh-CN"/>
        </w:rPr>
        <w:t>层级</w:t>
      </w:r>
      <w:r>
        <w:rPr>
          <w:rFonts w:hint="eastAsia" w:eastAsia="方正仿宋_GBK"/>
          <w:sz w:val="24"/>
          <w:highlight w:val="none"/>
        </w:rPr>
        <w:t>内的序号不得有缺少或重复、不得使用塑料夹条、薄膜外皮等饰物，否则“实施方案”作0分处理。</w:t>
      </w:r>
    </w:p>
    <w:p>
      <w:pPr>
        <w:snapToGrid w:val="0"/>
        <w:spacing w:line="500" w:lineRule="exact"/>
        <w:ind w:firstLine="480" w:firstLineChars="200"/>
        <w:rPr>
          <w:rFonts w:eastAsia="方正仿宋_GBK"/>
          <w:sz w:val="24"/>
          <w:highlight w:val="none"/>
        </w:rPr>
      </w:pPr>
      <w:r>
        <w:rPr>
          <w:rFonts w:hint="eastAsia" w:eastAsia="方正仿宋_GBK"/>
          <w:sz w:val="24"/>
          <w:highlight w:val="none"/>
          <w:lang w:val="en-US" w:eastAsia="zh-CN"/>
        </w:rPr>
        <w:t>4</w:t>
      </w:r>
      <w:r>
        <w:rPr>
          <w:rFonts w:eastAsia="方正仿宋_GBK"/>
          <w:sz w:val="24"/>
          <w:highlight w:val="none"/>
        </w:rPr>
        <w:t>.装订</w:t>
      </w:r>
    </w:p>
    <w:p>
      <w:pPr>
        <w:snapToGrid w:val="0"/>
        <w:spacing w:line="500" w:lineRule="exact"/>
        <w:ind w:firstLine="480" w:firstLineChars="200"/>
        <w:rPr>
          <w:rFonts w:eastAsia="方正仿宋_GBK"/>
          <w:sz w:val="24"/>
          <w:highlight w:val="none"/>
        </w:rPr>
      </w:pPr>
      <w:r>
        <w:rPr>
          <w:rFonts w:hint="eastAsia" w:eastAsia="方正仿宋_GBK"/>
          <w:sz w:val="24"/>
          <w:highlight w:val="none"/>
          <w:lang w:val="en-US" w:eastAsia="zh-CN"/>
        </w:rPr>
        <w:t>4</w:t>
      </w:r>
      <w:r>
        <w:rPr>
          <w:rFonts w:hint="eastAsia" w:eastAsia="方正仿宋_GBK"/>
          <w:sz w:val="24"/>
          <w:highlight w:val="none"/>
        </w:rPr>
        <w:t>.1</w:t>
      </w:r>
      <w:r>
        <w:rPr>
          <w:rFonts w:hint="eastAsia" w:eastAsia="方正仿宋_GBK"/>
          <w:sz w:val="24"/>
          <w:highlight w:val="none"/>
          <w:lang w:val="en-US" w:eastAsia="zh-CN"/>
        </w:rPr>
        <w:t>响应文件</w:t>
      </w:r>
      <w:r>
        <w:rPr>
          <w:rFonts w:eastAsia="方正仿宋_GBK"/>
          <w:sz w:val="24"/>
          <w:highlight w:val="none"/>
        </w:rPr>
        <w:t>的装订要求</w:t>
      </w:r>
    </w:p>
    <w:p>
      <w:pPr>
        <w:snapToGrid w:val="0"/>
        <w:spacing w:line="500" w:lineRule="exact"/>
        <w:ind w:firstLine="480" w:firstLineChars="200"/>
        <w:rPr>
          <w:rFonts w:eastAsia="方正仿宋_GBK"/>
          <w:sz w:val="24"/>
          <w:highlight w:val="none"/>
        </w:rPr>
      </w:pPr>
      <w:r>
        <w:rPr>
          <w:rFonts w:eastAsia="方正仿宋_GBK"/>
          <w:sz w:val="24"/>
          <w:highlight w:val="none"/>
        </w:rPr>
        <w:t>应按照第七章规定内容和格式使用不可拆卸的胶装方式装订成册，装订必须牢固，标注“正本”、“副本”字样，编制目录，并逐页标注页码。</w:t>
      </w:r>
    </w:p>
    <w:p>
      <w:pPr>
        <w:pStyle w:val="2"/>
        <w:ind w:firstLine="480" w:firstLineChars="200"/>
        <w:rPr>
          <w:rFonts w:hint="eastAsia" w:eastAsia="方正仿宋_GBK"/>
          <w:sz w:val="24"/>
          <w:highlight w:val="none"/>
          <w:lang w:val="en-US" w:eastAsia="zh-CN"/>
        </w:rPr>
      </w:pPr>
      <w:r>
        <w:rPr>
          <w:rFonts w:hint="eastAsia" w:eastAsia="方正仿宋_GBK"/>
          <w:sz w:val="24"/>
          <w:highlight w:val="none"/>
          <w:lang w:val="en-US" w:eastAsia="zh-CN"/>
        </w:rPr>
        <w:t>4</w:t>
      </w:r>
      <w:r>
        <w:rPr>
          <w:rFonts w:hint="eastAsia" w:eastAsia="方正仿宋_GBK"/>
          <w:sz w:val="24"/>
          <w:highlight w:val="none"/>
        </w:rPr>
        <w:t>.</w:t>
      </w:r>
      <w:r>
        <w:rPr>
          <w:rFonts w:hint="eastAsia" w:eastAsia="方正仿宋_GBK"/>
          <w:sz w:val="24"/>
          <w:highlight w:val="none"/>
          <w:lang w:val="en-US" w:eastAsia="zh-CN"/>
        </w:rPr>
        <w:t>2实施方案编制要求（违反下列任何一项的，其《实施方案》作0分处理）</w:t>
      </w:r>
    </w:p>
    <w:p>
      <w:pPr>
        <w:pStyle w:val="2"/>
        <w:ind w:firstLine="480" w:firstLineChars="200"/>
        <w:rPr>
          <w:rFonts w:hint="eastAsia" w:eastAsia="方正仿宋_GBK"/>
          <w:sz w:val="24"/>
          <w:highlight w:val="none"/>
          <w:lang w:val="en-US" w:eastAsia="zh-CN"/>
        </w:rPr>
      </w:pPr>
      <w:r>
        <w:rPr>
          <w:rFonts w:hint="eastAsia" w:eastAsia="方正仿宋_GBK"/>
          <w:sz w:val="24"/>
          <w:highlight w:val="none"/>
          <w:lang w:val="en-US" w:eastAsia="zh-CN"/>
        </w:rPr>
        <w:t>4.2.1正文文字部分纸张采用A4白纸，四号仿宋字体；不允许使用彩色打印。</w:t>
      </w:r>
    </w:p>
    <w:p>
      <w:pPr>
        <w:pStyle w:val="2"/>
        <w:ind w:firstLine="480" w:firstLineChars="200"/>
        <w:rPr>
          <w:rFonts w:hint="eastAsia" w:eastAsia="方正仿宋_GBK"/>
          <w:sz w:val="24"/>
          <w:highlight w:val="none"/>
          <w:lang w:val="en-US" w:eastAsia="zh-CN"/>
        </w:rPr>
      </w:pPr>
      <w:r>
        <w:rPr>
          <w:rFonts w:hint="eastAsia" w:eastAsia="方正仿宋_GBK"/>
          <w:sz w:val="24"/>
          <w:highlight w:val="none"/>
          <w:lang w:val="en-US" w:eastAsia="zh-CN"/>
        </w:rPr>
        <w:t>4.2.2不允许出现页眉，页脚仅允许采用阿拉伯数字居中标注页码，四号仿宋字体，从正文开始编制页码，页码应当连续，不得跳页或重复。</w:t>
      </w:r>
    </w:p>
    <w:p>
      <w:pPr>
        <w:pStyle w:val="2"/>
        <w:ind w:firstLine="480" w:firstLineChars="200"/>
        <w:rPr>
          <w:rFonts w:hint="eastAsia" w:eastAsia="方正仿宋_GBK"/>
          <w:sz w:val="24"/>
          <w:highlight w:val="none"/>
          <w:lang w:val="en-US" w:eastAsia="zh-CN"/>
        </w:rPr>
      </w:pPr>
      <w:r>
        <w:rPr>
          <w:rFonts w:hint="eastAsia" w:eastAsia="方正仿宋_GBK"/>
          <w:sz w:val="24"/>
          <w:highlight w:val="none"/>
          <w:lang w:val="en-US" w:eastAsia="zh-CN"/>
        </w:rPr>
        <w:t>4.2.3所用纸张不得有花纹(包括暗纹)。</w:t>
      </w:r>
    </w:p>
    <w:p>
      <w:pPr>
        <w:pStyle w:val="2"/>
        <w:ind w:firstLine="480" w:firstLineChars="200"/>
        <w:rPr>
          <w:rFonts w:hint="eastAsia" w:ascii="Times New Roman" w:hAnsi="Times New Roman" w:eastAsia="方正仿宋_GBK" w:cs="Times New Roman"/>
          <w:kern w:val="0"/>
          <w:sz w:val="24"/>
          <w:szCs w:val="24"/>
          <w:highlight w:val="none"/>
          <w:lang w:val="en-US" w:eastAsia="zh-CN" w:bidi="ar-SA"/>
        </w:rPr>
      </w:pPr>
      <w:r>
        <w:rPr>
          <w:rFonts w:hint="eastAsia" w:eastAsia="方正仿宋_GBK"/>
          <w:sz w:val="24"/>
          <w:highlight w:val="none"/>
          <w:lang w:val="en-US" w:eastAsia="zh-CN"/>
        </w:rPr>
        <w:t>4.2.4内容采用单面打印，不得超过200页</w:t>
      </w:r>
      <w:r>
        <w:rPr>
          <w:rFonts w:hint="eastAsia" w:ascii="Times New Roman" w:hAnsi="Times New Roman" w:eastAsia="方正仿宋_GBK" w:cs="Times New Roman"/>
          <w:kern w:val="0"/>
          <w:sz w:val="24"/>
          <w:szCs w:val="24"/>
          <w:highlight w:val="none"/>
          <w:lang w:val="en-US" w:eastAsia="zh-CN" w:bidi="ar-SA"/>
        </w:rPr>
        <w:t>。</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（六）响应文件的递交</w:t>
      </w:r>
    </w:p>
    <w:p>
      <w:pPr>
        <w:pStyle w:val="6"/>
        <w:spacing w:line="4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响应文件的正本、副本</w:t>
      </w:r>
      <w:r>
        <w:rPr>
          <w:rFonts w:hint="eastAsia" w:ascii="方正仿宋_GBK" w:hAnsi="宋体" w:eastAsia="方正仿宋_GBK"/>
          <w:sz w:val="24"/>
          <w:highlight w:val="none"/>
          <w:lang w:eastAsia="zh-CN"/>
        </w:rPr>
        <w:t>、</w:t>
      </w:r>
      <w:r>
        <w:rPr>
          <w:rFonts w:hint="eastAsia" w:ascii="方正仿宋_GBK" w:hAnsi="宋体" w:eastAsia="方正仿宋_GBK"/>
          <w:sz w:val="24"/>
          <w:highlight w:val="none"/>
          <w:lang w:val="en-US" w:eastAsia="zh-CN"/>
        </w:rPr>
        <w:t>实施方案</w:t>
      </w:r>
      <w:r>
        <w:rPr>
          <w:rFonts w:hint="eastAsia" w:ascii="方正仿宋_GBK" w:hAnsi="宋体" w:eastAsia="方正仿宋_GBK"/>
          <w:sz w:val="24"/>
          <w:highlight w:val="none"/>
        </w:rPr>
        <w:t>以及电子文档均应密封送达磋商地点，应在封套上注明磋商项目名称、供应商名称。若正本、副本以及电子文档分别进行密封的，还应在封套上注明“正本”、“副本”、“电子文档”</w:t>
      </w:r>
      <w:r>
        <w:rPr>
          <w:rFonts w:hint="eastAsia" w:ascii="方正仿宋_GBK" w:hAnsi="宋体" w:eastAsia="方正仿宋_GBK"/>
          <w:sz w:val="24"/>
          <w:highlight w:val="none"/>
          <w:lang w:eastAsia="zh-CN"/>
        </w:rPr>
        <w:t>“</w:t>
      </w:r>
      <w:r>
        <w:rPr>
          <w:rFonts w:hint="eastAsia" w:ascii="方正仿宋_GBK" w:hAnsi="宋体" w:eastAsia="方正仿宋_GBK"/>
          <w:sz w:val="24"/>
          <w:highlight w:val="none"/>
          <w:lang w:val="en-US" w:eastAsia="zh-CN"/>
        </w:rPr>
        <w:t>实施方案</w:t>
      </w:r>
      <w:r>
        <w:rPr>
          <w:rFonts w:hint="eastAsia" w:ascii="方正仿宋_GBK" w:hAnsi="宋体" w:eastAsia="方正仿宋_GBK"/>
          <w:sz w:val="24"/>
          <w:highlight w:val="none"/>
          <w:lang w:eastAsia="zh-CN"/>
        </w:rPr>
        <w:t>”</w:t>
      </w:r>
      <w:r>
        <w:rPr>
          <w:rFonts w:hint="eastAsia" w:ascii="方正仿宋_GBK" w:hAnsi="宋体" w:eastAsia="方正仿宋_GBK"/>
          <w:sz w:val="24"/>
          <w:highlight w:val="none"/>
        </w:rPr>
        <w:t>字样。</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（七）供应商参与人员</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各个供应商应当派1-2名代表参与磋商，至少1人应为法定代表人（或其授权代表）或自然人（供应商为自然人）。</w:t>
      </w:r>
    </w:p>
    <w:p>
      <w:pPr>
        <w:pStyle w:val="3"/>
        <w:adjustRightInd w:val="0"/>
        <w:snapToGrid w:val="0"/>
        <w:spacing w:before="0" w:after="0" w:line="400" w:lineRule="exact"/>
        <w:ind w:firstLine="482" w:firstLineChars="200"/>
        <w:rPr>
          <w:rFonts w:hint="eastAsia" w:ascii="方正仿宋_GBK" w:hAnsi="宋体" w:eastAsia="方正仿宋_GBK"/>
          <w:sz w:val="24"/>
          <w:highlight w:val="none"/>
        </w:rPr>
      </w:pPr>
      <w:bookmarkStart w:id="85" w:name="_Toc76462341"/>
      <w:bookmarkStart w:id="86" w:name="_Toc106030896"/>
      <w:r>
        <w:rPr>
          <w:rFonts w:hint="eastAsia" w:ascii="方正仿宋_GBK" w:hAnsi="宋体" w:eastAsia="方正仿宋_GBK"/>
          <w:sz w:val="24"/>
          <w:highlight w:val="none"/>
        </w:rPr>
        <w:t>四、成交供应商的确认和变更</w:t>
      </w:r>
      <w:bookmarkEnd w:id="85"/>
      <w:bookmarkEnd w:id="86"/>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（一）成交供应商的确认</w:t>
      </w:r>
    </w:p>
    <w:p>
      <w:pPr>
        <w:snapToGrid w:val="0"/>
        <w:spacing w:line="400" w:lineRule="exact"/>
        <w:ind w:firstLine="480" w:firstLineChars="200"/>
        <w:rPr>
          <w:rFonts w:hint="eastAsia" w:ascii="方正仿宋_GBK" w:hAnsi="宋体" w:eastAsia="方正仿宋_GBK"/>
          <w:sz w:val="24"/>
          <w:szCs w:val="24"/>
          <w:highlight w:val="none"/>
        </w:rPr>
      </w:pPr>
      <w:r>
        <w:rPr>
          <w:rFonts w:ascii="方正仿宋_GBK" w:hAnsi="宋体" w:eastAsia="方正仿宋_GBK"/>
          <w:sz w:val="24"/>
          <w:szCs w:val="24"/>
          <w:highlight w:val="none"/>
        </w:rPr>
        <w:t>采购代理机构应当在评审结束后2个工作日内将评审报告送采购人确认。采购人应当在收到评审报告后5个工作日内</w:t>
      </w:r>
      <w:r>
        <w:rPr>
          <w:rFonts w:hint="eastAsia" w:ascii="方正仿宋_GBK" w:hAnsi="宋体" w:eastAsia="方正仿宋_GBK"/>
          <w:sz w:val="24"/>
          <w:szCs w:val="24"/>
          <w:highlight w:val="none"/>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outlineLvl w:val="2"/>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（二）成交供应商的变更</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eastAsia="方正仿宋_GBK"/>
          <w:sz w:val="24"/>
          <w:highlight w:val="none"/>
        </w:rPr>
        <w:t>成交供应商拒绝与采购人签订合同的，采购人可以按照评标报告推荐的成交候选供应商顺序，确定排名下一位的候选人为成交供应商，也可以重新开展政府采购活动。</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87" w:name="_Toc102227321"/>
      <w:bookmarkStart w:id="88" w:name="_Toc342913395"/>
      <w:bookmarkStart w:id="89" w:name="_Toc106030897"/>
      <w:bookmarkStart w:id="90" w:name="_Toc76462342"/>
      <w:r>
        <w:rPr>
          <w:rFonts w:hint="eastAsia" w:ascii="方正仿宋_GBK" w:hAnsi="宋体" w:eastAsia="方正仿宋_GBK"/>
          <w:sz w:val="24"/>
        </w:rPr>
        <w:t>五、成交通知</w:t>
      </w:r>
      <w:bookmarkEnd w:id="87"/>
      <w:bookmarkEnd w:id="88"/>
      <w:bookmarkEnd w:id="89"/>
      <w:bookmarkEnd w:id="9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（一）成交供应商确定后，采购代理机构将在重庆市政府采购网（</w:t>
      </w: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HYPERLINK "http://www.cqgp.gov.cn" </w:instrText>
      </w:r>
      <w:r>
        <w:rPr>
          <w:rFonts w:hint="eastAsia" w:ascii="方正仿宋_GBK" w:hAnsi="宋体" w:eastAsia="方正仿宋_GBK"/>
          <w:sz w:val="24"/>
          <w:szCs w:val="24"/>
        </w:rPr>
        <w:fldChar w:fldCharType="separate"/>
      </w:r>
      <w:r>
        <w:rPr>
          <w:rFonts w:hint="eastAsia" w:ascii="方正仿宋_GBK" w:hAnsi="宋体" w:eastAsia="方正仿宋_GBK"/>
          <w:sz w:val="24"/>
          <w:szCs w:val="24"/>
        </w:rPr>
        <w:t>www.ccgp-chongqing.gov.cn</w:t>
      </w:r>
      <w:r>
        <w:rPr>
          <w:rFonts w:hint="eastAsia" w:ascii="方正仿宋_GBK" w:hAnsi="宋体" w:eastAsia="方正仿宋_GBK"/>
          <w:sz w:val="24"/>
          <w:szCs w:val="24"/>
        </w:rPr>
        <w:fldChar w:fldCharType="end"/>
      </w:r>
      <w:r>
        <w:rPr>
          <w:rFonts w:hint="eastAsia" w:ascii="方正仿宋_GBK" w:hAnsi="宋体" w:eastAsia="方正仿宋_GBK"/>
          <w:sz w:val="24"/>
          <w:szCs w:val="24"/>
        </w:rPr>
        <w:t>）上发布成交结果公告。</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1" w:name="_Toc106030898"/>
      <w:bookmarkStart w:id="92" w:name="_Toc76462343"/>
      <w:r>
        <w:rPr>
          <w:rFonts w:hint="eastAsia" w:ascii="方正仿宋_GBK" w:hAnsi="宋体" w:eastAsia="方正仿宋_GBK"/>
          <w:sz w:val="24"/>
        </w:rPr>
        <w:t>六、关于质疑和投诉</w:t>
      </w:r>
      <w:bookmarkEnd w:id="91"/>
      <w:bookmarkEnd w:id="92"/>
    </w:p>
    <w:p>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w:t>
      </w:r>
      <w:r>
        <w:rPr>
          <w:rFonts w:hint="eastAsia" w:ascii="方正仿宋_GBK" w:hAnsi="宋体" w:eastAsia="方正仿宋_GBK"/>
          <w:sz w:val="24"/>
          <w:szCs w:val="24"/>
          <w:lang w:eastAsia="zh-CN"/>
        </w:rPr>
        <w:t>向</w:t>
      </w:r>
      <w:r>
        <w:rPr>
          <w:rFonts w:hint="eastAsia" w:ascii="方正仿宋_GBK" w:hAnsi="宋体" w:eastAsia="方正仿宋_GBK"/>
          <w:sz w:val="24"/>
          <w:szCs w:val="24"/>
        </w:rPr>
        <w:t>采购代理机构以书面形式提出质疑。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（二）投诉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方正仿宋_GBK" w:hAnsi="宋体" w:eastAsia="方正仿宋_GBK"/>
          <w:sz w:val="24"/>
          <w:szCs w:val="24"/>
        </w:rPr>
      </w:pPr>
      <w:r>
        <w:rPr>
          <w:rFonts w:hint="eastAsia" w:ascii="方正仿宋_GBK" w:hAnsi="仿宋" w:eastAsia="方正仿宋_GBK" w:cs="仿宋"/>
          <w:sz w:val="24"/>
        </w:rPr>
        <w:t>4.在确定受理投诉后，财政部门自受理投诉之日起30个工作日内（需要检验、检测、鉴定、专家评审以及需要投诉人补正材料的，所需时间不计算在投诉处理期限内）对投诉事项做出处理决定。</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93" w:name="_Toc76462344"/>
      <w:bookmarkStart w:id="94" w:name="_Toc106030899"/>
      <w:r>
        <w:rPr>
          <w:rFonts w:hint="eastAsia" w:ascii="方正仿宋_GBK" w:hAnsi="宋体" w:eastAsia="方正仿宋_GBK"/>
          <w:sz w:val="24"/>
        </w:rPr>
        <w:t>七、</w:t>
      </w:r>
      <w:bookmarkStart w:id="95" w:name="_Toc102227322"/>
      <w:bookmarkStart w:id="96" w:name="_Toc342913396"/>
      <w:bookmarkStart w:id="97" w:name="_Toc76462346"/>
      <w:bookmarkStart w:id="98" w:name="_Toc106030901"/>
      <w:bookmarkStart w:id="99" w:name="_Toc12789059"/>
      <w:bookmarkStart w:id="100" w:name="_Toc11641055"/>
      <w:bookmarkEnd w:id="93"/>
      <w:bookmarkEnd w:id="94"/>
      <w:r>
        <w:rPr>
          <w:rFonts w:hint="eastAsia" w:ascii="方正仿宋_GBK" w:hAnsi="宋体" w:eastAsia="方正仿宋_GBK"/>
          <w:sz w:val="24"/>
        </w:rPr>
        <w:t>签订</w:t>
      </w:r>
      <w:bookmarkEnd w:id="95"/>
      <w:r>
        <w:rPr>
          <w:rFonts w:hint="eastAsia" w:ascii="方正仿宋_GBK" w:hAnsi="宋体" w:eastAsia="方正仿宋_GBK"/>
          <w:sz w:val="24"/>
        </w:rPr>
        <w:t>合同</w:t>
      </w:r>
      <w:bookmarkEnd w:id="96"/>
      <w:bookmarkEnd w:id="97"/>
      <w:bookmarkEnd w:id="98"/>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（三）竞争性磋商文件、供应商的响应文件及澄清文件等，均为签订政府采购合同的依据。</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（四）合同生效条款由供需双方约定，法律、行政法规规定应当办理批准、登记等手续后生效的合同，依照其规定。</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（五）合同原则上应按照《重庆市政府采购合同》签订，相关单位要求适用合同通用格式版本的，应按其要求另行签订其他合同。</w:t>
      </w:r>
    </w:p>
    <w:p>
      <w:pPr>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（六）采购人要求成交供应商提供履约保证金的，应当在竞争性磋商文件中予以约定。成交供应商履约完毕后，采购人根据采购文件规定无息退还其履约保证金。</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1" w:name="_Toc106030902"/>
      <w:r>
        <w:rPr>
          <w:rFonts w:hint="eastAsia" w:ascii="方正仿宋_GBK" w:hAnsi="宋体" w:eastAsia="方正仿宋_GBK"/>
          <w:sz w:val="24"/>
          <w:lang w:eastAsia="zh-CN"/>
        </w:rPr>
        <w:t>八</w:t>
      </w:r>
      <w:r>
        <w:rPr>
          <w:rFonts w:hint="eastAsia" w:ascii="方正仿宋_GBK" w:hAnsi="宋体" w:eastAsia="方正仿宋_GBK"/>
          <w:sz w:val="24"/>
        </w:rPr>
        <w:t>、项目验收</w:t>
      </w:r>
      <w:bookmarkEnd w:id="101"/>
    </w:p>
    <w:p>
      <w:pPr>
        <w:spacing w:line="400" w:lineRule="exact"/>
        <w:ind w:firstLine="480" w:firstLineChars="200"/>
        <w:rPr>
          <w:rFonts w:hint="eastAsia" w:ascii="方正仿宋_GBK" w:hAnsi="宋体" w:eastAsia="方正仿宋_GBK"/>
          <w:sz w:val="24"/>
          <w:szCs w:val="24"/>
        </w:rPr>
      </w:pPr>
      <w:r>
        <w:rPr>
          <w:rFonts w:hint="eastAsia" w:ascii="方正仿宋_GBK" w:hAnsi="方正仿宋_GBK" w:eastAsia="方正仿宋_GBK"/>
          <w:sz w:val="24"/>
        </w:rPr>
        <w:t>合同执行完毕，采购人原则上应在7个工作日内组织履约情况验收，不得无故拖延或附加额外条件。</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02" w:name="_Toc106030903"/>
      <w:bookmarkStart w:id="103" w:name="_Toc76462347"/>
      <w:bookmarkStart w:id="104" w:name="_Toc14780"/>
      <w:r>
        <w:rPr>
          <w:rFonts w:hint="eastAsia" w:ascii="方正仿宋_GBK" w:hAnsi="宋体" w:eastAsia="方正仿宋_GBK"/>
          <w:sz w:val="24"/>
          <w:lang w:eastAsia="zh-CN"/>
        </w:rPr>
        <w:t>九</w:t>
      </w:r>
      <w:r>
        <w:rPr>
          <w:rFonts w:hint="eastAsia" w:ascii="方正仿宋_GBK" w:hAnsi="宋体" w:eastAsia="方正仿宋_GBK"/>
          <w:sz w:val="24"/>
        </w:rPr>
        <w:t>、政府采购信用融资</w:t>
      </w:r>
      <w:bookmarkEnd w:id="102"/>
      <w:bookmarkEnd w:id="103"/>
      <w:bookmarkEnd w:id="104"/>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3"/>
        <w:spacing w:before="0" w:after="0" w:line="360" w:lineRule="auto"/>
        <w:jc w:val="center"/>
        <w:rPr>
          <w:rFonts w:hint="eastAsia" w:ascii="方正小标宋_GBK" w:hAnsi="宋体" w:eastAsia="方正小标宋_GBK"/>
          <w:b w:val="0"/>
          <w:sz w:val="36"/>
          <w:szCs w:val="30"/>
        </w:rPr>
      </w:pPr>
      <w:r>
        <w:rPr>
          <w:rFonts w:ascii="宋体" w:hAnsi="宋体" w:eastAsia="宋体"/>
          <w:sz w:val="36"/>
          <w:szCs w:val="30"/>
        </w:rPr>
        <w:br w:type="page"/>
      </w:r>
      <w:bookmarkStart w:id="105" w:name="_Toc76462348"/>
      <w:bookmarkStart w:id="106" w:name="_Toc106030904"/>
      <w:r>
        <w:rPr>
          <w:rFonts w:hint="eastAsia" w:ascii="方正小标宋_GBK" w:hAnsi="宋体" w:eastAsia="方正小标宋_GBK"/>
          <w:b w:val="0"/>
          <w:sz w:val="36"/>
          <w:szCs w:val="30"/>
        </w:rPr>
        <w:t xml:space="preserve">第六篇  </w:t>
      </w:r>
      <w:bookmarkEnd w:id="99"/>
      <w:bookmarkEnd w:id="100"/>
      <w:r>
        <w:rPr>
          <w:rFonts w:hint="eastAsia" w:ascii="方正小标宋_GBK" w:hAnsi="宋体" w:eastAsia="方正小标宋_GBK"/>
          <w:b w:val="0"/>
          <w:sz w:val="36"/>
          <w:szCs w:val="30"/>
        </w:rPr>
        <w:t>政府采购合同</w:t>
      </w:r>
      <w:bookmarkEnd w:id="105"/>
      <w:bookmarkEnd w:id="106"/>
    </w:p>
    <w:p>
      <w:pPr>
        <w:spacing w:line="500" w:lineRule="exact"/>
        <w:jc w:val="center"/>
        <w:rPr>
          <w:rFonts w:hint="eastAsia" w:ascii="方正仿宋_GBK" w:eastAsia="方正仿宋_GBK"/>
          <w:b/>
          <w:sz w:val="44"/>
        </w:rPr>
      </w:pPr>
      <w:r>
        <w:rPr>
          <w:rFonts w:hint="eastAsia" w:ascii="方正仿宋_GBK" w:eastAsia="方正仿宋_GBK"/>
          <w:b/>
          <w:sz w:val="44"/>
        </w:rPr>
        <w:t>重庆市政府采购合同</w:t>
      </w:r>
    </w:p>
    <w:p>
      <w:pPr>
        <w:spacing w:line="500" w:lineRule="exact"/>
        <w:jc w:val="center"/>
        <w:rPr>
          <w:rFonts w:hint="eastAsia" w:ascii="方正仿宋_GBK" w:eastAsia="方正仿宋_GBK"/>
        </w:rPr>
      </w:pPr>
      <w:r>
        <w:rPr>
          <w:rFonts w:hint="eastAsia" w:ascii="方正仿宋_GBK" w:eastAsia="方正仿宋_GBK"/>
        </w:rPr>
        <w:t>（项目号：     ）</w:t>
      </w:r>
    </w:p>
    <w:p>
      <w:pPr>
        <w:spacing w:line="500" w:lineRule="exact"/>
        <w:rPr>
          <w:rFonts w:hint="eastAsia"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hint="eastAsia"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hint="eastAsia" w:ascii="方正仿宋_GBK" w:eastAsia="方正仿宋_GBK"/>
          <w:sz w:val="24"/>
        </w:rPr>
      </w:pPr>
    </w:p>
    <w:p>
      <w:pPr>
        <w:spacing w:line="500" w:lineRule="exact"/>
        <w:rPr>
          <w:rFonts w:hint="eastAsia" w:ascii="方正仿宋_GBK" w:eastAsia="方正仿宋_GBK"/>
          <w:sz w:val="24"/>
        </w:rPr>
      </w:pPr>
      <w:r>
        <w:rPr>
          <w:rFonts w:hint="eastAsia" w:ascii="方正仿宋_GBK" w:eastAsia="方正仿宋_GBK"/>
          <w:sz w:val="24"/>
        </w:rPr>
        <w:t>经双方协商一致，达成以下购销合同：</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磋商项目名称</w:t>
            </w:r>
          </w:p>
        </w:tc>
        <w:tc>
          <w:tcPr>
            <w:tcW w:w="98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服务时间</w:t>
            </w:r>
          </w:p>
        </w:tc>
        <w:tc>
          <w:tcPr>
            <w:tcW w:w="1567" w:type="dxa"/>
            <w:vAlign w:val="center"/>
          </w:tcPr>
          <w:p>
            <w:pPr>
              <w:spacing w:line="240" w:lineRule="atLeast"/>
              <w:jc w:val="center"/>
              <w:rPr>
                <w:rFonts w:hint="eastAsia" w:ascii="方正仿宋_GBK" w:eastAsia="方正仿宋_GBK"/>
                <w:sz w:val="21"/>
                <w:szCs w:val="21"/>
              </w:rPr>
            </w:pPr>
            <w:r>
              <w:rPr>
                <w:rFonts w:hint="eastAsia" w:ascii="方正仿宋_GBK" w:eastAsia="方正仿宋_GBK"/>
                <w:sz w:val="21"/>
                <w:szCs w:val="21"/>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hint="eastAsia" w:ascii="方正仿宋_GBK" w:eastAsia="方正仿宋_GBK"/>
                <w:sz w:val="21"/>
                <w:szCs w:val="21"/>
              </w:rPr>
            </w:pPr>
          </w:p>
        </w:tc>
        <w:tc>
          <w:tcPr>
            <w:tcW w:w="984" w:type="dxa"/>
            <w:vAlign w:val="center"/>
          </w:tcPr>
          <w:p>
            <w:pPr>
              <w:spacing w:line="240" w:lineRule="atLeast"/>
              <w:jc w:val="center"/>
              <w:rPr>
                <w:rFonts w:hint="eastAsia" w:ascii="方正仿宋_GBK" w:eastAsia="方正仿宋_GBK"/>
                <w:sz w:val="21"/>
                <w:szCs w:val="21"/>
              </w:rPr>
            </w:pPr>
          </w:p>
        </w:tc>
        <w:tc>
          <w:tcPr>
            <w:tcW w:w="1298" w:type="dxa"/>
            <w:gridSpan w:val="2"/>
            <w:vAlign w:val="center"/>
          </w:tcPr>
          <w:p>
            <w:pPr>
              <w:spacing w:line="240" w:lineRule="atLeast"/>
              <w:jc w:val="center"/>
              <w:rPr>
                <w:rFonts w:hint="eastAsia" w:ascii="方正仿宋_GBK" w:eastAsia="方正仿宋_GBK"/>
                <w:sz w:val="21"/>
                <w:szCs w:val="21"/>
              </w:rPr>
            </w:pPr>
          </w:p>
        </w:tc>
        <w:tc>
          <w:tcPr>
            <w:tcW w:w="1134" w:type="dxa"/>
            <w:vAlign w:val="center"/>
          </w:tcPr>
          <w:p>
            <w:pPr>
              <w:spacing w:line="240" w:lineRule="atLeast"/>
              <w:jc w:val="center"/>
              <w:rPr>
                <w:rFonts w:hint="eastAsia" w:ascii="方正仿宋_GBK" w:eastAsia="方正仿宋_GBK"/>
                <w:sz w:val="21"/>
                <w:szCs w:val="21"/>
              </w:rPr>
            </w:pPr>
          </w:p>
        </w:tc>
        <w:tc>
          <w:tcPr>
            <w:tcW w:w="1559" w:type="dxa"/>
            <w:vAlign w:val="center"/>
          </w:tcPr>
          <w:p>
            <w:pPr>
              <w:spacing w:line="240" w:lineRule="atLeast"/>
              <w:jc w:val="center"/>
              <w:rPr>
                <w:rFonts w:hint="eastAsia" w:ascii="方正仿宋_GBK" w:eastAsia="方正仿宋_GBK"/>
                <w:sz w:val="21"/>
                <w:szCs w:val="21"/>
              </w:rPr>
            </w:pPr>
          </w:p>
        </w:tc>
        <w:tc>
          <w:tcPr>
            <w:tcW w:w="1567" w:type="dxa"/>
            <w:vAlign w:val="center"/>
          </w:tcPr>
          <w:p>
            <w:pPr>
              <w:spacing w:line="240" w:lineRule="atLeast"/>
              <w:jc w:val="center"/>
              <w:rPr>
                <w:rFonts w:hint="eastAsia"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hint="eastAsia"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776" w:hRule="atLeast"/>
        </w:trPr>
        <w:tc>
          <w:tcPr>
            <w:tcW w:w="9613" w:type="dxa"/>
            <w:gridSpan w:val="7"/>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三、付款方式：</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9628" w:type="dxa"/>
            <w:gridSpan w:val="8"/>
            <w:vAlign w:val="top"/>
          </w:tcPr>
          <w:p>
            <w:pPr>
              <w:rPr>
                <w:rFonts w:hint="eastAsia" w:ascii="方正仿宋_GBK" w:eastAsia="方正仿宋_GBK"/>
                <w:sz w:val="21"/>
                <w:szCs w:val="21"/>
              </w:rPr>
            </w:pPr>
            <w:r>
              <w:rPr>
                <w:rFonts w:hint="eastAsia" w:ascii="方正仿宋_GBK" w:eastAsia="方正仿宋_GBK"/>
                <w:sz w:val="21"/>
                <w:szCs w:val="21"/>
              </w:rPr>
              <w:t>X、履约保证金</w:t>
            </w:r>
            <w:r>
              <w:rPr>
                <w:rFonts w:ascii="方正仿宋_GBK"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四、违约责任：</w:t>
            </w:r>
          </w:p>
          <w:p>
            <w:pPr>
              <w:spacing w:line="240" w:lineRule="atLeast"/>
              <w:rPr>
                <w:rFonts w:hint="eastAsia" w:ascii="方正仿宋_GBK" w:eastAsia="方正仿宋_GBK"/>
                <w:sz w:val="21"/>
                <w:szCs w:val="21"/>
              </w:rPr>
            </w:pPr>
            <w:r>
              <w:rPr>
                <w:rFonts w:hint="eastAsia" w:ascii="方正仿宋_GBK" w:eastAsia="方正仿宋_GBK"/>
                <w:sz w:val="21"/>
                <w:szCs w:val="21"/>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五、其他约定事项：</w:t>
            </w:r>
          </w:p>
          <w:p>
            <w:pPr>
              <w:spacing w:line="240" w:lineRule="atLeast"/>
              <w:rPr>
                <w:rFonts w:hint="eastAsia"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hint="eastAsia"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hint="eastAsia"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hint="eastAsia"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gridSpan w:val="3"/>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需方：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联系电话：</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tc>
        <w:tc>
          <w:tcPr>
            <w:tcW w:w="4984" w:type="dxa"/>
            <w:gridSpan w:val="5"/>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供方：</w:t>
            </w:r>
          </w:p>
          <w:p>
            <w:pPr>
              <w:spacing w:line="240" w:lineRule="atLeast"/>
              <w:rPr>
                <w:rFonts w:hint="eastAsia" w:ascii="方正仿宋_GBK" w:eastAsia="方正仿宋_GBK"/>
                <w:sz w:val="21"/>
                <w:szCs w:val="21"/>
              </w:rPr>
            </w:pPr>
            <w:r>
              <w:rPr>
                <w:rFonts w:hint="eastAsia" w:ascii="方正仿宋_GBK" w:eastAsia="方正仿宋_GBK"/>
                <w:sz w:val="21"/>
                <w:szCs w:val="21"/>
              </w:rPr>
              <w:t>地址：</w:t>
            </w:r>
          </w:p>
          <w:p>
            <w:pPr>
              <w:spacing w:line="240" w:lineRule="atLeast"/>
              <w:rPr>
                <w:rFonts w:hint="eastAsia" w:ascii="方正仿宋_GBK" w:eastAsia="方正仿宋_GBK"/>
                <w:sz w:val="21"/>
                <w:szCs w:val="21"/>
              </w:rPr>
            </w:pPr>
            <w:r>
              <w:rPr>
                <w:rFonts w:hint="eastAsia" w:ascii="方正仿宋_GBK" w:eastAsia="方正仿宋_GBK"/>
                <w:sz w:val="21"/>
                <w:szCs w:val="21"/>
              </w:rPr>
              <w:t>电话：</w:t>
            </w:r>
          </w:p>
          <w:p>
            <w:pPr>
              <w:spacing w:line="240" w:lineRule="atLeast"/>
              <w:rPr>
                <w:rFonts w:hint="eastAsia" w:ascii="方正仿宋_GBK" w:eastAsia="方正仿宋_GBK"/>
                <w:sz w:val="21"/>
                <w:szCs w:val="21"/>
              </w:rPr>
            </w:pPr>
            <w:r>
              <w:rPr>
                <w:rFonts w:hint="eastAsia" w:ascii="方正仿宋_GBK" w:eastAsia="方正仿宋_GBK"/>
                <w:sz w:val="21"/>
                <w:szCs w:val="21"/>
              </w:rPr>
              <w:t>传真：</w:t>
            </w:r>
          </w:p>
          <w:p>
            <w:pPr>
              <w:spacing w:line="240" w:lineRule="atLeast"/>
              <w:rPr>
                <w:rFonts w:hint="eastAsia" w:ascii="方正仿宋_GBK" w:eastAsia="方正仿宋_GBK"/>
                <w:sz w:val="21"/>
                <w:szCs w:val="21"/>
              </w:rPr>
            </w:pPr>
            <w:r>
              <w:rPr>
                <w:rFonts w:hint="eastAsia" w:ascii="方正仿宋_GBK" w:eastAsia="方正仿宋_GBK"/>
                <w:sz w:val="21"/>
                <w:szCs w:val="21"/>
              </w:rPr>
              <w:t>开户银行：</w:t>
            </w:r>
          </w:p>
          <w:p>
            <w:pPr>
              <w:spacing w:line="240" w:lineRule="atLeast"/>
              <w:rPr>
                <w:rFonts w:hint="eastAsia" w:ascii="方正仿宋_GBK" w:eastAsia="方正仿宋_GBK"/>
                <w:sz w:val="21"/>
                <w:szCs w:val="21"/>
              </w:rPr>
            </w:pPr>
            <w:r>
              <w:rPr>
                <w:rFonts w:hint="eastAsia" w:ascii="方正仿宋_GBK" w:eastAsia="方正仿宋_GBK"/>
                <w:sz w:val="21"/>
                <w:szCs w:val="21"/>
              </w:rPr>
              <w:t>账号：</w:t>
            </w:r>
          </w:p>
          <w:p>
            <w:pPr>
              <w:spacing w:line="240" w:lineRule="atLeast"/>
              <w:rPr>
                <w:rFonts w:hint="eastAsia"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hint="eastAsia"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8" w:type="dxa"/>
            <w:gridSpan w:val="8"/>
            <w:vAlign w:val="top"/>
          </w:tcPr>
          <w:p>
            <w:pPr>
              <w:spacing w:line="240" w:lineRule="atLeast"/>
              <w:rPr>
                <w:rFonts w:hint="eastAsia" w:ascii="方正仿宋_GBK" w:eastAsia="方正仿宋_GBK"/>
                <w:sz w:val="21"/>
                <w:szCs w:val="21"/>
              </w:rPr>
            </w:pPr>
            <w:r>
              <w:rPr>
                <w:rFonts w:hint="eastAsia" w:ascii="方正仿宋_GBK" w:eastAsia="方正仿宋_GBK"/>
                <w:sz w:val="21"/>
                <w:szCs w:val="21"/>
              </w:rPr>
              <w:t>备注：</w:t>
            </w:r>
          </w:p>
          <w:p>
            <w:pPr>
              <w:spacing w:line="240" w:lineRule="atLeast"/>
              <w:rPr>
                <w:rFonts w:hint="eastAsia" w:ascii="方正仿宋_GBK" w:eastAsia="方正仿宋_GBK"/>
                <w:sz w:val="21"/>
                <w:szCs w:val="21"/>
              </w:rPr>
            </w:pPr>
          </w:p>
          <w:p>
            <w:pPr>
              <w:spacing w:line="240" w:lineRule="atLeast"/>
              <w:rPr>
                <w:rFonts w:hint="eastAsia" w:ascii="方正仿宋_GBK" w:eastAsia="方正仿宋_GBK"/>
                <w:sz w:val="21"/>
                <w:szCs w:val="21"/>
              </w:rPr>
            </w:pPr>
          </w:p>
        </w:tc>
      </w:tr>
    </w:tbl>
    <w:p>
      <w:pPr>
        <w:rPr>
          <w:rFonts w:hint="eastAsia"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hint="eastAsia" w:ascii="方正仿宋_GBK" w:eastAsia="方正仿宋_GBK"/>
          <w:sz w:val="21"/>
          <w:szCs w:val="21"/>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3"/>
        <w:spacing w:before="0" w:after="0" w:line="360" w:lineRule="auto"/>
        <w:jc w:val="center"/>
        <w:rPr>
          <w:rFonts w:hint="eastAsia" w:ascii="方正小标宋_GBK" w:hAnsi="宋体" w:eastAsia="方正小标宋_GBK"/>
          <w:b w:val="0"/>
          <w:sz w:val="36"/>
          <w:szCs w:val="30"/>
        </w:rPr>
      </w:pPr>
      <w:bookmarkStart w:id="107" w:name="_Hlt41879464"/>
      <w:bookmarkEnd w:id="107"/>
      <w:bookmarkStart w:id="108" w:name="_Toc106030905"/>
      <w:bookmarkStart w:id="109" w:name="_Toc76462349"/>
      <w:r>
        <w:rPr>
          <w:rFonts w:hint="eastAsia" w:ascii="方正小标宋_GBK" w:hAnsi="宋体" w:eastAsia="方正小标宋_GBK"/>
          <w:b w:val="0"/>
          <w:sz w:val="36"/>
          <w:szCs w:val="30"/>
        </w:rPr>
        <w:t>第七篇  响应文件编制要求</w:t>
      </w:r>
      <w:bookmarkEnd w:id="108"/>
      <w:bookmarkEnd w:id="10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一、经济部分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（一）竞争性磋商报价函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报价一览表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（三）</w:t>
      </w:r>
      <w:r>
        <w:rPr>
          <w:rFonts w:hint="eastAsia" w:ascii="方正仿宋_GBK" w:hAnsi="宋体" w:eastAsia="方正仿宋_GBK"/>
          <w:sz w:val="24"/>
          <w:szCs w:val="24"/>
        </w:rPr>
        <w:t>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二、服务部分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三、商务部分</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pStyle w:val="2"/>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（二）成本测算方案</w:t>
      </w:r>
    </w:p>
    <w:p>
      <w:pPr>
        <w:pStyle w:val="2"/>
        <w:ind w:firstLine="480" w:firstLineChars="200"/>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（三）企业实力</w:t>
      </w:r>
    </w:p>
    <w:p>
      <w:pPr>
        <w:pStyle w:val="2"/>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（四）人员配备</w:t>
      </w:r>
    </w:p>
    <w:p>
      <w:pPr>
        <w:pStyle w:val="2"/>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（五）业绩</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四、资格条件及其他</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（五）落实政府采购政策需满足的资格要求</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（六）</w:t>
      </w:r>
      <w:r>
        <w:rPr>
          <w:rFonts w:hint="eastAsia" w:ascii="方正仿宋_GBK" w:hAnsi="宋体" w:eastAsia="方正仿宋_GBK"/>
          <w:sz w:val="24"/>
          <w:szCs w:val="24"/>
        </w:rPr>
        <w:t>特定资格条件证书或证明文件</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五、其他资料</w:t>
      </w:r>
    </w:p>
    <w:p>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（二）其他与项目有关的资料</w:t>
      </w:r>
    </w:p>
    <w:p>
      <w:pPr>
        <w:pStyle w:val="2"/>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六、实施方案（单独封装，包括但不限于）</w:t>
      </w:r>
    </w:p>
    <w:p>
      <w:pPr>
        <w:pStyle w:val="2"/>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“秩序维护方案”“保洁服务方案”“食堂服务方案”“质量管理考核方案”</w:t>
      </w:r>
    </w:p>
    <w:p>
      <w:pPr>
        <w:pStyle w:val="2"/>
        <w:ind w:firstLine="480" w:firstLineChars="200"/>
        <w:rPr>
          <w:rFonts w:hint="eastAsia" w:ascii="方正仿宋_GBK" w:hAnsi="宋体" w:eastAsia="方正仿宋_GBK" w:cs="Times New Roman"/>
          <w:kern w:val="2"/>
          <w:sz w:val="24"/>
          <w:szCs w:val="24"/>
          <w:lang w:val="en-US" w:eastAsia="zh-CN" w:bidi="ar-SA"/>
        </w:rPr>
        <w:sectPr>
          <w:pgSz w:w="11907" w:h="16840"/>
          <w:pgMar w:top="1134" w:right="1191" w:bottom="1134" w:left="1304" w:header="851" w:footer="992" w:gutter="0"/>
          <w:pgNumType w:fmt="numberInDash"/>
          <w:cols w:space="720" w:num="1"/>
          <w:docGrid w:linePitch="380" w:charSpace="-5735"/>
        </w:sectPr>
      </w:pPr>
      <w:r>
        <w:rPr>
          <w:rFonts w:hint="eastAsia" w:ascii="微软雅黑" w:hAnsi="微软雅黑" w:eastAsia="微软雅黑" w:cs="微软雅黑"/>
          <w:kern w:val="2"/>
          <w:sz w:val="24"/>
          <w:szCs w:val="24"/>
          <w:lang w:val="en-US" w:eastAsia="zh-CN" w:bidi="ar-SA"/>
        </w:rPr>
        <w:t>“拟投入装备”“应急处置方案”</w:t>
      </w: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0" w:name="_Toc76462350"/>
      <w:bookmarkStart w:id="111" w:name="_Toc106030906"/>
      <w:bookmarkStart w:id="112" w:name="_Toc313008356"/>
      <w:bookmarkStart w:id="113" w:name="_Toc342913419"/>
      <w:bookmarkStart w:id="114" w:name="_Toc313888360"/>
      <w:bookmarkStart w:id="115" w:name="_Toc283382454"/>
      <w:bookmarkStart w:id="116" w:name="_Toc12789073"/>
      <w:r>
        <w:rPr>
          <w:rFonts w:hint="eastAsia" w:ascii="方正仿宋_GBK" w:hAnsi="宋体" w:eastAsia="方正仿宋_GBK"/>
          <w:sz w:val="24"/>
        </w:rPr>
        <w:t>一、经济部分</w:t>
      </w:r>
      <w:bookmarkEnd w:id="110"/>
      <w:bookmarkEnd w:id="111"/>
      <w:bookmarkEnd w:id="112"/>
      <w:bookmarkEnd w:id="113"/>
      <w:bookmarkEnd w:id="114"/>
    </w:p>
    <w:bookmarkEnd w:id="115"/>
    <w:bookmarkEnd w:id="116"/>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（一）竞争性磋商报价函</w:t>
      </w:r>
    </w:p>
    <w:p>
      <w:pPr>
        <w:jc w:val="center"/>
        <w:rPr>
          <w:rFonts w:hint="eastAsia" w:ascii="方正仿宋_GBK" w:eastAsia="方正仿宋_GBK"/>
          <w:b/>
          <w:szCs w:val="28"/>
        </w:rPr>
      </w:pPr>
      <w:r>
        <w:rPr>
          <w:rFonts w:hint="eastAsia" w:ascii="方正仿宋_GBK" w:eastAsia="方正仿宋_GBK"/>
          <w:b/>
          <w:szCs w:val="28"/>
        </w:rPr>
        <w:t>竞争性磋商报价函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1.愿意按照竞争性磋商文件中的一切要求，提供本项目的服务，初始报价为人民币大写：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实施方案</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3.我方承诺：本次磋商的有效期为提交响应文件截止时间起90天。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4.我方完全理解和接受贵方竞争性磋商文件的一切规定和要求及评审办法。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7.如果我方成为成交供应商，保证在接到成交通知书后，向采购代理机构和</w:t>
      </w:r>
      <w:r>
        <w:rPr>
          <w:rFonts w:hint="eastAsia" w:ascii="方正仿宋_GBK" w:hAnsi="宋体" w:eastAsia="方正仿宋_GBK"/>
          <w:sz w:val="24"/>
        </w:rPr>
        <w:t>重庆联合产权交易所集团股份有限公司缴纳</w:t>
      </w:r>
      <w:r>
        <w:rPr>
          <w:rFonts w:hint="eastAsia" w:ascii="方正仿宋_GBK" w:hAnsi="宋体" w:eastAsia="方正仿宋_GBK"/>
          <w:sz w:val="24"/>
          <w:szCs w:val="24"/>
        </w:rPr>
        <w:t>竞争性磋商文件规定的采购代理服务费和交易服务费。</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napToGrid w:val="0"/>
        <w:spacing w:line="500" w:lineRule="exact"/>
        <w:ind w:firstLine="480" w:firstLineChars="200"/>
        <w:jc w:val="left"/>
        <w:rPr>
          <w:rFonts w:hint="eastAsia" w:ascii="仿宋_GB2312" w:hAnsi="宋体" w:eastAsia="仿宋_GB2312"/>
          <w:b/>
          <w:color w:val="000000"/>
          <w:szCs w:val="28"/>
        </w:rPr>
      </w:pPr>
      <w:r>
        <w:rPr>
          <w:rFonts w:hint="eastAsia" w:ascii="方正仿宋_GBK" w:hAnsi="宋体" w:eastAsia="方正仿宋_GBK"/>
          <w:sz w:val="24"/>
          <w:szCs w:val="24"/>
        </w:rPr>
        <w:t>（二）</w:t>
      </w:r>
      <w:r>
        <w:rPr>
          <w:rFonts w:hint="eastAsia" w:ascii="仿宋_GB2312" w:hAnsi="宋体" w:eastAsia="仿宋_GB2312"/>
          <w:b/>
          <w:color w:val="000000"/>
          <w:szCs w:val="28"/>
        </w:rPr>
        <w:t>报价一览表</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采购项目名称：</w:t>
      </w:r>
    </w:p>
    <w:tbl>
      <w:tblPr>
        <w:tblStyle w:val="18"/>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3609"/>
        <w:gridCol w:w="227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1508" w:type="dxa"/>
            <w:vAlign w:val="center"/>
          </w:tcPr>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rPr>
              <w:t>供应商全称</w:t>
            </w:r>
          </w:p>
        </w:tc>
        <w:tc>
          <w:tcPr>
            <w:tcW w:w="7784" w:type="dxa"/>
            <w:gridSpan w:val="3"/>
            <w:vAlign w:val="top"/>
          </w:tcPr>
          <w:p>
            <w:pPr>
              <w:tabs>
                <w:tab w:val="left" w:pos="6300"/>
              </w:tabs>
              <w:snapToGrid w:val="0"/>
              <w:spacing w:line="312" w:lineRule="auto"/>
              <w:ind w:firstLine="480" w:firstLineChars="200"/>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17" w:type="dxa"/>
            <w:gridSpan w:val="2"/>
            <w:vAlign w:val="center"/>
          </w:tcPr>
          <w:p>
            <w:pPr>
              <w:tabs>
                <w:tab w:val="left" w:pos="6300"/>
              </w:tabs>
              <w:snapToGrid w:val="0"/>
              <w:spacing w:line="312" w:lineRule="auto"/>
              <w:jc w:val="center"/>
              <w:rPr>
                <w:rFonts w:hint="eastAsia" w:ascii="方正仿宋_GBK" w:hAnsi="宋体" w:eastAsia="方正仿宋_GBK"/>
                <w:sz w:val="24"/>
                <w:szCs w:val="24"/>
                <w:lang w:eastAsia="zh-CN"/>
              </w:rPr>
            </w:pPr>
            <w:r>
              <w:rPr>
                <w:rFonts w:hint="eastAsia" w:ascii="方正仿宋_GBK" w:hAnsi="宋体" w:eastAsia="方正仿宋_GBK"/>
                <w:sz w:val="24"/>
                <w:szCs w:val="24"/>
              </w:rPr>
              <w:t>响应项目名称</w:t>
            </w:r>
          </w:p>
        </w:tc>
        <w:tc>
          <w:tcPr>
            <w:tcW w:w="2271" w:type="dxa"/>
            <w:vAlign w:val="center"/>
          </w:tcPr>
          <w:p>
            <w:pPr>
              <w:tabs>
                <w:tab w:val="left" w:pos="6300"/>
              </w:tabs>
              <w:snapToGrid w:val="0"/>
              <w:spacing w:line="312" w:lineRule="auto"/>
              <w:jc w:val="center"/>
              <w:rPr>
                <w:rFonts w:hint="eastAsia" w:ascii="方正仿宋_GBK" w:hAnsi="宋体" w:eastAsia="方正仿宋_GBK"/>
                <w:sz w:val="24"/>
                <w:szCs w:val="24"/>
              </w:rPr>
            </w:pPr>
            <w:r>
              <w:rPr>
                <w:rFonts w:hint="eastAsia" w:ascii="方正仿宋_GBK" w:hAnsi="宋体" w:eastAsia="方正仿宋_GBK"/>
                <w:sz w:val="24"/>
                <w:szCs w:val="24"/>
              </w:rPr>
              <w:t>响应报价（小写）</w:t>
            </w:r>
          </w:p>
          <w:p>
            <w:pPr>
              <w:tabs>
                <w:tab w:val="left" w:pos="6300"/>
              </w:tabs>
              <w:snapToGrid w:val="0"/>
              <w:spacing w:line="312" w:lineRule="auto"/>
              <w:jc w:val="center"/>
              <w:rPr>
                <w:rFonts w:hint="eastAsia" w:ascii="方正仿宋_GBK" w:hAnsi="宋体" w:eastAsia="方正仿宋_GBK"/>
                <w:sz w:val="24"/>
                <w:szCs w:val="24"/>
              </w:rPr>
            </w:pPr>
            <w:r>
              <w:rPr>
                <w:rFonts w:hint="eastAsia" w:ascii="方正仿宋_GBK" w:hAnsi="宋体" w:eastAsia="方正仿宋_GBK"/>
                <w:sz w:val="24"/>
                <w:szCs w:val="24"/>
              </w:rPr>
              <w:t>单位（元）</w:t>
            </w:r>
          </w:p>
        </w:tc>
        <w:tc>
          <w:tcPr>
            <w:tcW w:w="1904" w:type="dxa"/>
            <w:vAlign w:val="center"/>
          </w:tcPr>
          <w:p>
            <w:pPr>
              <w:tabs>
                <w:tab w:val="left" w:pos="6300"/>
              </w:tabs>
              <w:snapToGrid w:val="0"/>
              <w:spacing w:line="312" w:lineRule="auto"/>
              <w:jc w:val="center"/>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5117" w:type="dxa"/>
            <w:gridSpan w:val="2"/>
            <w:vAlign w:val="center"/>
          </w:tcPr>
          <w:p>
            <w:pPr>
              <w:tabs>
                <w:tab w:val="left" w:pos="6300"/>
              </w:tabs>
              <w:snapToGrid w:val="0"/>
              <w:spacing w:line="312" w:lineRule="auto"/>
              <w:ind w:firstLine="480" w:firstLineChars="200"/>
              <w:rPr>
                <w:rFonts w:hint="eastAsia" w:ascii="方正仿宋_GBK" w:hAnsi="宋体" w:eastAsia="方正仿宋_GBK"/>
                <w:sz w:val="24"/>
                <w:szCs w:val="24"/>
              </w:rPr>
            </w:pPr>
          </w:p>
        </w:tc>
        <w:tc>
          <w:tcPr>
            <w:tcW w:w="2271" w:type="dxa"/>
            <w:vAlign w:val="top"/>
          </w:tcPr>
          <w:p>
            <w:pPr>
              <w:tabs>
                <w:tab w:val="left" w:pos="6300"/>
              </w:tabs>
              <w:snapToGrid w:val="0"/>
              <w:spacing w:line="312" w:lineRule="auto"/>
              <w:ind w:firstLine="480" w:firstLineChars="200"/>
              <w:rPr>
                <w:rFonts w:hint="eastAsia" w:ascii="方正仿宋_GBK" w:hAnsi="宋体" w:eastAsia="方正仿宋_GBK"/>
                <w:sz w:val="24"/>
                <w:szCs w:val="24"/>
              </w:rPr>
            </w:pPr>
          </w:p>
        </w:tc>
        <w:tc>
          <w:tcPr>
            <w:tcW w:w="1904" w:type="dxa"/>
            <w:vAlign w:val="top"/>
          </w:tcPr>
          <w:p>
            <w:pPr>
              <w:tabs>
                <w:tab w:val="left" w:pos="6300"/>
              </w:tabs>
              <w:snapToGrid w:val="0"/>
              <w:spacing w:line="312" w:lineRule="auto"/>
              <w:ind w:firstLine="480" w:firstLineChars="200"/>
              <w:rPr>
                <w:rFonts w:hint="eastAsia" w:ascii="方正仿宋_GBK"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9292" w:type="dxa"/>
            <w:gridSpan w:val="4"/>
            <w:vAlign w:val="center"/>
          </w:tcPr>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rPr>
              <w:t>响应报价（大写）：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292" w:type="dxa"/>
            <w:gridSpan w:val="4"/>
            <w:vAlign w:val="center"/>
          </w:tcPr>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rPr>
              <w:t>备注：不得高于本次采购人给定的响应最高限价，报价高于本限价的为无效响应。</w:t>
            </w:r>
          </w:p>
        </w:tc>
      </w:tr>
    </w:tbl>
    <w:p>
      <w:pPr>
        <w:spacing w:line="500" w:lineRule="exact"/>
        <w:ind w:firstLine="560" w:firstLineChars="200"/>
        <w:rPr>
          <w:rFonts w:hint="eastAsia" w:ascii="仿宋_GB2312" w:hAnsi="宋体" w:eastAsia="仿宋_GB2312"/>
          <w:color w:val="000000"/>
          <w:szCs w:val="28"/>
        </w:rPr>
      </w:pPr>
    </w:p>
    <w:p>
      <w:pPr>
        <w:spacing w:line="500" w:lineRule="exact"/>
        <w:ind w:firstLine="560" w:firstLineChars="200"/>
        <w:rPr>
          <w:rFonts w:hint="eastAsia" w:ascii="仿宋_GB2312" w:hAnsi="宋体" w:eastAsia="仿宋_GB2312"/>
          <w:color w:val="000000"/>
          <w:szCs w:val="28"/>
        </w:rPr>
      </w:pP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响应供应商：                            法人授权代表：</w:t>
      </w:r>
    </w:p>
    <w:p>
      <w:pPr>
        <w:tabs>
          <w:tab w:val="left" w:pos="6300"/>
        </w:tabs>
        <w:snapToGrid w:val="0"/>
        <w:spacing w:line="312" w:lineRule="auto"/>
        <w:ind w:firstLine="480" w:firstLineChars="200"/>
        <w:rPr>
          <w:rFonts w:hint="eastAsia" w:ascii="方正仿宋_GBK" w:hAnsi="宋体" w:eastAsia="方正仿宋_GBK"/>
          <w:sz w:val="24"/>
          <w:szCs w:val="24"/>
        </w:rPr>
      </w:pP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（响应供应商公章）                          （签字或盖章）</w:t>
      </w:r>
    </w:p>
    <w:p>
      <w:pPr>
        <w:tabs>
          <w:tab w:val="left" w:pos="6300"/>
        </w:tabs>
        <w:snapToGrid w:val="0"/>
        <w:spacing w:line="312" w:lineRule="auto"/>
        <w:ind w:firstLine="480" w:firstLineChars="200"/>
        <w:rPr>
          <w:rFonts w:hint="eastAsia" w:ascii="方正仿宋_GBK" w:hAnsi="宋体" w:eastAsia="方正仿宋_GBK"/>
          <w:sz w:val="24"/>
          <w:szCs w:val="24"/>
        </w:rPr>
      </w:pPr>
    </w:p>
    <w:p>
      <w:pPr>
        <w:tabs>
          <w:tab w:val="left" w:pos="6300"/>
        </w:tabs>
        <w:snapToGrid w:val="0"/>
        <w:spacing w:line="312" w:lineRule="auto"/>
        <w:ind w:firstLine="480" w:firstLineChars="200"/>
        <w:rPr>
          <w:rFonts w:hint="eastAsia" w:ascii="方正仿宋_GBK" w:hAnsi="宋体" w:eastAsia="方正仿宋_GBK"/>
          <w:sz w:val="24"/>
          <w:szCs w:val="24"/>
        </w:rPr>
      </w:pP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                                     年     月     日</w:t>
      </w:r>
    </w:p>
    <w:p>
      <w:pPr>
        <w:snapToGrid w:val="0"/>
        <w:spacing w:line="500" w:lineRule="exact"/>
        <w:rPr>
          <w:rFonts w:hint="eastAsia" w:ascii="仿宋_GB2312" w:hAnsi="宋体" w:eastAsia="仿宋_GB2312"/>
          <w:color w:val="000000"/>
          <w:szCs w:val="28"/>
        </w:rPr>
      </w:pP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说明：</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报价一览表在评审大会上当众宣读，</w:t>
      </w:r>
      <w:r>
        <w:rPr>
          <w:rFonts w:hint="eastAsia" w:ascii="方正仿宋_GBK" w:hAnsi="宋体" w:eastAsia="方正仿宋_GBK"/>
          <w:sz w:val="24"/>
          <w:szCs w:val="24"/>
          <w:lang w:val="en-US" w:eastAsia="zh-CN"/>
        </w:rPr>
        <w:t>供应商须按格式填写且</w:t>
      </w:r>
      <w:r>
        <w:rPr>
          <w:rFonts w:hint="eastAsia" w:ascii="方正仿宋_GBK" w:hAnsi="宋体" w:eastAsia="方正仿宋_GBK"/>
          <w:sz w:val="24"/>
          <w:szCs w:val="24"/>
        </w:rPr>
        <w:t>务必填写清楚，准确无误。</w:t>
      </w:r>
    </w:p>
    <w:p>
      <w:pPr>
        <w:tabs>
          <w:tab w:val="left" w:pos="289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若以联合体参与</w:t>
      </w:r>
      <w:r>
        <w:rPr>
          <w:rFonts w:hint="eastAsia" w:ascii="方正仿宋_GBK" w:hAnsi="宋体" w:eastAsia="方正仿宋_GBK"/>
          <w:sz w:val="24"/>
          <w:szCs w:val="24"/>
          <w:lang w:val="en-US" w:eastAsia="zh-CN"/>
        </w:rPr>
        <w:t>询价</w:t>
      </w:r>
      <w:r>
        <w:rPr>
          <w:rFonts w:hint="eastAsia" w:ascii="方正仿宋_GBK" w:hAnsi="宋体" w:eastAsia="方正仿宋_GBK"/>
          <w:sz w:val="24"/>
          <w:szCs w:val="24"/>
        </w:rPr>
        <w:t>的，应在“</w:t>
      </w:r>
      <w:r>
        <w:rPr>
          <w:rFonts w:hint="eastAsia" w:ascii="方正仿宋_GBK" w:hAnsi="宋体" w:eastAsia="方正仿宋_GBK"/>
          <w:sz w:val="24"/>
          <w:szCs w:val="24"/>
          <w:lang w:val="en-US" w:eastAsia="zh-CN"/>
        </w:rPr>
        <w:t>响应供应商</w:t>
      </w:r>
      <w:r>
        <w:rPr>
          <w:rFonts w:hint="eastAsia" w:ascii="方正仿宋_GBK" w:hAnsi="宋体" w:eastAsia="方正仿宋_GBK"/>
          <w:sz w:val="24"/>
          <w:szCs w:val="24"/>
        </w:rPr>
        <w:t>”处注明所有联合体名称</w:t>
      </w:r>
      <w:r>
        <w:rPr>
          <w:rFonts w:hint="eastAsia" w:ascii="方正仿宋_GBK" w:hAnsi="宋体" w:eastAsia="方正仿宋_GBK"/>
          <w:sz w:val="24"/>
          <w:szCs w:val="24"/>
          <w:lang w:eastAsia="zh-CN"/>
        </w:rPr>
        <w:t>，</w:t>
      </w:r>
      <w:r>
        <w:rPr>
          <w:rFonts w:hint="eastAsia" w:ascii="方正仿宋_GBK" w:hAnsi="宋体" w:eastAsia="方正仿宋_GBK"/>
          <w:sz w:val="24"/>
          <w:szCs w:val="24"/>
        </w:rPr>
        <w:t>至少应加盖联合体主办方（主体）公章。</w:t>
      </w:r>
      <w:r>
        <w:rPr>
          <w:rFonts w:hint="eastAsia" w:ascii="方正仿宋_GBK" w:hAnsi="宋体" w:eastAsia="方正仿宋_GBK"/>
          <w:sz w:val="24"/>
          <w:szCs w:val="24"/>
        </w:rPr>
        <w:br w:type="page"/>
      </w:r>
    </w:p>
    <w:p>
      <w:pPr>
        <w:tabs>
          <w:tab w:val="left" w:pos="2895"/>
        </w:tabs>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eastAsia="zh-CN"/>
        </w:rPr>
        <w:t>三</w:t>
      </w:r>
      <w:r>
        <w:rPr>
          <w:rFonts w:hint="eastAsia" w:ascii="方正仿宋_GBK" w:hAnsi="宋体" w:eastAsia="方正仿宋_GBK"/>
          <w:sz w:val="24"/>
          <w:szCs w:val="24"/>
        </w:rPr>
        <w:t>）明细报价表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u w:val="single"/>
        </w:rPr>
      </w:pPr>
      <w:r>
        <w:rPr>
          <w:rFonts w:hint="eastAsia" w:ascii="方正仿宋_GBK" w:hAnsi="宋体" w:eastAsia="方正仿宋_GBK"/>
          <w:sz w:val="24"/>
          <w:szCs w:val="24"/>
        </w:rPr>
        <w:t xml:space="preserve">磋商项目名称： </w:t>
      </w:r>
    </w:p>
    <w:tbl>
      <w:tblPr>
        <w:tblStyle w:val="18"/>
        <w:tblW w:w="93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exact"/>
          <w:jc w:val="center"/>
        </w:trPr>
        <w:tc>
          <w:tcPr>
            <w:tcW w:w="939" w:type="dxa"/>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jc w:val="center"/>
              <w:rPr>
                <w:rFonts w:hint="eastAsia"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ascii="方正仿宋_GBK" w:hAnsi="宋体" w:eastAsia="方正仿宋_GBK"/>
                <w:sz w:val="21"/>
                <w:szCs w:val="21"/>
              </w:rPr>
            </w:pPr>
          </w:p>
        </w:tc>
        <w:tc>
          <w:tcPr>
            <w:tcW w:w="1235" w:type="dxa"/>
            <w:vAlign w:val="center"/>
          </w:tcPr>
          <w:p>
            <w:pPr>
              <w:jc w:val="center"/>
              <w:rPr>
                <w:rFonts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jc w:val="center"/>
              <w:rPr>
                <w:rFonts w:hint="eastAsia" w:ascii="方正仿宋_GBK" w:hAnsi="宋体" w:eastAsia="方正仿宋_GBK"/>
                <w:sz w:val="21"/>
                <w:szCs w:val="21"/>
              </w:rPr>
            </w:pP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人工费</w:t>
            </w: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运输费</w:t>
            </w: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其他费用</w:t>
            </w: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3127" w:type="dxa"/>
            <w:vAlign w:val="top"/>
          </w:tcPr>
          <w:p>
            <w:pPr>
              <w:jc w:val="center"/>
              <w:rPr>
                <w:rFonts w:hint="eastAsia" w:ascii="方正仿宋_GBK" w:hAnsi="宋体" w:eastAsia="方正仿宋_GBK"/>
                <w:sz w:val="21"/>
                <w:szCs w:val="21"/>
              </w:rPr>
            </w:pPr>
          </w:p>
        </w:tc>
        <w:tc>
          <w:tcPr>
            <w:tcW w:w="1235"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w:t>
            </w:r>
          </w:p>
        </w:tc>
        <w:tc>
          <w:tcPr>
            <w:tcW w:w="1235" w:type="dxa"/>
            <w:vAlign w:val="top"/>
          </w:tcPr>
          <w:p>
            <w:pPr>
              <w:jc w:val="center"/>
              <w:rPr>
                <w:rFonts w:hint="eastAsia" w:ascii="方正仿宋_GBK" w:hAnsi="宋体" w:eastAsia="方正仿宋_GBK"/>
                <w:sz w:val="21"/>
                <w:szCs w:val="21"/>
              </w:rPr>
            </w:pPr>
          </w:p>
        </w:tc>
        <w:tc>
          <w:tcPr>
            <w:tcW w:w="1235" w:type="dxa"/>
            <w:vAlign w:val="top"/>
          </w:tcPr>
          <w:p>
            <w:pPr>
              <w:jc w:val="center"/>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exact"/>
          <w:jc w:val="center"/>
        </w:trPr>
        <w:tc>
          <w:tcPr>
            <w:tcW w:w="939" w:type="dxa"/>
            <w:vAlign w:val="center"/>
          </w:tcPr>
          <w:p>
            <w:pPr>
              <w:pStyle w:val="5"/>
              <w:spacing w:line="240" w:lineRule="atLeast"/>
              <w:ind w:left="3920"/>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vAlign w:val="top"/>
          </w:tcPr>
          <w:p>
            <w:pPr>
              <w:rPr>
                <w:rFonts w:hint="eastAsia" w:ascii="方正仿宋_GBK" w:hAnsi="宋体" w:eastAsia="方正仿宋_GBK"/>
                <w:sz w:val="21"/>
                <w:szCs w:val="21"/>
              </w:rPr>
            </w:pPr>
          </w:p>
        </w:tc>
      </w:tr>
    </w:tbl>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r>
        <w:rPr>
          <w:rFonts w:eastAsia="方正仿宋_GBK"/>
          <w:sz w:val="24"/>
          <w:szCs w:val="28"/>
        </w:rPr>
        <w:t>，没有填写或填</w:t>
      </w:r>
      <w:r>
        <w:rPr>
          <w:rFonts w:hint="eastAsia" w:eastAsia="方正仿宋_GBK"/>
          <w:sz w:val="24"/>
          <w:szCs w:val="28"/>
          <w:lang w:val="en-US" w:eastAsia="zh-CN"/>
        </w:rPr>
        <w:t>写</w:t>
      </w:r>
      <w:r>
        <w:rPr>
          <w:rFonts w:eastAsia="方正仿宋_GBK"/>
          <w:sz w:val="24"/>
          <w:szCs w:val="28"/>
        </w:rPr>
        <w:t>不完整的按无明细</w:t>
      </w:r>
      <w:r>
        <w:rPr>
          <w:rFonts w:hint="eastAsia" w:eastAsia="方正仿宋_GBK"/>
          <w:sz w:val="24"/>
          <w:szCs w:val="28"/>
          <w:lang w:val="en-US" w:eastAsia="zh-CN"/>
        </w:rPr>
        <w:t>报价表</w:t>
      </w:r>
      <w:r>
        <w:rPr>
          <w:rFonts w:eastAsia="方正仿宋_GBK"/>
          <w:sz w:val="24"/>
          <w:szCs w:val="28"/>
        </w:rPr>
        <w:t>处理</w:t>
      </w:r>
      <w:r>
        <w:rPr>
          <w:rFonts w:hint="eastAsia" w:ascii="方正仿宋_GBK" w:hAnsi="宋体" w:eastAsia="方正仿宋_GBK"/>
          <w:sz w:val="24"/>
          <w:szCs w:val="28"/>
        </w:rPr>
        <w:t>。</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17" w:name="OLE_LINK2"/>
      <w:bookmarkStart w:id="118" w:name="OLE_LINK1"/>
      <w:r>
        <w:rPr>
          <w:rFonts w:hint="eastAsia" w:ascii="方正仿宋_GBK" w:hAnsi="宋体" w:eastAsia="方正仿宋_GBK"/>
          <w:sz w:val="24"/>
          <w:szCs w:val="28"/>
        </w:rPr>
        <w:t>。</w:t>
      </w:r>
      <w:bookmarkEnd w:id="117"/>
      <w:bookmarkEnd w:id="118"/>
    </w:p>
    <w:p>
      <w:pPr>
        <w:snapToGrid w:val="0"/>
        <w:spacing w:line="500" w:lineRule="exact"/>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 xml:space="preserve">        3.无此项费用的，以“单价”和“合计”栏以“0”表示。</w:t>
      </w:r>
    </w:p>
    <w:p>
      <w:pPr>
        <w:pStyle w:val="11"/>
        <w:spacing w:line="360" w:lineRule="auto"/>
        <w:rPr>
          <w:rFonts w:hint="eastAsia" w:ascii="方正仿宋_GBK" w:hAnsi="宋体" w:eastAsia="方正仿宋_GBK"/>
          <w:sz w:val="24"/>
          <w:szCs w:val="24"/>
        </w:rPr>
      </w:pP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rPr>
          <w:rFonts w:hint="eastAsia"/>
        </w:rPr>
      </w:pPr>
    </w:p>
    <w:p>
      <w:pPr>
        <w:rPr>
          <w:rFonts w:hint="eastAsia"/>
        </w:rPr>
      </w:pP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headerReference r:id="rId12"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400" w:lineRule="exact"/>
        <w:ind w:firstLine="482" w:firstLineChars="200"/>
        <w:rPr>
          <w:rFonts w:hint="eastAsia" w:ascii="方正仿宋_GBK" w:hAnsi="宋体" w:eastAsia="方正仿宋_GBK"/>
          <w:sz w:val="24"/>
        </w:rPr>
      </w:pPr>
      <w:bookmarkStart w:id="119" w:name="_Toc313008357"/>
      <w:bookmarkStart w:id="120" w:name="_Toc342913420"/>
      <w:bookmarkStart w:id="121" w:name="_Toc76462351"/>
      <w:bookmarkStart w:id="122" w:name="_Toc106030907"/>
      <w:bookmarkStart w:id="123" w:name="_Toc313888361"/>
      <w:r>
        <w:rPr>
          <w:rFonts w:hint="eastAsia" w:ascii="方正仿宋_GBK" w:hAnsi="宋体" w:eastAsia="方正仿宋_GBK"/>
          <w:sz w:val="24"/>
        </w:rPr>
        <w:t>二、服务部分</w:t>
      </w:r>
      <w:bookmarkEnd w:id="119"/>
      <w:bookmarkEnd w:id="120"/>
      <w:bookmarkEnd w:id="121"/>
      <w:bookmarkEnd w:id="122"/>
      <w:bookmarkEnd w:id="123"/>
    </w:p>
    <w:p>
      <w:pPr>
        <w:tabs>
          <w:tab w:val="left" w:pos="6300"/>
        </w:tabs>
        <w:snapToGrid w:val="0"/>
        <w:spacing w:line="400" w:lineRule="exact"/>
        <w:ind w:firstLine="480" w:firstLineChars="200"/>
        <w:rPr>
          <w:rFonts w:hint="eastAsia" w:ascii="方正仿宋_GBK" w:hAnsi="宋体" w:eastAsia="方正仿宋_GBK"/>
          <w:szCs w:val="24"/>
        </w:rPr>
      </w:pPr>
      <w:r>
        <w:rPr>
          <w:rFonts w:hint="eastAsia" w:ascii="方正仿宋_GBK" w:hAnsi="宋体" w:eastAsia="方正仿宋_GBK"/>
          <w:sz w:val="24"/>
          <w:szCs w:val="24"/>
        </w:rPr>
        <w:t>（一）服务响应偏离表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磋商项目名称：</w:t>
      </w:r>
    </w:p>
    <w:tbl>
      <w:tblPr>
        <w:tblStyle w:val="18"/>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r>
              <w:rPr>
                <w:rFonts w:hint="eastAsia" w:ascii="方正仿宋_GBK" w:hAnsi="宋体"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7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967"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3081"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c>
          <w:tcPr>
            <w:tcW w:w="2309" w:type="dxa"/>
            <w:vAlign w:val="center"/>
          </w:tcPr>
          <w:p>
            <w:pPr>
              <w:tabs>
                <w:tab w:val="left" w:pos="6300"/>
              </w:tabs>
              <w:snapToGrid w:val="0"/>
              <w:spacing w:line="500" w:lineRule="exact"/>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pPr>
        <w:tabs>
          <w:tab w:val="left" w:pos="6300"/>
        </w:tabs>
        <w:snapToGrid w:val="0"/>
        <w:spacing w:line="480" w:lineRule="exact"/>
        <w:ind w:firstLine="480" w:firstLineChars="200"/>
        <w:rPr>
          <w:rFonts w:hint="eastAsia" w:ascii="方正仿宋_GBK" w:hAnsi="仿宋" w:eastAsia="方正仿宋_GBK"/>
          <w:sz w:val="24"/>
          <w:szCs w:val="24"/>
        </w:rPr>
      </w:pPr>
      <w:r>
        <w:rPr>
          <w:rFonts w:hint="eastAsia" w:ascii="方正仿宋_GBK" w:hAnsi="宋体" w:eastAsia="方正仿宋_GBK"/>
          <w:sz w:val="24"/>
        </w:rPr>
        <w:t>2.本表可扩展</w:t>
      </w:r>
      <w:r>
        <w:rPr>
          <w:rFonts w:hint="eastAsia" w:ascii="方正仿宋_GBK" w:hAnsi="仿宋" w:eastAsia="方正仿宋_GBK"/>
          <w:sz w:val="24"/>
          <w:szCs w:val="24"/>
          <w:lang w:eastAsia="zh-CN"/>
        </w:rPr>
        <w:t>，</w:t>
      </w:r>
      <w:r>
        <w:rPr>
          <w:rFonts w:eastAsia="方正仿宋_GBK"/>
          <w:sz w:val="24"/>
          <w:szCs w:val="28"/>
        </w:rPr>
        <w:t>请</w:t>
      </w:r>
      <w:r>
        <w:rPr>
          <w:rFonts w:hint="eastAsia" w:eastAsia="方正仿宋_GBK"/>
          <w:sz w:val="24"/>
          <w:szCs w:val="28"/>
          <w:lang w:val="en-US" w:eastAsia="zh-CN"/>
        </w:rPr>
        <w:t>供应商</w:t>
      </w:r>
      <w:r>
        <w:rPr>
          <w:rFonts w:eastAsia="方正仿宋_GBK"/>
          <w:sz w:val="24"/>
          <w:szCs w:val="28"/>
        </w:rPr>
        <w:t>完整填写本表，没有填写或填</w:t>
      </w:r>
      <w:r>
        <w:rPr>
          <w:rFonts w:hint="eastAsia" w:eastAsia="方正仿宋_GBK"/>
          <w:sz w:val="24"/>
          <w:szCs w:val="28"/>
          <w:lang w:val="en-US" w:eastAsia="zh-CN"/>
        </w:rPr>
        <w:t>写</w:t>
      </w:r>
      <w:r>
        <w:rPr>
          <w:rFonts w:eastAsia="方正仿宋_GBK"/>
          <w:sz w:val="24"/>
          <w:szCs w:val="28"/>
        </w:rPr>
        <w:t>不完整的按无</w:t>
      </w:r>
      <w:r>
        <w:rPr>
          <w:rFonts w:hint="eastAsia" w:ascii="方正仿宋_GBK" w:hAnsi="宋体" w:eastAsia="方正仿宋_GBK"/>
          <w:sz w:val="24"/>
          <w:szCs w:val="28"/>
          <w:lang w:val="en-US" w:eastAsia="zh-CN"/>
        </w:rPr>
        <w:t>服务响应偏离表</w:t>
      </w:r>
      <w:r>
        <w:rPr>
          <w:rFonts w:eastAsia="方正仿宋_GBK"/>
          <w:sz w:val="24"/>
          <w:szCs w:val="28"/>
        </w:rPr>
        <w:t>处理</w:t>
      </w:r>
      <w:r>
        <w:rPr>
          <w:rFonts w:hint="eastAsia" w:ascii="方正仿宋_GBK" w:hAnsi="仿宋" w:eastAsia="方正仿宋_GBK"/>
          <w:sz w:val="24"/>
          <w:szCs w:val="24"/>
        </w:rPr>
        <w:t>。</w:t>
      </w:r>
    </w:p>
    <w:p>
      <w:pPr>
        <w:snapToGrid w:val="0"/>
        <w:spacing w:line="400" w:lineRule="exact"/>
        <w:ind w:firstLine="480" w:firstLineChars="200"/>
        <w:jc w:val="left"/>
        <w:rPr>
          <w:rFonts w:hint="eastAsia" w:ascii="方正仿宋_GBK" w:hAnsi="宋体" w:eastAsia="方正仿宋_GBK"/>
          <w:sz w:val="24"/>
          <w:szCs w:val="24"/>
        </w:rPr>
      </w:pPr>
      <w:r>
        <w:rPr>
          <w:rFonts w:hint="eastAsia" w:ascii="方正仿宋_GBK" w:hAnsi="仿宋" w:eastAsia="方正仿宋_GBK"/>
          <w:sz w:val="24"/>
          <w:szCs w:val="28"/>
        </w:rPr>
        <w:t>3.</w:t>
      </w:r>
      <w:r>
        <w:rPr>
          <w:rFonts w:hint="eastAsia" w:ascii="方正仿宋_GBK" w:hAnsi="仿宋" w:eastAsia="方正仿宋_GBK"/>
          <w:sz w:val="24"/>
          <w:szCs w:val="28"/>
          <w:lang w:val="en-US" w:eastAsia="zh-CN"/>
        </w:rPr>
        <w:t>响应情况</w:t>
      </w:r>
      <w:r>
        <w:rPr>
          <w:rFonts w:hint="eastAsia" w:ascii="方正仿宋_GBK" w:hAnsi="仿宋" w:eastAsia="方正仿宋_GBK"/>
          <w:sz w:val="24"/>
          <w:szCs w:val="28"/>
        </w:rPr>
        <w:t>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具体内容，且必须标注具体内容</w:t>
      </w:r>
      <w:r>
        <w:rPr>
          <w:rFonts w:hint="eastAsia" w:ascii="方正仿宋_GBK" w:hAnsi="仿宋" w:eastAsia="方正仿宋_GBK"/>
          <w:sz w:val="24"/>
          <w:szCs w:val="28"/>
        </w:rPr>
        <w:t>在</w:t>
      </w:r>
      <w:r>
        <w:rPr>
          <w:rFonts w:hint="eastAsia" w:ascii="方正仿宋_GBK" w:hAnsi="仿宋" w:eastAsia="方正仿宋_GBK"/>
          <w:sz w:val="24"/>
          <w:szCs w:val="28"/>
          <w:lang w:val="en-US" w:eastAsia="zh-CN"/>
        </w:rPr>
        <w:t>响应</w:t>
      </w:r>
      <w:r>
        <w:rPr>
          <w:rFonts w:ascii="方正仿宋_GBK" w:hAnsi="仿宋" w:eastAsia="方正仿宋_GBK"/>
          <w:sz w:val="24"/>
          <w:szCs w:val="28"/>
        </w:rPr>
        <w:t>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pPr>
        <w:tabs>
          <w:tab w:val="left" w:pos="6300"/>
        </w:tabs>
        <w:snapToGrid w:val="0"/>
        <w:spacing w:line="400" w:lineRule="exact"/>
        <w:ind w:firstLine="560" w:firstLineChars="200"/>
        <w:rPr>
          <w:rFonts w:hint="eastAsia"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pPr>
        <w:pStyle w:val="3"/>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124" w:name="_Toc76462352"/>
      <w:bookmarkStart w:id="125" w:name="_Toc313008358"/>
      <w:bookmarkStart w:id="126" w:name="_Toc313888362"/>
      <w:bookmarkStart w:id="127" w:name="_Toc106030908"/>
      <w:bookmarkStart w:id="128" w:name="_Toc342913421"/>
      <w:r>
        <w:rPr>
          <w:rFonts w:hint="eastAsia" w:ascii="方正仿宋_GBK" w:hAnsi="宋体" w:eastAsia="方正仿宋_GBK"/>
          <w:sz w:val="24"/>
        </w:rPr>
        <w:t>三、商务部分</w:t>
      </w:r>
      <w:bookmarkEnd w:id="124"/>
      <w:bookmarkEnd w:id="125"/>
      <w:bookmarkEnd w:id="126"/>
      <w:bookmarkEnd w:id="127"/>
      <w:bookmarkEnd w:id="12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（一）商务响应偏离表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项目号：                                </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 xml:space="preserve">磋商项目名称： </w:t>
      </w:r>
    </w:p>
    <w:tbl>
      <w:tblPr>
        <w:tblStyle w:val="1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hint="eastAsia"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磋商项目商务需求</w:t>
            </w: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r>
              <w:rPr>
                <w:rFonts w:hint="eastAsia" w:ascii="方正仿宋_GBK" w:hAnsi="宋体" w:eastAsia="方正仿宋_GBK"/>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3179"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434"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c>
          <w:tcPr>
            <w:tcW w:w="2355" w:type="dxa"/>
            <w:vAlign w:val="center"/>
          </w:tcPr>
          <w:p>
            <w:pPr>
              <w:tabs>
                <w:tab w:val="left" w:pos="6300"/>
              </w:tabs>
              <w:snapToGrid w:val="0"/>
              <w:spacing w:line="360" w:lineRule="auto"/>
              <w:jc w:val="center"/>
              <w:outlineLvl w:val="0"/>
              <w:rPr>
                <w:rFonts w:hint="eastAsia" w:ascii="方正仿宋_GBK" w:hAnsi="宋体" w:eastAsia="方正仿宋_GBK"/>
                <w:sz w:val="21"/>
                <w:szCs w:val="24"/>
              </w:rPr>
            </w:pPr>
          </w:p>
        </w:tc>
      </w:tr>
    </w:tbl>
    <w:p>
      <w:pPr>
        <w:snapToGrid w:val="0"/>
        <w:spacing w:line="360" w:lineRule="auto"/>
        <w:ind w:firstLine="465"/>
        <w:rPr>
          <w:rFonts w:hint="eastAsia" w:ascii="方正仿宋_GBK" w:hAnsi="宋体" w:eastAsia="方正仿宋_GBK"/>
          <w:sz w:val="24"/>
          <w:szCs w:val="24"/>
        </w:rPr>
      </w:pPr>
    </w:p>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hint="eastAsia" w:ascii="方正仿宋_GBK" w:hAnsi="仿宋" w:eastAsia="方正仿宋_GBK"/>
          <w:sz w:val="24"/>
          <w:szCs w:val="24"/>
        </w:rPr>
      </w:pPr>
      <w:r>
        <w:rPr>
          <w:rFonts w:hint="eastAsia" w:ascii="方正仿宋_GBK" w:hAnsi="宋体" w:eastAsia="方正仿宋_GBK"/>
          <w:sz w:val="24"/>
        </w:rPr>
        <w:t>2.本表可扩展</w:t>
      </w:r>
      <w:r>
        <w:rPr>
          <w:rFonts w:hint="eastAsia" w:ascii="方正仿宋_GBK" w:hAnsi="仿宋" w:eastAsia="方正仿宋_GBK"/>
          <w:sz w:val="24"/>
          <w:szCs w:val="24"/>
          <w:lang w:eastAsia="zh-CN"/>
        </w:rPr>
        <w:t>，</w:t>
      </w:r>
      <w:r>
        <w:rPr>
          <w:rFonts w:eastAsia="方正仿宋_GBK"/>
          <w:sz w:val="24"/>
          <w:szCs w:val="28"/>
        </w:rPr>
        <w:t>请</w:t>
      </w:r>
      <w:r>
        <w:rPr>
          <w:rFonts w:hint="eastAsia" w:eastAsia="方正仿宋_GBK"/>
          <w:sz w:val="24"/>
          <w:szCs w:val="28"/>
          <w:lang w:val="en-US" w:eastAsia="zh-CN"/>
        </w:rPr>
        <w:t>供应商</w:t>
      </w:r>
      <w:r>
        <w:rPr>
          <w:rFonts w:eastAsia="方正仿宋_GBK"/>
          <w:sz w:val="24"/>
          <w:szCs w:val="28"/>
        </w:rPr>
        <w:t>完整填写本表，没有填写或填</w:t>
      </w:r>
      <w:r>
        <w:rPr>
          <w:rFonts w:hint="eastAsia" w:eastAsia="方正仿宋_GBK"/>
          <w:sz w:val="24"/>
          <w:szCs w:val="28"/>
          <w:lang w:val="en-US" w:eastAsia="zh-CN"/>
        </w:rPr>
        <w:t>写</w:t>
      </w:r>
      <w:r>
        <w:rPr>
          <w:rFonts w:eastAsia="方正仿宋_GBK"/>
          <w:sz w:val="24"/>
          <w:szCs w:val="28"/>
        </w:rPr>
        <w:t>不完整的按无</w:t>
      </w:r>
      <w:r>
        <w:rPr>
          <w:rFonts w:hint="eastAsia" w:ascii="方正仿宋_GBK" w:hAnsi="宋体" w:eastAsia="方正仿宋_GBK"/>
          <w:sz w:val="24"/>
          <w:szCs w:val="28"/>
          <w:lang w:val="en-US" w:eastAsia="zh-CN"/>
        </w:rPr>
        <w:t>商务响应偏离表</w:t>
      </w:r>
      <w:r>
        <w:rPr>
          <w:rFonts w:eastAsia="方正仿宋_GBK"/>
          <w:sz w:val="24"/>
          <w:szCs w:val="28"/>
        </w:rPr>
        <w:t>处理</w:t>
      </w:r>
      <w:r>
        <w:rPr>
          <w:rFonts w:hint="eastAsia" w:ascii="方正仿宋_GBK" w:hAnsi="仿宋" w:eastAsia="方正仿宋_GBK"/>
          <w:sz w:val="24"/>
          <w:szCs w:val="24"/>
        </w:rPr>
        <w:t>。</w:t>
      </w:r>
    </w:p>
    <w:p>
      <w:pPr>
        <w:snapToGrid w:val="0"/>
        <w:spacing w:line="400" w:lineRule="exact"/>
        <w:ind w:firstLine="480" w:firstLineChars="200"/>
        <w:rPr>
          <w:rFonts w:hint="eastAsia" w:ascii="方正仿宋_GBK" w:eastAsia="方正仿宋_GBK"/>
          <w:b/>
        </w:rPr>
        <w:sectPr>
          <w:pgSz w:w="11907" w:h="16840"/>
          <w:pgMar w:top="1134" w:right="1191" w:bottom="1134" w:left="1304" w:header="851" w:footer="992" w:gutter="0"/>
          <w:pgNumType w:fmt="numberInDash"/>
          <w:cols w:space="720" w:num="1"/>
          <w:docGrid w:linePitch="380" w:charSpace="-5735"/>
        </w:sectPr>
      </w:pPr>
      <w:r>
        <w:rPr>
          <w:rFonts w:hint="eastAsia" w:ascii="方正仿宋_GBK" w:hAnsi="仿宋" w:eastAsia="方正仿宋_GBK"/>
          <w:sz w:val="24"/>
          <w:szCs w:val="28"/>
        </w:rPr>
        <w:t>3.</w:t>
      </w:r>
      <w:r>
        <w:rPr>
          <w:rFonts w:hint="eastAsia" w:ascii="方正仿宋_GBK" w:hAnsi="仿宋" w:eastAsia="方正仿宋_GBK"/>
          <w:sz w:val="24"/>
          <w:szCs w:val="28"/>
          <w:lang w:val="en-US" w:eastAsia="zh-CN"/>
        </w:rPr>
        <w:t>响应情况</w:t>
      </w:r>
      <w:r>
        <w:rPr>
          <w:rFonts w:hint="eastAsia" w:ascii="方正仿宋_GBK" w:hAnsi="仿宋" w:eastAsia="方正仿宋_GBK"/>
          <w:sz w:val="24"/>
          <w:szCs w:val="28"/>
        </w:rPr>
        <w:t>栏</w:t>
      </w:r>
      <w:r>
        <w:rPr>
          <w:rFonts w:ascii="方正仿宋_GBK" w:hAnsi="仿宋" w:eastAsia="方正仿宋_GBK"/>
          <w:sz w:val="24"/>
          <w:szCs w:val="28"/>
        </w:rPr>
        <w:t>中</w:t>
      </w:r>
      <w:r>
        <w:rPr>
          <w:rFonts w:hint="eastAsia" w:ascii="方正仿宋_GBK" w:hAnsi="仿宋" w:eastAsia="方正仿宋_GBK"/>
          <w:sz w:val="24"/>
          <w:szCs w:val="28"/>
        </w:rPr>
        <w:t>应当注明</w:t>
      </w:r>
      <w:r>
        <w:rPr>
          <w:rFonts w:ascii="方正仿宋_GBK" w:hAnsi="仿宋" w:eastAsia="方正仿宋_GBK"/>
          <w:sz w:val="24"/>
          <w:szCs w:val="28"/>
        </w:rPr>
        <w:t>具体内容，且必须标注具体内容</w:t>
      </w:r>
      <w:r>
        <w:rPr>
          <w:rFonts w:hint="eastAsia" w:ascii="方正仿宋_GBK" w:hAnsi="仿宋" w:eastAsia="方正仿宋_GBK"/>
          <w:sz w:val="24"/>
          <w:szCs w:val="28"/>
        </w:rPr>
        <w:t>在</w:t>
      </w:r>
      <w:r>
        <w:rPr>
          <w:rFonts w:hint="eastAsia" w:ascii="方正仿宋_GBK" w:hAnsi="仿宋" w:eastAsia="方正仿宋_GBK"/>
          <w:sz w:val="24"/>
          <w:szCs w:val="28"/>
          <w:lang w:val="en-US" w:eastAsia="zh-CN"/>
        </w:rPr>
        <w:t>响应</w:t>
      </w:r>
      <w:r>
        <w:rPr>
          <w:rFonts w:ascii="方正仿宋_GBK" w:hAnsi="仿宋" w:eastAsia="方正仿宋_GBK"/>
          <w:sz w:val="24"/>
          <w:szCs w:val="28"/>
        </w:rPr>
        <w:t>文件中的位置（</w:t>
      </w:r>
      <w:r>
        <w:rPr>
          <w:rFonts w:hint="eastAsia" w:ascii="方正仿宋_GBK" w:hAnsi="仿宋" w:eastAsia="方正仿宋_GBK"/>
          <w:sz w:val="24"/>
          <w:szCs w:val="28"/>
        </w:rPr>
        <w:t>页码</w:t>
      </w:r>
      <w:r>
        <w:rPr>
          <w:rFonts w:ascii="方正仿宋_GBK" w:hAnsi="仿宋" w:eastAsia="方正仿宋_GBK"/>
          <w:sz w:val="24"/>
          <w:szCs w:val="28"/>
        </w:rPr>
        <w:t>）</w:t>
      </w:r>
      <w:r>
        <w:rPr>
          <w:rFonts w:hint="eastAsia" w:ascii="方正仿宋_GBK" w:hAnsi="仿宋" w:eastAsia="方正仿宋_GBK"/>
          <w:sz w:val="24"/>
          <w:szCs w:val="28"/>
        </w:rPr>
        <w:t>。</w:t>
      </w:r>
    </w:p>
    <w:p>
      <w:pPr>
        <w:snapToGrid w:val="0"/>
        <w:spacing w:line="400" w:lineRule="exact"/>
        <w:ind w:firstLine="480" w:firstLineChars="200"/>
        <w:rPr>
          <w:rFonts w:hint="eastAsia" w:ascii="方正仿宋_GBK" w:hAnsi="宋体" w:eastAsia="方正仿宋_GBK" w:cs="Times New Roman"/>
          <w:kern w:val="2"/>
          <w:sz w:val="24"/>
          <w:szCs w:val="24"/>
          <w:lang w:val="en-US" w:eastAsia="zh-CN" w:bidi="ar-SA"/>
        </w:rPr>
      </w:pPr>
      <w:bookmarkStart w:id="129" w:name="_Toc283382459"/>
      <w:r>
        <w:rPr>
          <w:rFonts w:hint="eastAsia" w:ascii="方正仿宋_GBK" w:hAnsi="宋体" w:eastAsia="方正仿宋_GBK"/>
          <w:sz w:val="24"/>
          <w:szCs w:val="24"/>
        </w:rPr>
        <w:t>（二）</w:t>
      </w:r>
      <w:r>
        <w:rPr>
          <w:rFonts w:hint="eastAsia" w:ascii="方正仿宋_GBK" w:hAnsi="宋体" w:eastAsia="方正仿宋_GBK" w:cs="Times New Roman"/>
          <w:kern w:val="2"/>
          <w:sz w:val="24"/>
          <w:szCs w:val="24"/>
          <w:lang w:val="en-US" w:eastAsia="zh-CN" w:bidi="ar-SA"/>
        </w:rPr>
        <w:t>成本测算方案</w:t>
      </w:r>
    </w:p>
    <w:p>
      <w:pPr>
        <w:pStyle w:val="2"/>
        <w:ind w:firstLine="480" w:firstLineChars="200"/>
        <w:rPr>
          <w:rFonts w:hint="default"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（三）企业实力</w:t>
      </w:r>
    </w:p>
    <w:p>
      <w:pPr>
        <w:pStyle w:val="2"/>
        <w:ind w:firstLine="480" w:firstLineChars="200"/>
        <w:rPr>
          <w:rFonts w:hint="eastAsia" w:ascii="方正仿宋_GBK" w:hAnsi="宋体" w:eastAsia="方正仿宋_GBK" w:cs="Times New Roman"/>
          <w:kern w:val="2"/>
          <w:sz w:val="24"/>
          <w:szCs w:val="24"/>
          <w:lang w:val="en-US" w:eastAsia="zh-CN" w:bidi="ar-SA"/>
        </w:rPr>
      </w:pPr>
      <w:r>
        <w:rPr>
          <w:rFonts w:hint="eastAsia" w:ascii="方正仿宋_GBK" w:hAnsi="宋体" w:eastAsia="方正仿宋_GBK" w:cs="Times New Roman"/>
          <w:kern w:val="2"/>
          <w:sz w:val="24"/>
          <w:szCs w:val="24"/>
          <w:lang w:val="en-US" w:eastAsia="zh-CN" w:bidi="ar-SA"/>
        </w:rPr>
        <w:t>（四）人员配备</w:t>
      </w:r>
    </w:p>
    <w:p>
      <w:pPr>
        <w:pStyle w:val="3"/>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hAnsi="宋体" w:eastAsia="方正仿宋_GBK" w:cs="Times New Roman"/>
          <w:b w:val="0"/>
          <w:kern w:val="2"/>
          <w:sz w:val="24"/>
          <w:szCs w:val="24"/>
          <w:lang w:val="en-US" w:eastAsia="zh-CN" w:bidi="ar-SA"/>
        </w:rPr>
        <w:t>（五）业绩</w:t>
      </w:r>
      <w:r>
        <w:rPr>
          <w:rFonts w:hint="eastAsia" w:ascii="方正仿宋_GBK" w:hAnsi="宋体" w:eastAsia="方正仿宋_GBK" w:cs="Times New Roman"/>
          <w:kern w:val="2"/>
          <w:sz w:val="24"/>
          <w:szCs w:val="24"/>
          <w:lang w:val="en-US" w:eastAsia="zh-CN" w:bidi="ar-SA"/>
        </w:rPr>
        <w:br w:type="page"/>
      </w:r>
      <w:bookmarkEnd w:id="129"/>
      <w:bookmarkStart w:id="130" w:name="_Toc313008359"/>
      <w:bookmarkStart w:id="131" w:name="_Toc313888363"/>
      <w:bookmarkStart w:id="132" w:name="_Toc76462353"/>
      <w:bookmarkStart w:id="133" w:name="_Toc106030909"/>
      <w:bookmarkStart w:id="134" w:name="_Toc342913422"/>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rPr>
        <w:t>四、资格条件</w:t>
      </w:r>
      <w:bookmarkEnd w:id="130"/>
      <w:bookmarkEnd w:id="131"/>
      <w:bookmarkEnd w:id="132"/>
      <w:bookmarkEnd w:id="133"/>
      <w:bookmarkEnd w:id="134"/>
    </w:p>
    <w:p>
      <w:pPr>
        <w:tabs>
          <w:tab w:val="left" w:pos="6300"/>
        </w:tabs>
        <w:snapToGrid w:val="0"/>
        <w:spacing w:line="400" w:lineRule="exact"/>
        <w:ind w:firstLine="57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4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磋商项目名称：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snapToGrid w:val="0"/>
        <w:spacing w:line="400" w:lineRule="exact"/>
        <w:ind w:firstLine="560" w:firstLineChars="200"/>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磋商项目名称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tabs>
          <w:tab w:val="left" w:pos="6300"/>
        </w:tabs>
        <w:snapToGrid w:val="0"/>
        <w:spacing w:line="500" w:lineRule="exact"/>
        <w:ind w:firstLine="570"/>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tabs>
          <w:tab w:val="left" w:pos="6300"/>
        </w:tabs>
        <w:snapToGrid w:val="0"/>
        <w:spacing w:line="500" w:lineRule="exact"/>
        <w:ind w:firstLine="7920" w:firstLineChars="3300"/>
        <w:rPr>
          <w:rFonts w:hint="eastAsia" w:ascii="方正仿宋_GBK" w:hAnsi="宋体" w:eastAsia="方正仿宋_GBK"/>
          <w:sz w:val="24"/>
          <w:szCs w:val="24"/>
        </w:rPr>
      </w:pPr>
      <w:r>
        <w:rPr>
          <w:rFonts w:hint="eastAsia" w:ascii="方正仿宋_GBK" w:hAnsi="仿宋" w:eastAsia="方正仿宋_GBK"/>
          <w:sz w:val="24"/>
        </w:rPr>
        <w:t>年   月   日</w:t>
      </w:r>
    </w:p>
    <w:p>
      <w:pPr>
        <w:snapToGrid w:val="0"/>
        <w:spacing w:line="400" w:lineRule="exact"/>
        <w:ind w:firstLine="560" w:firstLineChars="200"/>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（五）落实政府采购政策需满足的资格要求</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val="en-US" w:eastAsia="zh-CN"/>
        </w:rPr>
        <w:t>本项目</w:t>
      </w:r>
      <w:r>
        <w:rPr>
          <w:rFonts w:hint="eastAsia" w:ascii="方正仿宋_GBK" w:hAnsi="宋体" w:eastAsia="方正仿宋_GBK"/>
          <w:sz w:val="24"/>
          <w:szCs w:val="24"/>
        </w:rPr>
        <w:t>专门面向中小企业采购</w:t>
      </w:r>
      <w:r>
        <w:rPr>
          <w:rFonts w:hint="eastAsia" w:ascii="方正仿宋_GBK" w:hAnsi="宋体" w:eastAsia="方正仿宋_GBK"/>
          <w:sz w:val="24"/>
          <w:szCs w:val="24"/>
          <w:lang w:eastAsia="zh-CN"/>
        </w:rPr>
        <w:t>。</w:t>
      </w:r>
    </w:p>
    <w:p>
      <w:pPr>
        <w:tabs>
          <w:tab w:val="left" w:pos="6300"/>
        </w:tabs>
        <w:snapToGrid w:val="0"/>
        <w:spacing w:line="500" w:lineRule="exact"/>
        <w:ind w:firstLine="560" w:firstLineChars="200"/>
        <w:jc w:val="center"/>
        <w:rPr>
          <w:rFonts w:hint="eastAsia" w:ascii="方正仿宋_GBK" w:hAnsi="宋体" w:eastAsia="方正仿宋_GBK"/>
        </w:rPr>
      </w:pPr>
      <w:r>
        <w:rPr>
          <w:rFonts w:hint="eastAsia" w:ascii="方正仿宋_GBK" w:hAnsi="宋体" w:eastAsia="方正仿宋_GBK"/>
        </w:rPr>
        <w:t>中小企业声明函</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right="784" w:firstLine="6120" w:firstLineChars="2550"/>
        <w:rPr>
          <w:rFonts w:hint="eastAsia" w:ascii="方正仿宋_GBK" w:hAnsi="仿宋" w:eastAsia="方正仿宋_GBK"/>
          <w:sz w:val="24"/>
        </w:rPr>
      </w:pPr>
      <w:r>
        <w:rPr>
          <w:rFonts w:hint="eastAsia" w:ascii="方正仿宋_GBK" w:hAnsi="仿宋" w:eastAsia="方正仿宋_GBK"/>
          <w:sz w:val="24"/>
          <w:szCs w:val="28"/>
        </w:rPr>
        <w:t>日期：</w:t>
      </w:r>
    </w:p>
    <w:p>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pPr>
        <w:snapToGrid w:val="0"/>
        <w:spacing w:line="44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日  期：</w:t>
      </w: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p>
    <w:p>
      <w:pPr>
        <w:snapToGrid w:val="0"/>
        <w:spacing w:line="440" w:lineRule="exact"/>
        <w:ind w:firstLine="480" w:firstLineChars="200"/>
        <w:rPr>
          <w:rFonts w:hint="eastAsia"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pPr>
        <w:snapToGrid w:val="0"/>
        <w:spacing w:line="440" w:lineRule="exact"/>
        <w:ind w:firstLine="480" w:firstLineChars="200"/>
        <w:rPr>
          <w:rFonts w:hint="eastAsia" w:ascii="方正仿宋_GBK" w:hAnsi="仿宋" w:eastAsia="方正仿宋_GBK"/>
          <w:sz w:val="24"/>
        </w:rPr>
      </w:pPr>
    </w:p>
    <w:p>
      <w:pPr>
        <w:snapToGrid w:val="0"/>
        <w:spacing w:line="400" w:lineRule="exact"/>
        <w:ind w:firstLine="480" w:firstLineChars="200"/>
        <w:rPr>
          <w:rFonts w:hint="eastAsia" w:ascii="方正仿宋_GBK" w:hAnsi="宋体" w:eastAsia="方正仿宋_GBK"/>
          <w:sz w:val="24"/>
          <w:szCs w:val="24"/>
        </w:rPr>
      </w:pPr>
      <w:r>
        <w:rPr>
          <w:rFonts w:ascii="方正仿宋_GBK" w:hAnsi="宋体" w:eastAsia="方正仿宋_GBK"/>
          <w:sz w:val="24"/>
          <w:szCs w:val="24"/>
        </w:rPr>
        <w:br w:type="page"/>
      </w:r>
      <w:r>
        <w:rPr>
          <w:rFonts w:hint="eastAsia" w:ascii="方正仿宋_GBK" w:hAnsi="宋体" w:eastAsia="方正仿宋_GBK"/>
          <w:sz w:val="24"/>
          <w:szCs w:val="24"/>
        </w:rPr>
        <w:t>（二）其他与项目有关的资料</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其他与项目有关的资料（</w:t>
      </w:r>
      <w:r>
        <w:rPr>
          <w:rFonts w:hint="eastAsia" w:ascii="方正仿宋_GBK" w:hAnsi="宋体" w:eastAsia="方正仿宋_GBK"/>
          <w:sz w:val="24"/>
          <w:szCs w:val="24"/>
          <w:lang w:val="en-US" w:eastAsia="zh-CN"/>
        </w:rPr>
        <w:t>如有，</w:t>
      </w:r>
      <w:r>
        <w:rPr>
          <w:rFonts w:hint="eastAsia" w:ascii="方正仿宋_GBK" w:hAnsi="宋体" w:eastAsia="方正仿宋_GBK"/>
          <w:sz w:val="24"/>
          <w:szCs w:val="24"/>
        </w:rPr>
        <w:t>自附）：供应商总体情况介绍、其他与本项目有关的资料等。</w:t>
      </w:r>
    </w:p>
    <w:p>
      <w:pPr>
        <w:spacing w:line="360" w:lineRule="auto"/>
        <w:ind w:firstLine="480" w:firstLineChars="200"/>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（六）</w:t>
      </w:r>
      <w:r>
        <w:rPr>
          <w:rFonts w:hint="eastAsia" w:ascii="方正仿宋_GBK" w:hAnsi="宋体" w:eastAsia="方正仿宋_GBK"/>
          <w:sz w:val="24"/>
          <w:szCs w:val="24"/>
        </w:rPr>
        <w:t>特定资格条件证明文件</w:t>
      </w:r>
    </w:p>
    <w:p>
      <w:pPr>
        <w:tabs>
          <w:tab w:val="left" w:pos="6300"/>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已按规定缴纳保证金的证明材料。</w:t>
      </w:r>
    </w:p>
    <w:p>
      <w:pPr>
        <w:pStyle w:val="3"/>
        <w:adjustRightInd w:val="0"/>
        <w:snapToGrid w:val="0"/>
        <w:spacing w:before="0" w:after="0" w:line="400" w:lineRule="exact"/>
        <w:ind w:firstLine="560" w:firstLineChars="200"/>
        <w:rPr>
          <w:rFonts w:hint="eastAsia" w:ascii="方正仿宋_GBK" w:hAnsi="宋体" w:eastAsia="方正仿宋_GBK"/>
          <w:sz w:val="24"/>
        </w:rPr>
      </w:pPr>
      <w:bookmarkStart w:id="135" w:name="_Toc14422"/>
      <w:r>
        <w:rPr>
          <w:rFonts w:ascii="方正仿宋_GBK" w:hAnsi="宋体" w:eastAsia="方正仿宋_GBK"/>
          <w:b w:val="0"/>
          <w:sz w:val="28"/>
        </w:rPr>
        <w:br w:type="page"/>
      </w:r>
      <w:bookmarkStart w:id="136" w:name="_Toc106030910"/>
      <w:bookmarkStart w:id="137" w:name="_Toc76462354"/>
      <w:r>
        <w:rPr>
          <w:rFonts w:hint="eastAsia" w:ascii="方正仿宋_GBK" w:hAnsi="宋体" w:eastAsia="方正仿宋_GBK"/>
          <w:sz w:val="24"/>
        </w:rPr>
        <w:t>五、其他资料</w:t>
      </w:r>
      <w:bookmarkEnd w:id="135"/>
      <w:bookmarkEnd w:id="136"/>
      <w:bookmarkEnd w:id="137"/>
      <w:r>
        <w:rPr>
          <w:rFonts w:hint="eastAsia" w:ascii="方正仿宋_GBK" w:hAnsi="宋体" w:eastAsia="方正仿宋_GBK"/>
          <w:b w:val="0"/>
          <w:bCs/>
          <w:sz w:val="24"/>
          <w:lang w:eastAsia="zh-CN"/>
        </w:rPr>
        <w:t>（</w:t>
      </w:r>
      <w:r>
        <w:rPr>
          <w:rFonts w:hint="eastAsia" w:ascii="方正仿宋_GBK" w:hAnsi="宋体" w:eastAsia="方正仿宋_GBK"/>
          <w:b w:val="0"/>
          <w:bCs/>
          <w:sz w:val="24"/>
          <w:lang w:val="en-US" w:eastAsia="zh-CN"/>
        </w:rPr>
        <w:t>如有，格式自拟</w:t>
      </w:r>
      <w:r>
        <w:rPr>
          <w:rFonts w:hint="eastAsia" w:ascii="方正仿宋_GBK" w:hAnsi="宋体" w:eastAsia="方正仿宋_GBK"/>
          <w:b w:val="0"/>
          <w:bCs/>
          <w:sz w:val="24"/>
          <w:lang w:eastAsia="zh-CN"/>
        </w:rPr>
        <w:t>）</w:t>
      </w: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pacing w:line="360" w:lineRule="auto"/>
        <w:ind w:firstLine="482" w:firstLineChars="200"/>
        <w:jc w:val="left"/>
        <w:rPr>
          <w:rFonts w:hint="eastAsia" w:ascii="方正仿宋_GBK" w:hAnsi="宋体" w:eastAsia="方正仿宋_GBK" w:cs="Times New Roman"/>
          <w:b/>
          <w:bCs w:val="0"/>
          <w:kern w:val="2"/>
          <w:sz w:val="24"/>
          <w:szCs w:val="22"/>
          <w:lang w:val="en-US" w:eastAsia="zh-CN" w:bidi="ar-SA"/>
        </w:rPr>
      </w:pPr>
      <w:r>
        <w:rPr>
          <w:rFonts w:hint="eastAsia" w:ascii="方正仿宋_GBK" w:hAnsi="宋体" w:eastAsia="方正仿宋_GBK" w:cs="Times New Roman"/>
          <w:b/>
          <w:bCs w:val="0"/>
          <w:kern w:val="2"/>
          <w:sz w:val="24"/>
          <w:szCs w:val="22"/>
          <w:lang w:val="en-US" w:eastAsia="zh-CN" w:bidi="ar-SA"/>
        </w:rPr>
        <w:t>六、实施方案（单独封装）</w:t>
      </w:r>
    </w:p>
    <w:p>
      <w:pPr>
        <w:pStyle w:val="2"/>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“秩序维护方案”“保洁服务方案”“食堂服务方案”“质量管理考核方案”</w:t>
      </w:r>
    </w:p>
    <w:p>
      <w:pPr>
        <w:pStyle w:val="2"/>
        <w:ind w:firstLine="480" w:firstLineChars="200"/>
        <w:rPr>
          <w:rFonts w:hint="eastAsia"/>
          <w:lang w:val="en-US" w:eastAsia="zh-CN"/>
        </w:rPr>
      </w:pPr>
      <w:r>
        <w:rPr>
          <w:rFonts w:hint="eastAsia" w:ascii="方正仿宋_GBK" w:hAnsi="宋体" w:eastAsia="方正仿宋_GBK"/>
          <w:sz w:val="24"/>
          <w:szCs w:val="24"/>
          <w:lang w:val="en-US" w:eastAsia="zh-CN"/>
        </w:rPr>
        <w:t>“拟投入装备”“应急处置方案”</w:t>
      </w: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rPr>
          <w:rFonts w:hint="eastAsia" w:ascii="方正仿宋_GBK" w:hAnsi="宋体" w:eastAsia="方正仿宋_GBK"/>
          <w:sz w:val="24"/>
          <w:szCs w:val="24"/>
        </w:rPr>
      </w:pPr>
    </w:p>
    <w:p>
      <w:pPr>
        <w:pStyle w:val="2"/>
        <w:rPr>
          <w:rFonts w:hint="eastAsia"/>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pStyle w:val="5"/>
        <w:spacing w:line="1200" w:lineRule="exact"/>
        <w:ind w:left="0"/>
        <w:jc w:val="center"/>
        <w:rPr>
          <w:rFonts w:eastAsia="仿宋"/>
          <w:sz w:val="84"/>
          <w:szCs w:val="84"/>
          <w:shd w:val="clear" w:color="auto" w:fill="FFFFFF"/>
        </w:rPr>
      </w:pPr>
      <w:r>
        <w:rPr>
          <w:rFonts w:eastAsia="仿宋"/>
          <w:sz w:val="84"/>
          <w:szCs w:val="84"/>
          <w:shd w:val="clear" w:color="auto" w:fill="FFFFFF"/>
        </w:rPr>
        <w:t>实 施 方 案</w:t>
      </w:r>
    </w:p>
    <w:p>
      <w:pPr>
        <w:pStyle w:val="5"/>
        <w:ind w:left="560"/>
        <w:rPr>
          <w:rFonts w:eastAsia="黑体"/>
          <w:sz w:val="36"/>
          <w:szCs w:val="36"/>
          <w:shd w:val="clear" w:color="auto" w:fill="FFFFFF"/>
        </w:rPr>
      </w:pPr>
    </w:p>
    <w:p>
      <w:pPr>
        <w:pStyle w:val="5"/>
        <w:ind w:left="560"/>
        <w:rPr>
          <w:rFonts w:eastAsia="黑体"/>
          <w:sz w:val="36"/>
          <w:szCs w:val="36"/>
          <w:shd w:val="clear" w:color="auto" w:fill="FFFFFF"/>
        </w:rPr>
      </w:pPr>
    </w:p>
    <w:p>
      <w:pPr>
        <w:pStyle w:val="5"/>
        <w:ind w:left="560"/>
        <w:rPr>
          <w:rFonts w:eastAsia="黑体"/>
          <w:sz w:val="36"/>
          <w:szCs w:val="36"/>
          <w:shd w:val="clear" w:color="auto" w:fill="FFFFFF"/>
        </w:rPr>
      </w:pPr>
    </w:p>
    <w:p>
      <w:pPr>
        <w:topLinePunct/>
        <w:autoSpaceDN w:val="0"/>
        <w:adjustRightInd w:val="0"/>
        <w:snapToGrid w:val="0"/>
        <w:spacing w:line="500" w:lineRule="exact"/>
        <w:jc w:val="left"/>
        <w:rPr>
          <w:rFonts w:eastAsia="仿宋"/>
          <w:sz w:val="32"/>
          <w:szCs w:val="32"/>
          <w:shd w:val="clear" w:color="auto" w:fill="FFFFFF"/>
        </w:rPr>
      </w:pPr>
    </w:p>
    <w:p>
      <w:pPr>
        <w:topLinePunct/>
        <w:autoSpaceDN w:val="0"/>
        <w:adjustRightInd w:val="0"/>
        <w:snapToGrid w:val="0"/>
        <w:spacing w:line="500" w:lineRule="exact"/>
        <w:jc w:val="left"/>
        <w:rPr>
          <w:rFonts w:eastAsia="仿宋"/>
          <w:sz w:val="32"/>
          <w:szCs w:val="32"/>
          <w:shd w:val="clear" w:color="auto" w:fill="FFFFFF"/>
        </w:rPr>
      </w:pPr>
      <w:r>
        <w:rPr>
          <w:rFonts w:eastAsia="仿宋"/>
          <w:sz w:val="32"/>
          <w:szCs w:val="32"/>
          <w:shd w:val="clear" w:color="auto" w:fill="FFFFFF"/>
        </w:rPr>
        <w:t>项</w:t>
      </w:r>
      <w:r>
        <w:rPr>
          <w:rFonts w:hint="eastAsia" w:eastAsia="仿宋"/>
          <w:sz w:val="32"/>
          <w:szCs w:val="32"/>
          <w:shd w:val="clear" w:color="auto" w:fill="FFFFFF"/>
          <w:lang w:val="en-US" w:eastAsia="zh-CN"/>
        </w:rPr>
        <w:t xml:space="preserve">   </w:t>
      </w:r>
      <w:r>
        <w:rPr>
          <w:rFonts w:eastAsia="仿宋"/>
          <w:sz w:val="32"/>
          <w:szCs w:val="32"/>
          <w:shd w:val="clear" w:color="auto" w:fill="FFFFFF"/>
        </w:rPr>
        <w:t>目</w:t>
      </w:r>
      <w:r>
        <w:rPr>
          <w:rFonts w:hint="eastAsia" w:eastAsia="仿宋"/>
          <w:sz w:val="32"/>
          <w:szCs w:val="32"/>
          <w:shd w:val="clear" w:color="auto" w:fill="FFFFFF"/>
          <w:lang w:val="en-US" w:eastAsia="zh-CN"/>
        </w:rPr>
        <w:t xml:space="preserve">   </w:t>
      </w:r>
      <w:r>
        <w:rPr>
          <w:rFonts w:eastAsia="仿宋"/>
          <w:sz w:val="32"/>
          <w:szCs w:val="32"/>
          <w:shd w:val="clear" w:color="auto" w:fill="FFFFFF"/>
        </w:rPr>
        <w:t>号：</w:t>
      </w:r>
    </w:p>
    <w:p>
      <w:pPr>
        <w:topLinePunct/>
        <w:autoSpaceDN w:val="0"/>
        <w:adjustRightInd w:val="0"/>
        <w:snapToGrid w:val="0"/>
        <w:spacing w:line="500" w:lineRule="exact"/>
        <w:jc w:val="left"/>
        <w:rPr>
          <w:rFonts w:ascii="Times New Roman" w:hAnsi="Times New Roman" w:eastAsia="仿宋" w:cs="Times New Roman"/>
          <w:sz w:val="32"/>
          <w:szCs w:val="32"/>
          <w:shd w:val="clear" w:color="auto" w:fill="FFFFFF"/>
        </w:rPr>
      </w:pPr>
      <w:r>
        <w:rPr>
          <w:rFonts w:hint="eastAsia" w:ascii="Times New Roman" w:hAnsi="Times New Roman" w:eastAsia="仿宋" w:cs="Times New Roman"/>
          <w:sz w:val="32"/>
          <w:szCs w:val="32"/>
          <w:shd w:val="clear" w:color="auto" w:fill="FFFFFF"/>
        </w:rPr>
        <w:t>采购执行编号</w:t>
      </w:r>
      <w:r>
        <w:rPr>
          <w:rFonts w:ascii="Times New Roman" w:hAnsi="Times New Roman" w:eastAsia="仿宋" w:cs="Times New Roman"/>
          <w:sz w:val="32"/>
          <w:szCs w:val="32"/>
          <w:shd w:val="clear" w:color="auto" w:fill="FFFFFF"/>
        </w:rPr>
        <w:t>：</w:t>
      </w:r>
    </w:p>
    <w:p>
      <w:pPr>
        <w:topLinePunct/>
        <w:autoSpaceDN w:val="0"/>
        <w:adjustRightInd w:val="0"/>
        <w:snapToGrid w:val="0"/>
        <w:spacing w:line="500" w:lineRule="exact"/>
        <w:jc w:val="left"/>
        <w:rPr>
          <w:rFonts w:eastAsia="仿宋"/>
          <w:sz w:val="32"/>
          <w:szCs w:val="32"/>
          <w:shd w:val="clear" w:color="auto" w:fill="FFFFFF"/>
        </w:rPr>
      </w:pPr>
      <w:r>
        <w:rPr>
          <w:rFonts w:hint="eastAsia" w:eastAsia="仿宋"/>
          <w:sz w:val="32"/>
          <w:szCs w:val="32"/>
          <w:shd w:val="clear" w:color="auto" w:fill="FFFFFF"/>
          <w:lang w:eastAsia="zh-CN"/>
        </w:rPr>
        <w:t>招标</w:t>
      </w:r>
      <w:r>
        <w:rPr>
          <w:rFonts w:eastAsia="仿宋"/>
          <w:sz w:val="32"/>
          <w:szCs w:val="32"/>
          <w:shd w:val="clear" w:color="auto" w:fill="FFFFFF"/>
        </w:rPr>
        <w:t>项目名称：</w:t>
      </w:r>
    </w:p>
    <w:p>
      <w:pPr>
        <w:ind w:firstLine="360" w:firstLineChars="100"/>
        <w:rPr>
          <w:rFonts w:hint="eastAsia" w:eastAsia="仿宋"/>
          <w:sz w:val="36"/>
          <w:shd w:val="clear" w:color="auto" w:fill="FFFFFF"/>
        </w:rPr>
      </w:pPr>
    </w:p>
    <w:p>
      <w:pPr>
        <w:ind w:firstLine="320" w:firstLineChars="100"/>
        <w:rPr>
          <w:rFonts w:eastAsia="仿宋"/>
          <w:sz w:val="36"/>
          <w:shd w:val="clear" w:color="auto" w:fill="FFFFFF"/>
        </w:rPr>
      </w:pPr>
      <w:r>
        <w:rPr>
          <w:rFonts w:eastAsia="仿宋"/>
          <w:sz w:val="32"/>
          <w:szCs w:val="32"/>
          <w:shd w:val="clear" w:color="auto" w:fill="FFFFFF"/>
        </w:rP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-3318510</wp:posOffset>
                </wp:positionV>
                <wp:extent cx="228600" cy="198120"/>
                <wp:effectExtent l="4445" t="4445" r="14605" b="6985"/>
                <wp:wrapNone/>
                <wp:docPr id="1" name="椭圆 1"/>
                <wp:cNvGraphicFramePr/>
                <a:graphic xmlns:a="http://schemas.openxmlformats.org/drawingml/2006/main">
                  <a:graphicData uri="http://schemas.microsoft.com/office/word/2010/wordprocessingShape">
                    <wps:wsp>
                      <wps:cNvSpPr/>
                      <wps:spPr>
                        <a:xfrm>
                          <a:off x="0" y="0"/>
                          <a:ext cx="228600" cy="198120"/>
                        </a:xfrm>
                        <a:prstGeom prst="ellipse">
                          <a:avLst/>
                        </a:prstGeom>
                        <a:solidFill>
                          <a:srgbClr val="FFFFFF"/>
                        </a:solidFill>
                        <a:ln w="9525" cap="flat" cmpd="sng">
                          <a:solidFill>
                            <a:srgbClr val="FFFFFF"/>
                          </a:solidFill>
                          <a:prstDash val="solid"/>
                          <a:headEnd type="none" w="med" len="med"/>
                          <a:tailEnd type="none" w="med" len="med"/>
                        </a:ln>
                      </wps:spPr>
                      <wps:txbx>
                        <w:txbxContent>
                          <w:p>
                            <w:pPr/>
                          </w:p>
                        </w:txbxContent>
                      </wps:txbx>
                      <wps:bodyPr upright="1"/>
                    </wps:wsp>
                  </a:graphicData>
                </a:graphic>
              </wp:anchor>
            </w:drawing>
          </mc:Choice>
          <mc:Fallback>
            <w:pict>
              <v:shape id="_x0000_s1026" o:spid="_x0000_s1026" o:spt="3" type="#_x0000_t3" style="position:absolute;left:0pt;margin-left:-63pt;margin-top:-261.3pt;height:15.6pt;width:18pt;z-index:251667456;mso-width-relative:page;mso-height-relative:page;" fillcolor="#FFFFFF" filled="t" stroked="t" coordsize="21600,21600" o:gfxdata="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P6PH3gAA&#10;AA4BAAAPAAAAAAAAAAEAIAAAACIAAABkcnMvZG93bnJldi54bWxQSwECFAAUAAAACACHTuJAeqNe&#10;j98BAADTAwAADgAAAAAAAAABACAAAAAtAQAAZHJzL2Uyb0RvYy54bWxQSwUGAAAAAAYABgBZAQAA&#10;fgUAAAAA&#10;">
                <v:fill on="t" focussize="0,0"/>
                <v:stroke color="#FFFFFF" joinstyle="round"/>
                <v:imagedata o:title=""/>
                <o:lock v:ext="edit" aspectratio="f"/>
                <v:textbox>
                  <w:txbxContent>
                    <w:p>
                      <w:pPr/>
                    </w:p>
                  </w:txbxContent>
                </v:textbox>
              </v:shape>
            </w:pict>
          </mc:Fallback>
        </mc:AlternateContent>
      </w:r>
      <w:r>
        <w:rPr>
          <w:rFonts w:eastAsia="仿宋"/>
          <w:sz w:val="32"/>
          <w:szCs w:val="32"/>
          <w:shd w:val="clear" w:color="auto" w:fill="FFFFFF"/>
        </w:rPr>
        <mc:AlternateContent>
          <mc:Choice Requires="wps">
            <w:drawing>
              <wp:anchor distT="0" distB="0" distL="114300" distR="114300" simplePos="0" relativeHeight="251666432" behindDoc="0" locked="0" layoutInCell="1" allowOverlap="1">
                <wp:simplePos x="0" y="0"/>
                <wp:positionH relativeFrom="column">
                  <wp:posOffset>5029200</wp:posOffset>
                </wp:positionH>
                <wp:positionV relativeFrom="paragraph">
                  <wp:posOffset>332740</wp:posOffset>
                </wp:positionV>
                <wp:extent cx="914400" cy="914400"/>
                <wp:effectExtent l="4445" t="4445" r="14605" b="14605"/>
                <wp:wrapNone/>
                <wp:docPr id="9" name="椭圆 9"/>
                <wp:cNvGraphicFramePr/>
                <a:graphic xmlns:a="http://schemas.openxmlformats.org/drawingml/2006/main">
                  <a:graphicData uri="http://schemas.microsoft.com/office/word/2010/wordprocessingShape">
                    <wps:wsp>
                      <wps:cNvSpPr/>
                      <wps:spPr>
                        <a:xfrm>
                          <a:off x="0" y="0"/>
                          <a:ext cx="914400" cy="914400"/>
                        </a:xfrm>
                        <a:prstGeom prst="ellipse">
                          <a:avLst/>
                        </a:prstGeom>
                        <a:solidFill>
                          <a:srgbClr val="FFFFFF"/>
                        </a:solidFill>
                        <a:ln w="9525" cap="flat" cmpd="sng">
                          <a:solidFill>
                            <a:srgbClr val="FFFFFF"/>
                          </a:solidFill>
                          <a:prstDash val="solid"/>
                          <a:headEnd type="none" w="med" len="med"/>
                          <a:tailEnd type="none" w="med" len="med"/>
                        </a:ln>
                      </wps:spPr>
                      <wps:txbx>
                        <w:txbxContent>
                          <w:p>
                            <w:pPr/>
                          </w:p>
                        </w:txbxContent>
                      </wps:txbx>
                      <wps:bodyPr upright="1"/>
                    </wps:wsp>
                  </a:graphicData>
                </a:graphic>
              </wp:anchor>
            </w:drawing>
          </mc:Choice>
          <mc:Fallback>
            <w:pict>
              <v:shape id="_x0000_s1026" o:spid="_x0000_s1026" o:spt="3" type="#_x0000_t3" style="position:absolute;left:0pt;margin-left:396pt;margin-top:26.2pt;height:72pt;width:72pt;z-index:251666432;mso-width-relative:page;mso-height-relative:page;" fillcolor="#FFFFFF" filled="t" stroked="t" coordsize="21600,21600" o:gfxdata="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WpesfbAAAACgEAAA8A&#10;AAAAAAAAAQAgAAAAIgAAAGRycy9kb3ducmV2LnhtbFBLAQIUABQAAAAIAIdO4kDj4BuY2wEAANMD&#10;AAAOAAAAAAAAAAEAIAAAACoBAABkcnMvZTJvRG9jLnhtbFBLBQYAAAAABgAGAFkBAAB3BQAAAAA=&#10;">
                <v:fill on="t" focussize="0,0"/>
                <v:stroke color="#FFFFFF" joinstyle="round"/>
                <v:imagedata o:title=""/>
                <o:lock v:ext="edit" aspectratio="f"/>
                <v:textbox>
                  <w:txbxContent>
                    <w:p>
                      <w:pPr/>
                    </w:p>
                  </w:txbxContent>
                </v:textbox>
              </v:shape>
            </w:pict>
          </mc:Fallback>
        </mc:AlternateContent>
      </w:r>
    </w:p>
    <w:p>
      <w:pPr>
        <w:rPr>
          <w:shd w:val="clear" w:color="auto" w:fill="FFFFFF"/>
        </w:rPr>
      </w:pPr>
      <w:r>
        <w:rPr>
          <w:rFonts w:eastAsia="黑体"/>
          <w:sz w:val="36"/>
          <w:shd w:val="clear" w:color="auto" w:fill="FFFFFF"/>
        </w:rPr>
        <mc:AlternateContent>
          <mc:Choice Requires="wps">
            <w:drawing>
              <wp:anchor distT="0" distB="0" distL="114300" distR="114300" simplePos="0" relativeHeight="251660288" behindDoc="0" locked="0" layoutInCell="1" allowOverlap="1">
                <wp:simplePos x="0" y="0"/>
                <wp:positionH relativeFrom="column">
                  <wp:posOffset>843280</wp:posOffset>
                </wp:positionH>
                <wp:positionV relativeFrom="paragraph">
                  <wp:posOffset>931545</wp:posOffset>
                </wp:positionV>
                <wp:extent cx="5271135" cy="4330065"/>
                <wp:effectExtent l="8255" t="9525" r="16510" b="22860"/>
                <wp:wrapNone/>
                <wp:docPr id="6" name="直接连接符 6"/>
                <wp:cNvGraphicFramePr/>
                <a:graphic xmlns:a="http://schemas.openxmlformats.org/drawingml/2006/main">
                  <a:graphicData uri="http://schemas.microsoft.com/office/word/2010/wordprocessingShape">
                    <wps:wsp>
                      <wps:cNvCnPr/>
                      <wps:spPr>
                        <a:xfrm flipH="1">
                          <a:off x="0" y="0"/>
                          <a:ext cx="5271135" cy="4330065"/>
                        </a:xfrm>
                        <a:prstGeom prst="line">
                          <a:avLst/>
                        </a:prstGeom>
                        <a:ln w="25400"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flip:x;margin-left:66.4pt;margin-top:73.35pt;height:340.95pt;width:415.05pt;z-index:251660288;mso-width-relative:page;mso-height-relative:page;" filled="f" stroked="t" coordsize="21600,21600" o:gfxdata="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Ag&#10;KmraAAAACwEAAA8AAAAAAAAAAQAgAAAAIgAAAGRycy9kb3ducmV2LnhtbFBLAQIUABQAAAAIAIdO&#10;4kAaxPJN6AEAAKYDAAAOAAAAAAAAAAEAIAAAACkBAABkcnMvZTJvRG9jLnhtbFBLBQYAAAAABgAG&#10;AFkBAACDBQAAAAA=&#10;">
                <v:fill on="f" focussize="0,0"/>
                <v:stroke weight="2pt" color="#000000" joinstyle="round" dashstyle="dash"/>
                <v:imagedata o:title=""/>
                <o:lock v:ext="edit" aspectratio="f"/>
              </v:line>
            </w:pict>
          </mc:Fallback>
        </mc:AlternateContent>
      </w:r>
      <w:r>
        <w:rPr>
          <w:shd w:val="clear" w:color="auto" w:fill="FFFFFF"/>
        </w:rPr>
        <mc:AlternateContent>
          <mc:Choice Requires="wps">
            <w:drawing>
              <wp:anchor distT="0" distB="0" distL="114300" distR="114300" simplePos="0" relativeHeight="251664384" behindDoc="0" locked="0" layoutInCell="1" allowOverlap="1">
                <wp:simplePos x="0" y="0"/>
                <wp:positionH relativeFrom="column">
                  <wp:posOffset>5956300</wp:posOffset>
                </wp:positionH>
                <wp:positionV relativeFrom="paragraph">
                  <wp:posOffset>1192530</wp:posOffset>
                </wp:positionV>
                <wp:extent cx="342900" cy="36195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342900" cy="3619500"/>
                        </a:xfrm>
                        <a:prstGeom prst="rect">
                          <a:avLst/>
                        </a:prstGeom>
                        <a:solidFill>
                          <a:srgbClr val="FFFFFF"/>
                        </a:solidFill>
                        <a:ln w="0" cap="flat" cmpd="sng">
                          <a:solidFill>
                            <a:srgbClr val="FFFFFF"/>
                          </a:solidFill>
                          <a:prstDash val="solid"/>
                          <a:miter/>
                          <a:headEnd type="none" w="med" len="med"/>
                          <a:tailEnd type="none" w="med" len="med"/>
                        </a:ln>
                      </wps:spPr>
                      <wps:txbx>
                        <w:txbxContent>
                          <w:p>
                            <w:pPr>
                              <w:ind w:firstLine="720" w:firstLineChars="300"/>
                              <w:rPr>
                                <w:rFonts w:hint="eastAsia"/>
                                <w:sz w:val="24"/>
                                <w:szCs w:val="24"/>
                              </w:rPr>
                            </w:pPr>
                            <w:r>
                              <w:rPr>
                                <w:rFonts w:hint="eastAsia"/>
                                <w:sz w:val="24"/>
                                <w:szCs w:val="24"/>
                              </w:rPr>
                              <w:t>双    面    胶    粘    贴     处</w:t>
                            </w:r>
                          </w:p>
                        </w:txbxContent>
                      </wps:txbx>
                      <wps:bodyPr vert="eaVert" lIns="0" tIns="0" rIns="0" bIns="0" upright="1"/>
                    </wps:wsp>
                  </a:graphicData>
                </a:graphic>
              </wp:anchor>
            </w:drawing>
          </mc:Choice>
          <mc:Fallback>
            <w:pict>
              <v:shape id="_x0000_s1026" o:spid="_x0000_s1026" o:spt="202" type="#_x0000_t202" style="position:absolute;left:0pt;margin-left:469pt;margin-top:93.9pt;height:285pt;width:27pt;z-index:251664384;mso-width-relative:page;mso-height-relative:page;" fillcolor="#FFFFFF" filled="t" stroked="t" coordsize="21600,21600" o:gfxdata="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QZOxnaAAAACwEAAA8AAAAAAAAAAQAgAAAAIgAAAGRycy9kb3du&#10;cmV2LnhtbFBLAQIUABQAAAAIAIdO4kDagrzL/QEAABcEAAAOAAAAAAAAAAEAIAAAACkBAABkcnMv&#10;ZTJvRG9jLnhtbFBLBQYAAAAABgAGAFkBAACYBQAAAAA=&#10;">
                <v:fill on="t" focussize="0,0"/>
                <v:stroke weight="0pt" color="#FFFFFF" joinstyle="miter"/>
                <v:imagedata o:title=""/>
                <o:lock v:ext="edit" aspectratio="f"/>
                <v:textbox inset="0mm,0mm,0mm,0mm" style="layout-flow:vertical-ideographic;">
                  <w:txbxContent>
                    <w:p>
                      <w:pPr>
                        <w:ind w:firstLine="720" w:firstLineChars="300"/>
                        <w:rPr>
                          <w:rFonts w:hint="eastAsia"/>
                          <w:sz w:val="24"/>
                          <w:szCs w:val="24"/>
                        </w:rPr>
                      </w:pPr>
                      <w:r>
                        <w:rPr>
                          <w:rFonts w:hint="eastAsia"/>
                          <w:sz w:val="24"/>
                          <w:szCs w:val="24"/>
                        </w:rPr>
                        <w:t>双    面    胶    粘    贴     处</w:t>
                      </w:r>
                    </w:p>
                  </w:txbxContent>
                </v:textbox>
              </v:shape>
            </w:pict>
          </mc:Fallback>
        </mc:AlternateContent>
      </w:r>
      <w:r>
        <w:rPr>
          <w:shd w:val="clear" w:color="auto" w:fill="FFFFFF"/>
        </w:rPr>
        <mc:AlternateContent>
          <mc:Choice Requires="wps">
            <w:drawing>
              <wp:anchor distT="0" distB="0" distL="114300" distR="114300" simplePos="0" relativeHeight="251669504" behindDoc="0" locked="0" layoutInCell="1" allowOverlap="1">
                <wp:simplePos x="0" y="0"/>
                <wp:positionH relativeFrom="column">
                  <wp:posOffset>5956300</wp:posOffset>
                </wp:positionH>
                <wp:positionV relativeFrom="paragraph">
                  <wp:posOffset>1080770</wp:posOffset>
                </wp:positionV>
                <wp:extent cx="0" cy="3870960"/>
                <wp:effectExtent l="38100" t="0" r="38100" b="15240"/>
                <wp:wrapNone/>
                <wp:docPr id="10" name="直接连接符 10"/>
                <wp:cNvGraphicFramePr/>
                <a:graphic xmlns:a="http://schemas.openxmlformats.org/drawingml/2006/main">
                  <a:graphicData uri="http://schemas.microsoft.com/office/word/2010/wordprocessingShape">
                    <wps:wsp>
                      <wps:cNvCnPr/>
                      <wps:spPr>
                        <a:xfrm flipV="1">
                          <a:off x="0" y="0"/>
                          <a:ext cx="0" cy="38709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9pt;margin-top:85.1pt;height:304.8pt;width:0pt;z-index:251669504;mso-width-relative:page;mso-height-relative:page;" filled="f" stroked="t" coordsize="21600,21600" o:gfxdata="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H&#10;8XPW2QAAAAsBAAAPAAAAAAAAAAEAIAAAACIAAABkcnMvZG93bnJldi54bWxQSwECFAAUAAAACACH&#10;TuJAgbiPguoBAACmAwAADgAAAAAAAAABACAAAAAoAQAAZHJzL2Uyb0RvYy54bWxQSwUGAAAAAAYA&#10;BgBZAQAAhAUAAAAA&#10;">
                <v:fill on="f" focussize="0,0"/>
                <v:stroke color="#000000" joinstyle="round" endarrow="block"/>
                <v:imagedata o:title=""/>
                <o:lock v:ext="edit" aspectratio="f"/>
              </v:line>
            </w:pict>
          </mc:Fallback>
        </mc:AlternateContent>
      </w:r>
      <w:r>
        <w:rPr>
          <w:shd w:val="clear" w:color="auto" w:fill="FFFFFF"/>
        </w:rPr>
        <mc:AlternateContent>
          <mc:Choice Requires="wps">
            <w:drawing>
              <wp:anchor distT="0" distB="0" distL="114300" distR="114300" simplePos="0" relativeHeight="251665408" behindDoc="0" locked="0" layoutInCell="1" allowOverlap="1">
                <wp:simplePos x="0" y="0"/>
                <wp:positionH relativeFrom="column">
                  <wp:posOffset>1600200</wp:posOffset>
                </wp:positionH>
                <wp:positionV relativeFrom="paragraph">
                  <wp:posOffset>3799840</wp:posOffset>
                </wp:positionV>
                <wp:extent cx="457200" cy="495300"/>
                <wp:effectExtent l="4445" t="4445" r="14605" b="14605"/>
                <wp:wrapNone/>
                <wp:docPr id="11" name="文本框 11"/>
                <wp:cNvGraphicFramePr/>
                <a:graphic xmlns:a="http://schemas.openxmlformats.org/drawingml/2006/main">
                  <a:graphicData uri="http://schemas.microsoft.com/office/word/2010/wordprocessingShape">
                    <wps:wsp>
                      <wps:cNvSpPr txBox="1"/>
                      <wps:spPr>
                        <a:xfrm>
                          <a:off x="0" y="0"/>
                          <a:ext cx="457200" cy="4953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黑体" w:eastAsia="黑体"/>
                                <w:sz w:val="44"/>
                                <w:szCs w:val="44"/>
                              </w:rPr>
                            </w:pPr>
                            <w:r>
                              <w:rPr>
                                <w:rFonts w:hint="eastAsia" w:ascii="黑体" w:eastAsia="黑体"/>
                                <w:sz w:val="44"/>
                                <w:szCs w:val="44"/>
                              </w:rPr>
                              <w:t xml:space="preserve">密 </w:t>
                            </w:r>
                          </w:p>
                        </w:txbxContent>
                      </wps:txbx>
                      <wps:bodyPr upright="1"/>
                    </wps:wsp>
                  </a:graphicData>
                </a:graphic>
              </wp:anchor>
            </w:drawing>
          </mc:Choice>
          <mc:Fallback>
            <w:pict>
              <v:shape id="_x0000_s1026" o:spid="_x0000_s1026" o:spt="202" type="#_x0000_t202" style="position:absolute;left:0pt;margin-left:126pt;margin-top:299.2pt;height:39pt;width:36pt;z-index:251665408;mso-width-relative:page;mso-height-relative:page;" fillcolor="#FFFFFF" filled="t" stroked="t" coordsize="21600,21600" o:gfxdata="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eMdRfaAAAACwEAAA8AAAAAAAAAAQAgAAAAIgAAAGRycy9kb3ducmV2LnhtbFBLAQIUABQAAAAI&#10;AIdO4kDjd++U6wEAAOkDAAAOAAAAAAAAAAEAIAAAACkBAABkcnMvZTJvRG9jLnhtbFBLBQYAAAAA&#10;BgAGAFkBAACGBQAAAAA=&#10;">
                <v:fill on="t" focussize="0,0"/>
                <v:stroke color="#FFFFFF" joinstyle="miter"/>
                <v:imagedata o:title=""/>
                <o:lock v:ext="edit" aspectratio="f"/>
                <v:textbox>
                  <w:txbxContent>
                    <w:p>
                      <w:pPr>
                        <w:jc w:val="center"/>
                        <w:rPr>
                          <w:rFonts w:hint="eastAsia" w:ascii="黑体" w:eastAsia="黑体"/>
                          <w:sz w:val="44"/>
                          <w:szCs w:val="44"/>
                        </w:rPr>
                      </w:pPr>
                      <w:r>
                        <w:rPr>
                          <w:rFonts w:hint="eastAsia" w:ascii="黑体" w:eastAsia="黑体"/>
                          <w:sz w:val="44"/>
                          <w:szCs w:val="44"/>
                        </w:rPr>
                        <w:t xml:space="preserve">密 </w:t>
                      </w:r>
                    </w:p>
                  </w:txbxContent>
                </v:textbox>
              </v:shape>
            </w:pict>
          </mc:Fallback>
        </mc:AlternateContent>
      </w:r>
      <w:r>
        <w:rPr>
          <w:shd w:val="clear" w:color="auto" w:fill="FFFFFF"/>
        </w:rPr>
        <mc:AlternateContent>
          <mc:Choice Requires="wps">
            <w:drawing>
              <wp:anchor distT="0" distB="0" distL="114300" distR="114300" simplePos="0" relativeHeight="251661312" behindDoc="0" locked="0" layoutInCell="1" allowOverlap="1">
                <wp:simplePos x="0" y="0"/>
                <wp:positionH relativeFrom="column">
                  <wp:posOffset>3314700</wp:posOffset>
                </wp:positionH>
                <wp:positionV relativeFrom="paragraph">
                  <wp:posOffset>3700780</wp:posOffset>
                </wp:positionV>
                <wp:extent cx="2400300" cy="299085"/>
                <wp:effectExtent l="4445" t="5080" r="14605" b="19685"/>
                <wp:wrapNone/>
                <wp:docPr id="3" name="文本框 3"/>
                <wp:cNvGraphicFramePr/>
                <a:graphic xmlns:a="http://schemas.openxmlformats.org/drawingml/2006/main">
                  <a:graphicData uri="http://schemas.microsoft.com/office/word/2010/wordprocessingShape">
                    <wps:wsp>
                      <wps:cNvSpPr txBox="1"/>
                      <wps:spPr>
                        <a:xfrm>
                          <a:off x="0" y="0"/>
                          <a:ext cx="2400300" cy="2990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4"/>
                                <w:szCs w:val="24"/>
                              </w:rPr>
                            </w:pPr>
                            <w:r>
                              <w:rPr>
                                <w:rFonts w:hint="eastAsia"/>
                                <w:sz w:val="24"/>
                                <w:szCs w:val="24"/>
                              </w:rPr>
                              <w:t>此处盖公章，不得超出虚线范围</w:t>
                            </w:r>
                          </w:p>
                        </w:txbxContent>
                      </wps:txbx>
                      <wps:bodyPr lIns="0" tIns="0" rIns="0" bIns="0" upright="1"/>
                    </wps:wsp>
                  </a:graphicData>
                </a:graphic>
              </wp:anchor>
            </w:drawing>
          </mc:Choice>
          <mc:Fallback>
            <w:pict>
              <v:shape id="_x0000_s1026" o:spid="_x0000_s1026" o:spt="202" type="#_x0000_t202" style="position:absolute;left:0pt;margin-left:261pt;margin-top:291.4pt;height:23.55pt;width:189pt;z-index:251661312;mso-width-relative:page;mso-height-relative:page;" fillcolor="#FFFFFF" filled="t" stroked="t" coordsize="21600,21600" o:gfxdata="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BRoJ2QAAAAsBAAAPAAAAAAAAAAEAIAAAACIAAABkcnMvZG93bnJldi54&#10;bWxQSwECFAAUAAAACACHTuJAVMNDzPkBAAAMBAAADgAAAAAAAAABACAAAAAoAQAAZHJzL2Uyb0Rv&#10;Yy54bWxQSwUGAAAAAAYABgBZAQAAkwUAAAAA&#10;">
                <v:fill on="t" focussize="0,0"/>
                <v:stroke color="#FFFFFF" joinstyle="miter"/>
                <v:imagedata o:title=""/>
                <o:lock v:ext="edit" aspectratio="f"/>
                <v:textbox inset="0mm,0mm,0mm,0mm">
                  <w:txbxContent>
                    <w:p>
                      <w:pPr>
                        <w:rPr>
                          <w:rFonts w:hint="eastAsia"/>
                          <w:sz w:val="24"/>
                          <w:szCs w:val="24"/>
                        </w:rPr>
                      </w:pPr>
                      <w:r>
                        <w:rPr>
                          <w:rFonts w:hint="eastAsia"/>
                          <w:sz w:val="24"/>
                          <w:szCs w:val="24"/>
                        </w:rPr>
                        <w:t>此处盖公章，不得超出虚线范围</w:t>
                      </w:r>
                    </w:p>
                  </w:txbxContent>
                </v:textbox>
              </v:shape>
            </w:pict>
          </mc:Fallback>
        </mc:AlternateContent>
      </w:r>
      <w:r>
        <w:rPr>
          <w:shd w:val="clear" w:color="auto" w:fill="FFFFFF"/>
        </w:rPr>
        <mc:AlternateContent>
          <mc:Choice Requires="wpc">
            <w:drawing>
              <wp:inline distT="0" distB="0" distL="114300" distR="114300">
                <wp:extent cx="5257800" cy="3070860"/>
                <wp:effectExtent l="0" t="0" r="0" b="0"/>
                <wp:docPr id="14" name="画布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2" name="文本框 12"/>
                        <wps:cNvSpPr txBox="1"/>
                        <wps:spPr>
                          <a:xfrm>
                            <a:off x="2972118" y="2476665"/>
                            <a:ext cx="457137" cy="49504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黑体" w:eastAsia="黑体"/>
                                  <w:sz w:val="44"/>
                                  <w:szCs w:val="44"/>
                                </w:rPr>
                              </w:pPr>
                              <w:r>
                                <w:rPr>
                                  <w:rFonts w:hint="eastAsia" w:ascii="黑体" w:eastAsia="黑体"/>
                                  <w:sz w:val="44"/>
                                  <w:szCs w:val="44"/>
                                </w:rPr>
                                <w:t xml:space="preserve">封 </w:t>
                              </w:r>
                            </w:p>
                          </w:txbxContent>
                        </wps:txbx>
                        <wps:bodyPr upright="1"/>
                      </wps:wsp>
                      <wps:wsp>
                        <wps:cNvPr id="13" name="文本框 13"/>
                        <wps:cNvSpPr txBox="1"/>
                        <wps:spPr>
                          <a:xfrm>
                            <a:off x="4457446" y="1287545"/>
                            <a:ext cx="457137" cy="496499"/>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ascii="黑体" w:eastAsia="黑体"/>
                                  <w:sz w:val="44"/>
                                  <w:szCs w:val="44"/>
                                </w:rPr>
                              </w:pPr>
                              <w:r>
                                <w:rPr>
                                  <w:rFonts w:hint="eastAsia" w:ascii="黑体" w:eastAsia="黑体"/>
                                  <w:sz w:val="44"/>
                                  <w:szCs w:val="44"/>
                                </w:rPr>
                                <w:t xml:space="preserve">线 </w:t>
                              </w:r>
                            </w:p>
                          </w:txbxContent>
                        </wps:txbx>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hD1/PW&#10;AAAABQEAAA8AAAAAAAAAAQAgAAAAIgAAAGRycy9kb3ducmV2LnhtbFBLAQIUABQAAAAIAIdO4kBq&#10;dT9flAIAAI0HAAAOAAAAAAAAAAEAIAAAACUBAABkcnMvZTJvRG9jLnhtbFBLBQYAAAAABgAGAFkB&#10;AAArBg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Q9fz&#10;1gAAAAUBAAAPAAAAAAAAAAEAIAAAACIAAABkcnMvZG93bnJldi54bWxQSwECFAAUAAAACACHTuJA&#10;GN53i1wCAAARBwAADgAAAAAAAAABACAAAAAlAQAAZHJzL2Uyb0RvYy54bWxQSwUGAAAAAAYABgBZ&#10;AQAA8wUAAAAA&#10;">
                  <v:fill on="f" focussize="0,0"/>
                  <v:stroke on="f"/>
                  <v:imagedata o:title=""/>
                  <o:lock v:ext="edit" aspectratio="t"/>
                </v:shape>
                <v:shape id="_x0000_s1026" o:spid="_x0000_s1026" o:spt="202" type="#_x0000_t202" style="position:absolute;left:2972118;top:2476665;height:495041;width:457137;" fillcolor="#FFFFFF" filled="t" stroked="t" coordsize="21600,21600" o:gfxdata="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0u3aI1AAAAAUBAAAPAAAAAAAAAAEAIAAAACIAAABkcnMvZG93bnJldi54bWxQSwEC&#10;FAAUAAAACACHTuJASOFaFPgBAAD1AwAADgAAAAAAAAABACAAAAAjAQAAZHJzL2Uyb0RvYy54bWxQ&#10;SwUGAAAAAAYABgBZAQAAjQUAAAAA&#10;">
                  <v:fill on="t" focussize="0,0"/>
                  <v:stroke color="#FFFFFF" joinstyle="miter"/>
                  <v:imagedata o:title=""/>
                  <o:lock v:ext="edit" aspectratio="f"/>
                  <v:textbox>
                    <w:txbxContent>
                      <w:p>
                        <w:pPr>
                          <w:jc w:val="center"/>
                          <w:rPr>
                            <w:rFonts w:hint="eastAsia" w:ascii="黑体" w:eastAsia="黑体"/>
                            <w:sz w:val="44"/>
                            <w:szCs w:val="44"/>
                          </w:rPr>
                        </w:pPr>
                        <w:r>
                          <w:rPr>
                            <w:rFonts w:hint="eastAsia" w:ascii="黑体" w:eastAsia="黑体"/>
                            <w:sz w:val="44"/>
                            <w:szCs w:val="44"/>
                          </w:rPr>
                          <w:t xml:space="preserve">封 </w:t>
                        </w:r>
                      </w:p>
                    </w:txbxContent>
                  </v:textbox>
                </v:shape>
                <v:shape id="_x0000_s1026" o:spid="_x0000_s1026" o:spt="202" type="#_x0000_t202" style="position:absolute;left:4457446;top:1287545;height:496499;width:457137;" fillcolor="#FFFFFF" filled="t" stroked="t" coordsize="21600,21600" o:gfxdata="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Lt2iNQAAAAFAQAADwAAAAAAAAABACAAAAAiAAAAZHJzL2Rvd25yZXYueG1sUEsB&#10;AhQAFAAAAAgAh07iQAyxrKn5AQAA9QMAAA4AAAAAAAAAAQAgAAAAIwEAAGRycy9lMm9Eb2MueG1s&#10;UEsFBgAAAAAGAAYAWQEAAI4FAAAAAA==&#10;">
                  <v:fill on="t" focussize="0,0"/>
                  <v:stroke color="#FFFFFF" joinstyle="miter"/>
                  <v:imagedata o:title=""/>
                  <o:lock v:ext="edit" aspectratio="f"/>
                  <v:textbox>
                    <w:txbxContent>
                      <w:p>
                        <w:pPr>
                          <w:jc w:val="center"/>
                          <w:rPr>
                            <w:rFonts w:hint="eastAsia" w:ascii="黑体" w:eastAsia="黑体"/>
                            <w:sz w:val="44"/>
                            <w:szCs w:val="44"/>
                          </w:rPr>
                        </w:pPr>
                        <w:r>
                          <w:rPr>
                            <w:rFonts w:hint="eastAsia" w:ascii="黑体" w:eastAsia="黑体"/>
                            <w:sz w:val="44"/>
                            <w:szCs w:val="44"/>
                          </w:rPr>
                          <w:t xml:space="preserve">线 </w:t>
                        </w:r>
                      </w:p>
                    </w:txbxContent>
                  </v:textbox>
                </v:shape>
                <w10:wrap type="none"/>
                <w10:anchorlock/>
              </v:group>
            </w:pict>
          </mc:Fallback>
        </mc:AlternateContent>
      </w:r>
    </w:p>
    <w:p>
      <w:pPr>
        <w:jc w:val="center"/>
        <w:rPr>
          <w:rFonts w:eastAsia="华文仿宋"/>
          <w:sz w:val="48"/>
          <w:szCs w:val="48"/>
          <w:shd w:val="clear" w:color="auto" w:fill="FFFFFF"/>
        </w:rPr>
      </w:pPr>
    </w:p>
    <w:p>
      <w:pPr>
        <w:rPr>
          <w:rFonts w:eastAsia="仿宋_GB2312"/>
          <w:b/>
          <w:sz w:val="21"/>
          <w:szCs w:val="21"/>
          <w:shd w:val="clear" w:color="auto" w:fill="FFFFFF"/>
        </w:rPr>
      </w:pPr>
    </w:p>
    <w:p>
      <w:pPr>
        <w:snapToGrid w:val="0"/>
        <w:spacing w:line="580" w:lineRule="exact"/>
        <w:rPr>
          <w:rFonts w:eastAsia="仿宋_GB2312"/>
          <w:sz w:val="21"/>
          <w:szCs w:val="21"/>
          <w:shd w:val="clear" w:color="auto" w:fill="FFFFFF"/>
        </w:rPr>
      </w:pPr>
      <w:r>
        <w:rPr>
          <w:rFonts w:eastAsia="仿宋_GB2312"/>
          <w:sz w:val="21"/>
          <w:szCs w:val="21"/>
          <w:shd w:val="clear" w:color="auto" w:fill="FFFFFF"/>
        </w:rPr>
        <mc:AlternateContent>
          <mc:Choice Requires="wps">
            <w:drawing>
              <wp:anchor distT="0" distB="0" distL="114300" distR="114300" simplePos="0" relativeHeight="251663360" behindDoc="0" locked="0" layoutInCell="1" allowOverlap="1">
                <wp:simplePos x="0" y="0"/>
                <wp:positionH relativeFrom="column">
                  <wp:posOffset>2489200</wp:posOffset>
                </wp:positionH>
                <wp:positionV relativeFrom="paragraph">
                  <wp:posOffset>702310</wp:posOffset>
                </wp:positionV>
                <wp:extent cx="3200400" cy="388620"/>
                <wp:effectExtent l="5080" t="4445" r="13970" b="6985"/>
                <wp:wrapNone/>
                <wp:docPr id="7" name="文本框 7"/>
                <wp:cNvGraphicFramePr/>
                <a:graphic xmlns:a="http://schemas.openxmlformats.org/drawingml/2006/main">
                  <a:graphicData uri="http://schemas.microsoft.com/office/word/2010/wordprocessingShape">
                    <wps:wsp>
                      <wps:cNvSpPr txBox="1"/>
                      <wps:spPr>
                        <a:xfrm>
                          <a:off x="0" y="0"/>
                          <a:ext cx="3200400" cy="3886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sz w:val="21"/>
                                <w:szCs w:val="21"/>
                              </w:rPr>
                            </w:pPr>
                            <w:r>
                              <w:rPr>
                                <w:rFonts w:hint="eastAsia"/>
                                <w:sz w:val="21"/>
                                <w:szCs w:val="21"/>
                              </w:rPr>
                              <w:t>注：沿虚线按箭头方向折叠</w:t>
                            </w:r>
                          </w:p>
                          <w:p>
                            <w:pPr>
                              <w:rPr>
                                <w:rFonts w:hint="eastAsia"/>
                                <w:sz w:val="24"/>
                                <w:szCs w:val="24"/>
                              </w:rPr>
                            </w:pPr>
                          </w:p>
                          <w:p>
                            <w:pPr>
                              <w:rPr>
                                <w:rFonts w:hint="eastAsia"/>
                                <w:sz w:val="24"/>
                                <w:szCs w:val="24"/>
                              </w:rPr>
                            </w:pPr>
                            <w:r>
                              <w:rPr>
                                <w:rFonts w:hint="eastAsia"/>
                                <w:sz w:val="24"/>
                                <w:szCs w:val="24"/>
                              </w:rPr>
                              <w:t>（注：</w:t>
                            </w:r>
                            <w:r>
                              <w:rPr>
                                <w:sz w:val="24"/>
                                <w:szCs w:val="24"/>
                              </w:rPr>
                              <w:drawing>
                                <wp:inline distT="0" distB="0" distL="114300" distR="114300">
                                  <wp:extent cx="238125" cy="194310"/>
                                  <wp:effectExtent l="0" t="0" r="9525"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238125" cy="194310"/>
                                          </a:xfrm>
                                          <a:prstGeom prst="rect">
                                            <a:avLst/>
                                          </a:prstGeom>
                                          <a:noFill/>
                                          <a:ln w="9525">
                                            <a:noFill/>
                                          </a:ln>
                                        </pic:spPr>
                                      </pic:pic>
                                    </a:graphicData>
                                  </a:graphic>
                                </wp:inline>
                              </w:drawing>
                            </w:r>
                            <w:r>
                              <w:rPr>
                                <w:rFonts w:hint="eastAsia"/>
                                <w:sz w:val="24"/>
                                <w:szCs w:val="24"/>
                              </w:rPr>
                              <w:t>为打孔处）</w:t>
                            </w:r>
                          </w:p>
                        </w:txbxContent>
                      </wps:txbx>
                      <wps:bodyPr upright="1"/>
                    </wps:wsp>
                  </a:graphicData>
                </a:graphic>
              </wp:anchor>
            </w:drawing>
          </mc:Choice>
          <mc:Fallback>
            <w:pict>
              <v:shape id="_x0000_s1026" o:spid="_x0000_s1026" o:spt="202" type="#_x0000_t202" style="position:absolute;left:0pt;margin-left:196pt;margin-top:55.3pt;height:30.6pt;width:252pt;z-index:251663360;mso-width-relative:page;mso-height-relative:page;" fillcolor="#FFFFFF" filled="t" stroked="t" coordsize="21600,21600" o:gfxdata="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yCVG2AAAAAsBAAAPAAAAAAAAAAEAIAAAACIAAABkcnMvZG93bnJldi54bWxQSwECFAAUAAAA&#10;CACHTuJAmzAm9u4BAADoAwAADgAAAAAAAAABACAAAAAnAQAAZHJzL2Uyb0RvYy54bWxQSwUGAAAA&#10;AAYABgBZAQAAhwUAAAAA&#10;">
                <v:fill on="t" focussize="0,0"/>
                <v:stroke color="#FFFFFF" joinstyle="miter"/>
                <v:imagedata o:title=""/>
                <o:lock v:ext="edit" aspectratio="f"/>
                <v:textbox>
                  <w:txbxContent>
                    <w:p>
                      <w:pPr>
                        <w:rPr>
                          <w:rFonts w:hint="eastAsia"/>
                          <w:sz w:val="21"/>
                          <w:szCs w:val="21"/>
                        </w:rPr>
                      </w:pPr>
                      <w:r>
                        <w:rPr>
                          <w:rFonts w:hint="eastAsia"/>
                          <w:sz w:val="21"/>
                          <w:szCs w:val="21"/>
                        </w:rPr>
                        <w:t>注：沿虚线按箭头方向折叠</w:t>
                      </w:r>
                    </w:p>
                    <w:p>
                      <w:pPr>
                        <w:rPr>
                          <w:rFonts w:hint="eastAsia"/>
                          <w:sz w:val="24"/>
                          <w:szCs w:val="24"/>
                        </w:rPr>
                      </w:pPr>
                    </w:p>
                    <w:p>
                      <w:pPr>
                        <w:rPr>
                          <w:rFonts w:hint="eastAsia"/>
                          <w:sz w:val="24"/>
                          <w:szCs w:val="24"/>
                        </w:rPr>
                      </w:pPr>
                      <w:r>
                        <w:rPr>
                          <w:rFonts w:hint="eastAsia"/>
                          <w:sz w:val="24"/>
                          <w:szCs w:val="24"/>
                        </w:rPr>
                        <w:t>（注：</w:t>
                      </w:r>
                      <w:r>
                        <w:rPr>
                          <w:sz w:val="24"/>
                          <w:szCs w:val="24"/>
                        </w:rPr>
                        <w:drawing>
                          <wp:inline distT="0" distB="0" distL="114300" distR="114300">
                            <wp:extent cx="238125" cy="194310"/>
                            <wp:effectExtent l="0" t="0" r="9525" b="152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4"/>
                                    <a:stretch>
                                      <a:fillRect/>
                                    </a:stretch>
                                  </pic:blipFill>
                                  <pic:spPr>
                                    <a:xfrm>
                                      <a:off x="0" y="0"/>
                                      <a:ext cx="238125" cy="194310"/>
                                    </a:xfrm>
                                    <a:prstGeom prst="rect">
                                      <a:avLst/>
                                    </a:prstGeom>
                                    <a:noFill/>
                                    <a:ln w="9525">
                                      <a:noFill/>
                                    </a:ln>
                                  </pic:spPr>
                                </pic:pic>
                              </a:graphicData>
                            </a:graphic>
                          </wp:inline>
                        </w:drawing>
                      </w:r>
                      <w:r>
                        <w:rPr>
                          <w:rFonts w:hint="eastAsia"/>
                          <w:sz w:val="24"/>
                          <w:szCs w:val="24"/>
                        </w:rPr>
                        <w:t>为打孔处）</w:t>
                      </w:r>
                    </w:p>
                  </w:txbxContent>
                </v:textbox>
              </v:shape>
            </w:pict>
          </mc:Fallback>
        </mc:AlternateContent>
      </w:r>
      <w:r>
        <w:rPr>
          <w:rFonts w:eastAsia="仿宋_GB2312"/>
          <w:sz w:val="21"/>
          <w:szCs w:val="21"/>
          <w:shd w:val="clear" w:color="auto" w:fill="FFFFFF"/>
        </w:rPr>
        <mc:AlternateContent>
          <mc:Choice Requires="wps">
            <w:drawing>
              <wp:anchor distT="0" distB="0" distL="114300" distR="114300" simplePos="0" relativeHeight="251662336" behindDoc="0" locked="0" layoutInCell="1" allowOverlap="1">
                <wp:simplePos x="0" y="0"/>
                <wp:positionH relativeFrom="column">
                  <wp:posOffset>2390775</wp:posOffset>
                </wp:positionH>
                <wp:positionV relativeFrom="paragraph">
                  <wp:posOffset>1093470</wp:posOffset>
                </wp:positionV>
                <wp:extent cx="3543300" cy="198120"/>
                <wp:effectExtent l="5080" t="5080" r="13970" b="6350"/>
                <wp:wrapNone/>
                <wp:docPr id="5" name="文本框 5"/>
                <wp:cNvGraphicFramePr/>
                <a:graphic xmlns:a="http://schemas.openxmlformats.org/drawingml/2006/main">
                  <a:graphicData uri="http://schemas.microsoft.com/office/word/2010/wordprocessingShape">
                    <wps:wsp>
                      <wps:cNvSpPr txBox="1"/>
                      <wps:spPr>
                        <a:xfrm>
                          <a:off x="0" y="0"/>
                          <a:ext cx="3543300" cy="19812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eastAsia"/>
                                <w:sz w:val="24"/>
                                <w:szCs w:val="24"/>
                              </w:rPr>
                            </w:pPr>
                            <w:r>
                              <w:rPr>
                                <w:rFonts w:hint="eastAsia"/>
                                <w:sz w:val="24"/>
                                <w:szCs w:val="24"/>
                              </w:rPr>
                              <w:t>双      面     胶     粘     贴     处</w:t>
                            </w:r>
                          </w:p>
                        </w:txbxContent>
                      </wps:txbx>
                      <wps:bodyPr lIns="0" tIns="0" rIns="0" bIns="0" upright="1"/>
                    </wps:wsp>
                  </a:graphicData>
                </a:graphic>
              </wp:anchor>
            </w:drawing>
          </mc:Choice>
          <mc:Fallback>
            <w:pict>
              <v:shape id="_x0000_s1026" o:spid="_x0000_s1026" o:spt="202" type="#_x0000_t202" style="position:absolute;left:0pt;margin-left:188.25pt;margin-top:86.1pt;height:15.6pt;width:279pt;z-index:251662336;mso-width-relative:page;mso-height-relative:page;" fillcolor="#FFFFFF" filled="t" stroked="t" coordsize="21600,21600" o:gfxdata="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JQBD2QAAAAsBAAAPAAAAAAAAAAEAIAAAACIAAABkcnMvZG93bnJl&#10;di54bWxQSwECFAAUAAAACACHTuJACcL+FPwBAAAMBAAADgAAAAAAAAABACAAAAAoAQAAZHJzL2Uy&#10;b0RvYy54bWxQSwUGAAAAAAYABgBZAQAAlgUAAAAA&#10;">
                <v:fill on="t" focussize="0,0"/>
                <v:stroke color="#FFFFFF" joinstyle="miter"/>
                <v:imagedata o:title=""/>
                <o:lock v:ext="edit" aspectratio="f"/>
                <v:textbox inset="0mm,0mm,0mm,0mm">
                  <w:txbxContent>
                    <w:p>
                      <w:pPr>
                        <w:jc w:val="center"/>
                        <w:rPr>
                          <w:rFonts w:hint="eastAsia"/>
                          <w:sz w:val="24"/>
                          <w:szCs w:val="24"/>
                        </w:rPr>
                      </w:pPr>
                      <w:r>
                        <w:rPr>
                          <w:rFonts w:hint="eastAsia"/>
                          <w:sz w:val="24"/>
                          <w:szCs w:val="24"/>
                        </w:rPr>
                        <w:t>双      面     胶     粘     贴     处</w:t>
                      </w:r>
                    </w:p>
                  </w:txbxContent>
                </v:textbox>
              </v:shape>
            </w:pict>
          </mc:Fallback>
        </mc:AlternateContent>
      </w:r>
      <w:r>
        <w:rPr>
          <w:rFonts w:eastAsia="仿宋_GB2312"/>
          <w:sz w:val="21"/>
          <w:szCs w:val="21"/>
          <w:shd w:val="clear" w:color="auto" w:fill="FFFFFF"/>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1090930</wp:posOffset>
                </wp:positionV>
                <wp:extent cx="4356100" cy="0"/>
                <wp:effectExtent l="0" t="38100" r="6350" b="38100"/>
                <wp:wrapNone/>
                <wp:docPr id="8" name="直接连接符 8"/>
                <wp:cNvGraphicFramePr/>
                <a:graphic xmlns:a="http://schemas.openxmlformats.org/drawingml/2006/main">
                  <a:graphicData uri="http://schemas.microsoft.com/office/word/2010/wordprocessingShape">
                    <wps:wsp>
                      <wps:cNvCnPr/>
                      <wps:spPr>
                        <a:xfrm flipH="1">
                          <a:off x="0" y="0"/>
                          <a:ext cx="43561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26pt;margin-top:85.9pt;height:0pt;width:343pt;z-index:251668480;mso-width-relative:page;mso-height-relative:page;" filled="f" stroked="t" coordsize="21600,21600" o:gfxdata="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Q0&#10;5PvYAAAACwEAAA8AAAAAAAAAAQAgAAAAIgAAAGRycy9kb3ducmV2LnhtbFBLAQIUABQAAAAIAIdO&#10;4kBAyUTj6gEAAKQDAAAOAAAAAAAAAAEAIAAAACcBAABkcnMvZTJvRG9jLnhtbFBLBQYAAAAABgAG&#10;AFkBAACDBQAAAAA=&#10;">
                <v:fill on="f" focussize="0,0"/>
                <v:stroke color="#000000" joinstyle="round" endarrow="block"/>
                <v:imagedata o:title=""/>
                <o:lock v:ext="edit" aspectratio="f"/>
              </v:line>
            </w:pict>
          </mc:Fallback>
        </mc:AlternateContent>
      </w:r>
    </w:p>
    <w:p>
      <w:pPr>
        <w:pStyle w:val="12"/>
        <w:tabs>
          <w:tab w:val="right" w:leader="dot" w:pos="8400"/>
        </w:tabs>
        <w:topLinePunct/>
        <w:autoSpaceDN w:val="0"/>
        <w:adjustRightInd w:val="0"/>
        <w:snapToGrid w:val="0"/>
        <w:spacing w:line="520" w:lineRule="exact"/>
        <w:ind w:left="0" w:leftChars="0" w:right="-255"/>
        <w:rPr>
          <w:rFonts w:eastAsia="方正仿宋_GBK"/>
          <w:sz w:val="21"/>
          <w:szCs w:val="21"/>
          <w:shd w:val="clear" w:color="auto" w:fill="FFFFFF"/>
        </w:rPr>
      </w:pPr>
    </w:p>
    <w:p>
      <w:pPr>
        <w:tabs>
          <w:tab w:val="left" w:pos="6300"/>
        </w:tabs>
        <w:snapToGrid w:val="0"/>
        <w:spacing w:line="500" w:lineRule="exact"/>
        <w:jc w:val="both"/>
        <w:rPr>
          <w:rFonts w:hint="eastAsia" w:ascii="方正仿宋_GBK" w:hAnsi="宋体" w:eastAsia="方正仿宋_GBK"/>
        </w:rPr>
      </w:pPr>
    </w:p>
    <w:p>
      <w:pPr>
        <w:pStyle w:val="2"/>
        <w:rPr>
          <w:rFonts w:hint="eastAsia" w:ascii="方正仿宋_GBK" w:hAnsi="宋体" w:eastAsia="方正仿宋_GBK"/>
          <w:sz w:val="24"/>
          <w:szCs w:val="24"/>
          <w:lang w:val="en-US" w:eastAsia="zh-CN"/>
        </w:rPr>
      </w:pPr>
    </w:p>
    <w:p>
      <w:pPr>
        <w:spacing w:line="360" w:lineRule="auto"/>
        <w:ind w:firstLine="480" w:firstLineChars="200"/>
        <w:jc w:val="center"/>
        <w:outlineLvl w:val="0"/>
        <w:rPr>
          <w:rFonts w:hint="eastAsia" w:ascii="方正仿宋_GBK" w:hAnsi="宋体" w:eastAsia="方正仿宋_GBK"/>
          <w:sz w:val="24"/>
          <w:szCs w:val="24"/>
        </w:rPr>
      </w:pPr>
    </w:p>
    <w:p>
      <w:pPr>
        <w:pStyle w:val="2"/>
        <w:rPr>
          <w:rFonts w:hint="eastAsia" w:ascii="方正仿宋_GBK" w:hAnsi="宋体" w:eastAsia="方正仿宋_GBK"/>
          <w:sz w:val="24"/>
          <w:szCs w:val="24"/>
        </w:rPr>
      </w:pPr>
    </w:p>
    <w:p>
      <w:pPr>
        <w:spacing w:line="360" w:lineRule="auto"/>
        <w:ind w:firstLine="480" w:firstLineChars="200"/>
        <w:jc w:val="center"/>
        <w:rPr>
          <w:rFonts w:hint="eastAsia" w:ascii="方正仿宋_GBK" w:hAnsi="宋体" w:eastAsia="方正仿宋_GBK"/>
          <w:sz w:val="24"/>
          <w:szCs w:val="24"/>
        </w:rPr>
      </w:pPr>
    </w:p>
    <w:p>
      <w:pPr>
        <w:spacing w:line="360" w:lineRule="auto"/>
        <w:ind w:firstLine="480" w:firstLineChars="200"/>
        <w:jc w:val="center"/>
        <w:outlineLvl w:val="0"/>
        <w:rPr>
          <w:rFonts w:hint="eastAsia" w:ascii="方正仿宋_GBK" w:hAnsi="宋体" w:eastAsia="方正仿宋_GBK"/>
        </w:rPr>
      </w:pPr>
      <w:r>
        <w:rPr>
          <w:rFonts w:hint="eastAsia" w:ascii="方正仿宋_GBK" w:hAnsi="宋体" w:eastAsia="方正仿宋_GBK"/>
          <w:sz w:val="24"/>
          <w:szCs w:val="24"/>
        </w:rPr>
        <w:t>（结束）</w:t>
      </w:r>
    </w:p>
    <w:p>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0000000000000000000"/>
    <w:charset w:val="86"/>
    <w:family w:val="swiss"/>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jc w:val="center"/>
      <w:rPr>
        <w:rStyle w:val="15"/>
        <w:rFonts w:hint="eastAsia" w:ascii="宋体"/>
        <w:sz w:val="21"/>
        <w:szCs w:val="21"/>
      </w:rPr>
    </w:pPr>
    <w:r>
      <w:rPr>
        <w:rFonts w:ascii="宋体"/>
        <w:sz w:val="21"/>
        <w:szCs w:val="21"/>
      </w:rPr>
      <w:fldChar w:fldCharType="begin"/>
    </w:r>
    <w:r>
      <w:rPr>
        <w:rStyle w:val="15"/>
        <w:rFonts w:ascii="宋体"/>
        <w:sz w:val="21"/>
        <w:szCs w:val="21"/>
      </w:rPr>
      <w:instrText xml:space="preserve">PAGE  </w:instrText>
    </w:r>
    <w:r>
      <w:rPr>
        <w:rFonts w:ascii="宋体"/>
        <w:sz w:val="21"/>
        <w:szCs w:val="21"/>
      </w:rPr>
      <w:fldChar w:fldCharType="separate"/>
    </w:r>
    <w:r>
      <w:rPr>
        <w:rStyle w:val="15"/>
        <w:rFonts w:ascii="宋体"/>
        <w:sz w:val="21"/>
        <w:szCs w:val="21"/>
      </w:rPr>
      <w:t>- 5 -</w:t>
    </w:r>
    <w:r>
      <w:rPr>
        <w:rFonts w:ascii="宋体"/>
        <w:sz w:val="21"/>
        <w:szCs w:val="21"/>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rPr>
        <w:rStyle w:val="15"/>
      </w:rPr>
    </w:pPr>
  </w:p>
  <w:p>
    <w:pPr>
      <w:pStyle w:val="9"/>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rPr>
        <w:rFonts w:hint="eastAsia"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jc w:val="center"/>
      <w:rPr>
        <w:rFonts w:hint="eastAsia" w:ascii="宋体" w:hAnsi="宋体"/>
        <w:sz w:val="21"/>
        <w:szCs w:val="21"/>
      </w:rPr>
    </w:pPr>
    <w:r>
      <w:rPr>
        <w:rFonts w:ascii="宋体" w:hAnsi="宋体"/>
        <w:sz w:val="21"/>
        <w:szCs w:val="21"/>
      </w:rPr>
      <w:fldChar w:fldCharType="begin"/>
    </w:r>
    <w:r>
      <w:rPr>
        <w:rStyle w:val="15"/>
        <w:rFonts w:ascii="宋体" w:hAnsi="宋体"/>
        <w:sz w:val="21"/>
        <w:szCs w:val="21"/>
      </w:rPr>
      <w:instrText xml:space="preserve"> PAGE </w:instrText>
    </w:r>
    <w:r>
      <w:rPr>
        <w:rFonts w:ascii="宋体" w:hAnsi="宋体"/>
        <w:sz w:val="21"/>
        <w:szCs w:val="21"/>
      </w:rPr>
      <w:fldChar w:fldCharType="separate"/>
    </w:r>
    <w:r>
      <w:rPr>
        <w:rStyle w:val="15"/>
        <w:rFonts w:ascii="宋体" w:hAnsi="宋体"/>
        <w:sz w:val="21"/>
        <w:szCs w:val="21"/>
      </w:rPr>
      <w:t>- 30 -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jc w:val="both"/>
      <w:rPr>
        <w:rFonts w:hint="eastAsia" w:ascii="方正仿宋_GBK" w:eastAsia="方正仿宋_GBK"/>
        <w:sz w:val="21"/>
        <w:szCs w:val="21"/>
      </w:rPr>
    </w:pPr>
    <w:r>
      <w:rPr>
        <w:rFonts w:hint="eastAsia" w:ascii="方正仿宋_GBK" w:eastAsia="方正仿宋_GBK"/>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25576274">
    <w:nsid w:val="A274FE52"/>
    <w:multiLevelType w:val="singleLevel"/>
    <w:tmpl w:val="A274FE52"/>
    <w:lvl w:ilvl="0" w:tentative="1">
      <w:start w:val="1"/>
      <w:numFmt w:val="decimal"/>
      <w:lvlText w:val="%1."/>
      <w:lvlJc w:val="left"/>
      <w:pPr>
        <w:tabs>
          <w:tab w:val="left" w:pos="312"/>
        </w:tabs>
      </w:pPr>
    </w:lvl>
  </w:abstractNum>
  <w:num w:numId="1">
    <w:abstractNumId w:val="27255762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jc4Nzg3YTYyMTdkNDNlYWMyNjRjNmM0ZTM3YzEifQ=="/>
  </w:docVars>
  <w:rsids>
    <w:rsidRoot w:val="4A3F1D41"/>
    <w:rsid w:val="01954D23"/>
    <w:rsid w:val="07F505B3"/>
    <w:rsid w:val="0B8A3084"/>
    <w:rsid w:val="107560DE"/>
    <w:rsid w:val="11C3226A"/>
    <w:rsid w:val="126A3360"/>
    <w:rsid w:val="13B702C9"/>
    <w:rsid w:val="141B05F6"/>
    <w:rsid w:val="148E100D"/>
    <w:rsid w:val="166C04B5"/>
    <w:rsid w:val="17573250"/>
    <w:rsid w:val="177014B8"/>
    <w:rsid w:val="17EC6AA8"/>
    <w:rsid w:val="1B733C00"/>
    <w:rsid w:val="1B993517"/>
    <w:rsid w:val="1E34308F"/>
    <w:rsid w:val="222A7517"/>
    <w:rsid w:val="251A293E"/>
    <w:rsid w:val="2EF60424"/>
    <w:rsid w:val="2F0A7474"/>
    <w:rsid w:val="30250777"/>
    <w:rsid w:val="311C3AA5"/>
    <w:rsid w:val="32F42001"/>
    <w:rsid w:val="33DE4C4F"/>
    <w:rsid w:val="35422731"/>
    <w:rsid w:val="35696BE1"/>
    <w:rsid w:val="392A4877"/>
    <w:rsid w:val="40E23743"/>
    <w:rsid w:val="41CC4AC2"/>
    <w:rsid w:val="42651D43"/>
    <w:rsid w:val="434A3318"/>
    <w:rsid w:val="438A54B5"/>
    <w:rsid w:val="448A54E4"/>
    <w:rsid w:val="48B616C7"/>
    <w:rsid w:val="4A3F1D41"/>
    <w:rsid w:val="4F512C0C"/>
    <w:rsid w:val="521E70AB"/>
    <w:rsid w:val="525654BB"/>
    <w:rsid w:val="536315AB"/>
    <w:rsid w:val="544117BF"/>
    <w:rsid w:val="549331F2"/>
    <w:rsid w:val="551A4845"/>
    <w:rsid w:val="554D029E"/>
    <w:rsid w:val="57F02AEE"/>
    <w:rsid w:val="58B37589"/>
    <w:rsid w:val="5C4A6D4F"/>
    <w:rsid w:val="5E634AC6"/>
    <w:rsid w:val="6225535B"/>
    <w:rsid w:val="65D65F25"/>
    <w:rsid w:val="671347D2"/>
    <w:rsid w:val="69891185"/>
    <w:rsid w:val="6B29403F"/>
    <w:rsid w:val="6EC36EC2"/>
    <w:rsid w:val="713C0960"/>
    <w:rsid w:val="750F6793"/>
    <w:rsid w:val="75A624BC"/>
    <w:rsid w:val="76E448F0"/>
    <w:rsid w:val="78704E65"/>
    <w:rsid w:val="79692A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kern w:val="2"/>
      <w:sz w:val="32"/>
    </w:rPr>
  </w:style>
  <w:style w:type="paragraph" w:styleId="4">
    <w:name w:val="Body Text First Indent"/>
    <w:basedOn w:val="1"/>
    <w:qFormat/>
    <w:uiPriority w:val="0"/>
    <w:pPr>
      <w:ind w:firstLine="420" w:firstLineChars="100"/>
    </w:pPr>
  </w:style>
  <w:style w:type="paragraph" w:styleId="5">
    <w:name w:val="Body Text Indent"/>
    <w:basedOn w:val="1"/>
    <w:qFormat/>
    <w:uiPriority w:val="0"/>
    <w:pPr>
      <w:spacing w:line="700" w:lineRule="exact"/>
      <w:ind w:left="960"/>
    </w:pPr>
    <w:rPr>
      <w:sz w:val="44"/>
    </w:rPr>
  </w:style>
  <w:style w:type="paragraph" w:styleId="6">
    <w:name w:val="Plain Text"/>
    <w:basedOn w:val="1"/>
    <w:qFormat/>
    <w:uiPriority w:val="0"/>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560" w:lineRule="atLeast"/>
      <w:ind w:firstLine="5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pPr>
      <w:spacing w:line="180" w:lineRule="auto"/>
      <w:jc w:val="center"/>
    </w:pPr>
    <w:rPr>
      <w:sz w:val="30"/>
    </w:rPr>
  </w:style>
  <w:style w:type="paragraph" w:styleId="12">
    <w:name w:val="toc 2"/>
    <w:basedOn w:val="1"/>
    <w:next w:val="1"/>
    <w:qFormat/>
    <w:uiPriority w:val="0"/>
    <w:pPr>
      <w:ind w:left="420" w:leftChars="200"/>
    </w:p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5">
    <w:name w:val="page number"/>
    <w:qFormat/>
    <w:uiPriority w:val="0"/>
  </w:style>
  <w:style w:type="character" w:styleId="16">
    <w:name w:val="FollowedHyperlink"/>
    <w:basedOn w:val="14"/>
    <w:qFormat/>
    <w:uiPriority w:val="0"/>
    <w:rPr>
      <w:color w:val="000000"/>
      <w:u w:val="none"/>
    </w:rPr>
  </w:style>
  <w:style w:type="character" w:styleId="17">
    <w:name w:val="Hyperlink"/>
    <w:qFormat/>
    <w:uiPriority w:val="0"/>
    <w:rPr>
      <w:color w:val="0000FF"/>
      <w:u w:val="single"/>
    </w:rPr>
  </w:style>
  <w:style w:type="paragraph" w:customStyle="1" w:styleId="1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0">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emf"/><Relationship Id="rId13" Type="http://schemas.openxmlformats.org/officeDocument/2006/relationships/theme" Target="theme/theme1.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24162</Words>
  <Characters>25304</Characters>
  <Lines>0</Lines>
  <Paragraphs>0</Paragraphs>
  <TotalTime>0</TotalTime>
  <ScaleCrop>false</ScaleCrop>
  <LinksUpToDate>false</LinksUpToDate>
  <CharactersWithSpaces>26842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2022-07-11T02:35:00Z</dcterms:created>
  <dc:creator>Administrator</dc:creator>
  <cp:lastModifiedBy>Administrator</cp:lastModifiedBy>
  <dcterms:modified xsi:type="dcterms:W3CDTF">2023-08-25T06:38:26Z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A21CF8B712C245B1BEF657544542B11D</vt:lpwstr>
  </property>
</Properties>
</file>