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宋体" w:hAnsi="宋体"/>
        </w:rPr>
      </w:pPr>
    </w:p>
    <w:p>
      <w:pPr>
        <w:spacing w:line="1600" w:lineRule="exact"/>
        <w:jc w:val="center"/>
        <w:outlineLvl w:val="0"/>
        <w:rPr>
          <w:rFonts w:hint="eastAsia" w:ascii="方正黑体_GBK" w:eastAsia="方正黑体_GBK"/>
          <w:sz w:val="100"/>
        </w:rPr>
      </w:pPr>
      <w:r>
        <w:rPr>
          <w:rFonts w:hint="eastAsia" w:ascii="方正黑体_GBK" w:eastAsia="方正黑体_GBK"/>
          <w:sz w:val="100"/>
        </w:rPr>
        <w:t>政府采购</w:t>
      </w:r>
    </w:p>
    <w:p>
      <w:pPr>
        <w:spacing w:line="1600" w:lineRule="exact"/>
        <w:jc w:val="center"/>
        <w:outlineLvl w:val="0"/>
        <w:rPr>
          <w:rFonts w:hint="eastAsia" w:ascii="方正黑体_GBK" w:hAnsi="宋体" w:eastAsia="方正黑体_GBK"/>
          <w:sz w:val="130"/>
          <w:szCs w:val="130"/>
        </w:rPr>
      </w:pPr>
      <w:r>
        <w:rPr>
          <w:rFonts w:hint="eastAsia" w:ascii="方正黑体_GBK" w:hAnsi="宋体" w:eastAsia="方正黑体_GBK"/>
          <w:sz w:val="130"/>
          <w:szCs w:val="130"/>
        </w:rPr>
        <w:t>竞争性磋商文件</w:t>
      </w:r>
    </w:p>
    <w:p>
      <w:pPr>
        <w:spacing w:line="700" w:lineRule="exact"/>
        <w:jc w:val="center"/>
        <w:rPr>
          <w:rFonts w:ascii="方正黑体_GBK" w:eastAsia="方正黑体_GBK"/>
          <w:sz w:val="72"/>
          <w:szCs w:val="7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500" w:lineRule="exact"/>
        <w:outlineLvl w:val="0"/>
        <w:rPr>
          <w:rFonts w:hint="eastAsia" w:ascii="方正小标宋_GBK" w:hAnsi="宋体" w:eastAsia="方正小标宋_GBK"/>
          <w:sz w:val="36"/>
          <w:szCs w:val="36"/>
        </w:rPr>
      </w:pPr>
    </w:p>
    <w:p>
      <w:pPr>
        <w:spacing w:line="500" w:lineRule="exact"/>
        <w:outlineLvl w:val="0"/>
        <w:rPr>
          <w:rFonts w:hint="eastAsia" w:ascii="方正小标宋_GBK" w:hAnsi="宋体" w:eastAsia="方正小标宋_GBK"/>
          <w:sz w:val="36"/>
          <w:szCs w:val="36"/>
        </w:rPr>
      </w:pPr>
    </w:p>
    <w:p>
      <w:pPr>
        <w:spacing w:line="500" w:lineRule="exact"/>
        <w:outlineLvl w:val="0"/>
        <w:rPr>
          <w:rFonts w:hint="eastAsia" w:ascii="方正小标宋_GBK" w:hAnsi="宋体" w:eastAsia="方正小标宋_GBK"/>
          <w:sz w:val="36"/>
          <w:szCs w:val="36"/>
        </w:rPr>
      </w:pPr>
    </w:p>
    <w:p>
      <w:pPr>
        <w:spacing w:line="500" w:lineRule="exact"/>
        <w:ind w:firstLine="720" w:firstLineChars="200"/>
        <w:outlineLvl w:val="0"/>
        <w:rPr>
          <w:rFonts w:hint="eastAsia" w:ascii="方正小标宋_GBK" w:hAnsi="宋体" w:eastAsia="方正小标宋_GBK"/>
          <w:sz w:val="36"/>
          <w:szCs w:val="36"/>
        </w:rPr>
      </w:pPr>
      <w:r>
        <w:rPr>
          <w:rFonts w:hint="eastAsia" w:ascii="方正小标宋_GBK" w:hAnsi="宋体" w:eastAsia="方正小标宋_GBK"/>
          <w:sz w:val="36"/>
          <w:szCs w:val="36"/>
        </w:rPr>
        <w:t xml:space="preserve">项 </w:t>
      </w:r>
      <w:r>
        <w:rPr>
          <w:rFonts w:hint="eastAsia" w:ascii="方正小标宋_GBK" w:hAnsi="宋体" w:eastAsia="方正小标宋_GBK"/>
          <w:sz w:val="36"/>
          <w:szCs w:val="36"/>
          <w:lang w:val="en-US" w:eastAsia="zh-CN"/>
        </w:rPr>
        <w:t xml:space="preserve"> </w:t>
      </w:r>
      <w:r>
        <w:rPr>
          <w:rFonts w:hint="eastAsia" w:ascii="方正小标宋_GBK" w:hAnsi="宋体" w:eastAsia="方正小标宋_GBK"/>
          <w:sz w:val="36"/>
          <w:szCs w:val="36"/>
        </w:rPr>
        <w:t xml:space="preserve"> 目 </w:t>
      </w:r>
      <w:r>
        <w:rPr>
          <w:rFonts w:hint="eastAsia" w:ascii="方正小标宋_GBK" w:hAnsi="宋体" w:eastAsia="方正小标宋_GBK"/>
          <w:sz w:val="36"/>
          <w:szCs w:val="36"/>
          <w:lang w:val="en-US" w:eastAsia="zh-CN"/>
        </w:rPr>
        <w:t xml:space="preserve"> </w:t>
      </w:r>
      <w:r>
        <w:rPr>
          <w:rFonts w:hint="eastAsia" w:ascii="方正小标宋_GBK" w:hAnsi="宋体" w:eastAsia="方正小标宋_GBK"/>
          <w:sz w:val="36"/>
          <w:szCs w:val="36"/>
        </w:rPr>
        <w:t xml:space="preserve"> 号：</w:t>
      </w:r>
      <w:r>
        <w:rPr>
          <w:rFonts w:hint="eastAsia" w:ascii="方正小标宋_GBK" w:hAnsi="宋体" w:eastAsia="方正小标宋_GBK"/>
          <w:sz w:val="36"/>
          <w:szCs w:val="36"/>
          <w:lang w:val="en-US" w:eastAsia="zh-CN"/>
        </w:rPr>
        <w:t>ZC</w:t>
      </w:r>
      <w:r>
        <w:rPr>
          <w:rFonts w:hint="eastAsia" w:ascii="方正小标宋_GBK" w:hAnsi="宋体" w:eastAsia="方正小标宋_GBK"/>
          <w:sz w:val="36"/>
          <w:szCs w:val="36"/>
        </w:rPr>
        <w:t>20221</w:t>
      </w:r>
      <w:r>
        <w:rPr>
          <w:rFonts w:hint="eastAsia" w:ascii="方正小标宋_GBK" w:hAnsi="宋体" w:eastAsia="方正小标宋_GBK"/>
          <w:sz w:val="36"/>
          <w:szCs w:val="36"/>
          <w:lang w:val="en-US" w:eastAsia="zh-CN"/>
        </w:rPr>
        <w:t>81</w:t>
      </w:r>
      <w:r>
        <w:rPr>
          <w:rFonts w:hint="eastAsia" w:ascii="方正小标宋_GBK" w:hAnsi="宋体" w:eastAsia="方正小标宋_GBK"/>
          <w:sz w:val="36"/>
          <w:szCs w:val="36"/>
        </w:rPr>
        <w:t xml:space="preserve"> </w:t>
      </w:r>
    </w:p>
    <w:p>
      <w:pPr>
        <w:spacing w:line="500" w:lineRule="exact"/>
        <w:ind w:firstLine="720" w:firstLineChars="200"/>
        <w:outlineLvl w:val="0"/>
        <w:rPr>
          <w:rFonts w:hint="eastAsia" w:ascii="方正小标宋_GBK" w:hAnsi="宋体" w:eastAsia="方正小标宋_GBK"/>
          <w:sz w:val="36"/>
          <w:szCs w:val="36"/>
        </w:rPr>
      </w:pPr>
      <w:r>
        <w:rPr>
          <w:rFonts w:hint="eastAsia" w:ascii="方正小标宋_GBK" w:hAnsi="宋体" w:eastAsia="方正小标宋_GBK"/>
          <w:sz w:val="36"/>
          <w:szCs w:val="36"/>
        </w:rPr>
        <w:t xml:space="preserve">采购执行编号：SPB22C02055 </w:t>
      </w:r>
    </w:p>
    <w:p>
      <w:pPr>
        <w:spacing w:line="500" w:lineRule="exact"/>
        <w:ind w:left="3237" w:leftChars="256" w:hanging="2520" w:hangingChars="700"/>
        <w:outlineLvl w:val="0"/>
        <w:rPr>
          <w:rFonts w:hint="eastAsia" w:ascii="方正小标宋_GBK" w:hAnsi="宋体" w:eastAsia="方正小标宋_GBK"/>
          <w:sz w:val="36"/>
          <w:szCs w:val="36"/>
          <w:lang w:eastAsia="zh-CN"/>
        </w:rPr>
      </w:pPr>
      <w:r>
        <w:rPr>
          <w:rFonts w:hint="eastAsia" w:ascii="方正小标宋_GBK" w:hAnsi="宋体" w:eastAsia="方正小标宋_GBK"/>
          <w:sz w:val="36"/>
          <w:szCs w:val="36"/>
        </w:rPr>
        <w:t>磋商项目名称：</w:t>
      </w:r>
      <w:r>
        <w:rPr>
          <w:rFonts w:hint="eastAsia" w:ascii="方正小标宋_GBK" w:hAnsi="宋体" w:eastAsia="方正小标宋_GBK"/>
          <w:sz w:val="36"/>
          <w:szCs w:val="36"/>
          <w:lang w:eastAsia="zh-CN"/>
        </w:rPr>
        <w:t>重庆市沙坪坝区住房保障中心采购后勤保障服务</w:t>
      </w:r>
    </w:p>
    <w:p>
      <w:pPr>
        <w:spacing w:line="700" w:lineRule="exact"/>
        <w:ind w:firstLine="1749" w:firstLineChars="486"/>
        <w:rPr>
          <w:rFonts w:hint="eastAsia" w:ascii="方正小标宋_GBK" w:hAnsi="宋体" w:eastAsia="方正小标宋_GBK"/>
          <w:sz w:val="36"/>
          <w:szCs w:val="36"/>
        </w:rPr>
      </w:pPr>
    </w:p>
    <w:p>
      <w:pPr>
        <w:spacing w:line="700" w:lineRule="exact"/>
        <w:ind w:firstLine="1749" w:firstLineChars="486"/>
        <w:rPr>
          <w:rFonts w:hint="eastAsia" w:ascii="方正小标宋_GBK" w:hAnsi="宋体" w:eastAsia="方正小标宋_GBK"/>
          <w:sz w:val="36"/>
          <w:szCs w:val="36"/>
        </w:rPr>
      </w:pPr>
    </w:p>
    <w:p>
      <w:pPr>
        <w:spacing w:line="700" w:lineRule="exact"/>
        <w:rPr>
          <w:rFonts w:hint="eastAsia" w:ascii="方正小标宋_GBK" w:hAnsi="宋体" w:eastAsia="方正小标宋_GBK"/>
          <w:sz w:val="36"/>
          <w:szCs w:val="36"/>
        </w:rPr>
      </w:pPr>
    </w:p>
    <w:p>
      <w:pPr>
        <w:spacing w:line="700" w:lineRule="exact"/>
        <w:jc w:val="center"/>
        <w:rPr>
          <w:rFonts w:hint="eastAsia" w:ascii="方正小标宋_GBK" w:hAnsi="宋体" w:eastAsia="方正小标宋_GBK"/>
          <w:b/>
          <w:sz w:val="36"/>
          <w:szCs w:val="36"/>
        </w:rPr>
      </w:pPr>
    </w:p>
    <w:p>
      <w:pPr>
        <w:spacing w:line="500" w:lineRule="exact"/>
        <w:ind w:firstLine="720" w:firstLineChars="200"/>
        <w:jc w:val="both"/>
        <w:outlineLvl w:val="0"/>
        <w:rPr>
          <w:rFonts w:hint="eastAsia" w:ascii="方正小标宋_GBK" w:eastAsia="方正小标宋_GBK"/>
          <w:sz w:val="36"/>
          <w:szCs w:val="36"/>
        </w:rPr>
      </w:pPr>
      <w:r>
        <w:rPr>
          <w:rFonts w:hint="eastAsia" w:ascii="方正小标宋_GBK" w:eastAsia="方正小标宋_GBK"/>
          <w:sz w:val="36"/>
          <w:szCs w:val="36"/>
        </w:rPr>
        <w:t>采</w:t>
      </w:r>
      <w:r>
        <w:rPr>
          <w:rFonts w:hint="eastAsia" w:ascii="方正小标宋_GBK" w:eastAsia="方正小标宋_GBK"/>
          <w:sz w:val="36"/>
          <w:szCs w:val="36"/>
          <w:lang w:val="en-US" w:eastAsia="zh-CN"/>
        </w:rPr>
        <w:t xml:space="preserve">   </w:t>
      </w:r>
      <w:r>
        <w:rPr>
          <w:rFonts w:hint="eastAsia" w:ascii="方正小标宋_GBK" w:eastAsia="方正小标宋_GBK"/>
          <w:sz w:val="36"/>
          <w:szCs w:val="36"/>
        </w:rPr>
        <w:t>购</w:t>
      </w:r>
      <w:r>
        <w:rPr>
          <w:rFonts w:hint="eastAsia" w:ascii="方正小标宋_GBK" w:eastAsia="方正小标宋_GBK"/>
          <w:sz w:val="36"/>
          <w:szCs w:val="36"/>
          <w:lang w:val="en-US" w:eastAsia="zh-CN"/>
        </w:rPr>
        <w:t xml:space="preserve">   </w:t>
      </w:r>
      <w:r>
        <w:rPr>
          <w:rFonts w:hint="eastAsia" w:ascii="方正小标宋_GBK" w:eastAsia="方正小标宋_GBK"/>
          <w:sz w:val="36"/>
          <w:szCs w:val="36"/>
        </w:rPr>
        <w:t>人：</w:t>
      </w:r>
      <w:r>
        <w:rPr>
          <w:rFonts w:hint="eastAsia" w:ascii="方正小标宋_GBK" w:hAnsi="宋体" w:eastAsia="方正小标宋_GBK"/>
          <w:sz w:val="36"/>
          <w:szCs w:val="36"/>
          <w:lang w:eastAsia="zh-CN"/>
        </w:rPr>
        <w:t>重庆市沙坪坝区住房保障中心</w:t>
      </w:r>
      <w:r>
        <w:rPr>
          <w:rFonts w:hint="eastAsia" w:ascii="方正小标宋_GBK" w:eastAsia="方正小标宋_GBK"/>
          <w:sz w:val="36"/>
          <w:szCs w:val="36"/>
        </w:rPr>
        <w:t xml:space="preserve"> </w:t>
      </w:r>
    </w:p>
    <w:p>
      <w:pPr>
        <w:spacing w:line="500" w:lineRule="exact"/>
        <w:ind w:firstLine="720" w:firstLineChars="200"/>
        <w:jc w:val="both"/>
        <w:outlineLvl w:val="0"/>
        <w:rPr>
          <w:rFonts w:hint="eastAsia" w:ascii="方正小标宋_GBK" w:eastAsia="方正小标宋_GBK"/>
          <w:sz w:val="36"/>
          <w:szCs w:val="36"/>
        </w:rPr>
      </w:pPr>
      <w:r>
        <w:rPr>
          <w:rFonts w:hint="eastAsia" w:ascii="方正小标宋_GBK" w:eastAsia="方正小标宋_GBK"/>
          <w:sz w:val="36"/>
          <w:szCs w:val="36"/>
        </w:rPr>
        <w:t>采购代理机构：</w:t>
      </w:r>
      <w:r>
        <w:rPr>
          <w:rFonts w:hint="eastAsia" w:ascii="方正小标宋_GBK" w:eastAsia="方正小标宋_GBK"/>
          <w:sz w:val="36"/>
          <w:szCs w:val="36"/>
          <w:lang w:val="en-US" w:eastAsia="zh-CN"/>
        </w:rPr>
        <w:t>重庆市沙坪坝区公共资源交易中心</w:t>
      </w:r>
    </w:p>
    <w:p>
      <w:pPr>
        <w:spacing w:line="500" w:lineRule="exact"/>
        <w:jc w:val="center"/>
        <w:outlineLvl w:val="0"/>
        <w:rPr>
          <w:rFonts w:hint="eastAsia" w:ascii="方正小标宋_GBK" w:eastAsia="方正小标宋_GBK"/>
          <w:sz w:val="36"/>
          <w:szCs w:val="36"/>
        </w:rPr>
      </w:pPr>
    </w:p>
    <w:p>
      <w:pPr>
        <w:spacing w:line="720" w:lineRule="exact"/>
        <w:jc w:val="center"/>
        <w:outlineLvl w:val="0"/>
        <w:rPr>
          <w:rFonts w:hint="eastAsia" w:ascii="方正黑体_GBK" w:hAnsi="宋体" w:eastAsia="方正黑体_GBK"/>
          <w:sz w:val="48"/>
          <w:szCs w:val="32"/>
        </w:rPr>
      </w:pPr>
      <w:r>
        <w:rPr>
          <w:rFonts w:hint="eastAsia" w:ascii="方正小标宋_GBK" w:hAnsi="宋体" w:eastAsia="方正小标宋_GBK"/>
          <w:sz w:val="36"/>
          <w:szCs w:val="36"/>
          <w:lang w:val="en-US" w:eastAsia="zh-CN"/>
        </w:rPr>
        <w:t>2023</w:t>
      </w:r>
      <w:r>
        <w:rPr>
          <w:rFonts w:hint="eastAsia" w:ascii="方正小标宋_GBK" w:hAnsi="宋体" w:eastAsia="方正小标宋_GBK"/>
          <w:sz w:val="36"/>
          <w:szCs w:val="36"/>
        </w:rPr>
        <w:t>年</w:t>
      </w:r>
      <w:r>
        <w:rPr>
          <w:rFonts w:hint="eastAsia" w:ascii="方正小标宋_GBK" w:hAnsi="宋体" w:eastAsia="方正小标宋_GBK"/>
          <w:sz w:val="36"/>
          <w:szCs w:val="36"/>
          <w:lang w:val="en-US" w:eastAsia="zh-CN"/>
        </w:rPr>
        <w:t>1</w:t>
      </w:r>
      <w:r>
        <w:rPr>
          <w:rFonts w:hint="eastAsia" w:ascii="方正小标宋_GBK" w:hAnsi="宋体" w:eastAsia="方正小标宋_GBK"/>
          <w:sz w:val="36"/>
          <w:szCs w:val="36"/>
        </w:rPr>
        <w:t>月</w:t>
      </w:r>
    </w:p>
    <w:p>
      <w:pPr>
        <w:spacing w:line="720" w:lineRule="exact"/>
        <w:jc w:val="center"/>
        <w:outlineLvl w:val="0"/>
        <w:rPr>
          <w:rFonts w:ascii="方正黑体_GBK" w:hAnsi="宋体" w:eastAsia="方正黑体_GBK"/>
          <w:sz w:val="48"/>
          <w:szCs w:val="32"/>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titlePg/>
          <w:docGrid w:linePitch="381" w:charSpace="-5735"/>
        </w:sectPr>
      </w:pPr>
    </w:p>
    <w:p>
      <w:pPr>
        <w:pStyle w:val="3"/>
        <w:spacing w:line="360" w:lineRule="auto"/>
        <w:jc w:val="center"/>
        <w:rPr>
          <w:rFonts w:hint="eastAsia" w:ascii="方正小标宋_GBK" w:hAnsi="宋体" w:eastAsia="方正小标宋_GBK"/>
          <w:b w:val="0"/>
          <w:szCs w:val="30"/>
        </w:rPr>
      </w:pPr>
      <w:bookmarkStart w:id="0" w:name="_Toc12789052"/>
      <w:bookmarkStart w:id="1" w:name="_Toc76462316"/>
      <w:bookmarkStart w:id="2" w:name="_Toc11641050"/>
      <w:bookmarkStart w:id="3" w:name="_Toc106030870"/>
      <w:r>
        <w:rPr>
          <w:rFonts w:hint="eastAsia" w:ascii="方正小标宋_GBK" w:hAnsi="宋体" w:eastAsia="方正小标宋_GBK"/>
          <w:b w:val="0"/>
          <w:sz w:val="36"/>
          <w:szCs w:val="30"/>
        </w:rPr>
        <w:t>第一篇  采购邀请书</w:t>
      </w:r>
      <w:bookmarkEnd w:id="0"/>
      <w:bookmarkEnd w:id="1"/>
      <w:bookmarkEnd w:id="2"/>
      <w:bookmarkEnd w:id="3"/>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重庆市沙坪坝区公共资源交易中心</w:t>
      </w:r>
      <w:r>
        <w:rPr>
          <w:rFonts w:hint="eastAsia" w:ascii="方正仿宋_GBK" w:hAnsi="宋体" w:eastAsia="方正仿宋_GBK"/>
          <w:sz w:val="24"/>
          <w:szCs w:val="24"/>
        </w:rPr>
        <w:t>（以下简称：采购代理机构）接受</w:t>
      </w:r>
      <w:r>
        <w:rPr>
          <w:rFonts w:hint="eastAsia" w:ascii="方正仿宋_GBK" w:hAnsi="宋体" w:eastAsia="方正仿宋_GBK"/>
          <w:sz w:val="24"/>
          <w:szCs w:val="24"/>
          <w:lang w:eastAsia="zh-CN"/>
        </w:rPr>
        <w:t>重庆市沙坪坝区住房保障中心</w:t>
      </w:r>
      <w:r>
        <w:rPr>
          <w:rFonts w:hint="eastAsia" w:ascii="方正仿宋_GBK" w:hAnsi="宋体" w:eastAsia="方正仿宋_GBK"/>
          <w:sz w:val="24"/>
          <w:szCs w:val="24"/>
        </w:rPr>
        <w:t>（以下简称：采购人）的委托，对</w:t>
      </w:r>
      <w:r>
        <w:rPr>
          <w:rFonts w:hint="eastAsia" w:ascii="方正仿宋_GBK" w:hAnsi="宋体" w:eastAsia="方正仿宋_GBK"/>
          <w:sz w:val="24"/>
          <w:szCs w:val="24"/>
          <w:lang w:eastAsia="zh-CN"/>
        </w:rPr>
        <w:t>重庆市沙坪坝区住房保障中心采购后勤保障服务</w:t>
      </w:r>
      <w:r>
        <w:rPr>
          <w:rFonts w:hint="eastAsia" w:ascii="方正仿宋_GBK" w:hAnsi="宋体" w:eastAsia="方正仿宋_GBK"/>
          <w:sz w:val="24"/>
          <w:szCs w:val="24"/>
        </w:rPr>
        <w:t>项目进行竞争性磋商采购。欢迎有资格的供应商前来参与磋商。</w:t>
      </w:r>
    </w:p>
    <w:p>
      <w:pPr>
        <w:pStyle w:val="3"/>
        <w:adjustRightInd w:val="0"/>
        <w:snapToGrid w:val="0"/>
        <w:spacing w:before="0" w:after="0" w:line="400" w:lineRule="exact"/>
        <w:ind w:firstLine="482" w:firstLineChars="200"/>
        <w:rPr>
          <w:rFonts w:ascii="方正仿宋_GBK" w:hAnsi="宋体" w:eastAsia="方正仿宋_GBK"/>
          <w:sz w:val="24"/>
        </w:rPr>
      </w:pPr>
      <w:bookmarkStart w:id="4" w:name="_Toc317775175"/>
      <w:bookmarkStart w:id="5" w:name="_Toc76462317"/>
      <w:bookmarkStart w:id="6" w:name="_Toc313893526"/>
      <w:bookmarkStart w:id="7" w:name="_Toc106030871"/>
      <w:r>
        <w:rPr>
          <w:rFonts w:hint="eastAsia" w:ascii="方正仿宋_GBK" w:hAnsi="宋体" w:eastAsia="方正仿宋_GBK"/>
          <w:sz w:val="24"/>
        </w:rPr>
        <w:t>一、竞争性磋商内容</w:t>
      </w:r>
      <w:bookmarkEnd w:id="4"/>
      <w:bookmarkEnd w:id="5"/>
      <w:bookmarkEnd w:id="6"/>
      <w:bookmarkEnd w:id="7"/>
    </w:p>
    <w:tbl>
      <w:tblPr>
        <w:tblStyle w:val="18"/>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9"/>
        <w:gridCol w:w="1662"/>
        <w:gridCol w:w="993"/>
        <w:gridCol w:w="1267"/>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849"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名称</w:t>
            </w:r>
          </w:p>
        </w:tc>
        <w:tc>
          <w:tcPr>
            <w:tcW w:w="1662"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最高限价</w:t>
            </w:r>
          </w:p>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993"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保证金</w:t>
            </w:r>
          </w:p>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1267"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成交供应商数量（名）</w:t>
            </w:r>
          </w:p>
        </w:tc>
        <w:tc>
          <w:tcPr>
            <w:tcW w:w="2516"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2849"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kern w:val="0"/>
                <w:sz w:val="21"/>
                <w:szCs w:val="24"/>
                <w:lang w:eastAsia="zh-CN"/>
              </w:rPr>
            </w:pPr>
            <w:bookmarkStart w:id="8" w:name="_Hlk344477914"/>
            <w:r>
              <w:rPr>
                <w:rFonts w:hint="eastAsia" w:ascii="方正仿宋_GBK" w:hAnsi="宋体" w:eastAsia="方正仿宋_GBK" w:cs="宋体"/>
                <w:kern w:val="0"/>
                <w:sz w:val="21"/>
                <w:szCs w:val="24"/>
                <w:lang w:eastAsia="zh-CN"/>
              </w:rPr>
              <w:t>重庆市沙坪坝区住房保障中心采购后勤保障服务</w:t>
            </w:r>
          </w:p>
        </w:tc>
        <w:tc>
          <w:tcPr>
            <w:tcW w:w="1662"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kern w:val="0"/>
                <w:sz w:val="21"/>
                <w:szCs w:val="24"/>
                <w:lang w:val="en-US" w:eastAsia="zh-CN"/>
              </w:rPr>
            </w:pPr>
            <w:r>
              <w:rPr>
                <w:rFonts w:hint="eastAsia" w:ascii="方正仿宋_GBK" w:hAnsi="宋体" w:eastAsia="方正仿宋_GBK" w:cs="宋体"/>
                <w:kern w:val="0"/>
                <w:sz w:val="21"/>
                <w:szCs w:val="24"/>
                <w:lang w:val="en-US" w:eastAsia="zh-CN"/>
              </w:rPr>
              <w:t>80</w:t>
            </w:r>
          </w:p>
        </w:tc>
        <w:tc>
          <w:tcPr>
            <w:tcW w:w="993"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kern w:val="0"/>
                <w:sz w:val="21"/>
                <w:szCs w:val="24"/>
                <w:lang w:val="en-US" w:eastAsia="zh-CN"/>
              </w:rPr>
            </w:pPr>
            <w:r>
              <w:rPr>
                <w:rFonts w:hint="eastAsia" w:ascii="方正仿宋_GBK" w:hAnsi="宋体" w:eastAsia="方正仿宋_GBK" w:cs="宋体"/>
                <w:kern w:val="0"/>
                <w:sz w:val="21"/>
                <w:szCs w:val="24"/>
                <w:lang w:val="en-US" w:eastAsia="zh-CN"/>
              </w:rPr>
              <w:t>1.6</w:t>
            </w:r>
          </w:p>
        </w:tc>
        <w:tc>
          <w:tcPr>
            <w:tcW w:w="1267"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kern w:val="0"/>
                <w:sz w:val="21"/>
                <w:szCs w:val="24"/>
                <w:lang w:val="en-US" w:eastAsia="zh-CN"/>
              </w:rPr>
            </w:pPr>
            <w:r>
              <w:rPr>
                <w:rFonts w:hint="eastAsia" w:ascii="方正仿宋_GBK" w:hAnsi="宋体" w:eastAsia="方正仿宋_GBK" w:cs="宋体"/>
                <w:kern w:val="0"/>
                <w:sz w:val="21"/>
                <w:szCs w:val="24"/>
                <w:lang w:val="en-US" w:eastAsia="zh-CN"/>
              </w:rPr>
              <w:t>1</w:t>
            </w:r>
          </w:p>
        </w:tc>
        <w:tc>
          <w:tcPr>
            <w:tcW w:w="2516"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b/>
                <w:sz w:val="21"/>
                <w:szCs w:val="21"/>
                <w:lang w:val="en-US" w:eastAsia="zh-CN"/>
              </w:rPr>
            </w:pPr>
            <w:r>
              <w:rPr>
                <w:rFonts w:hint="eastAsia" w:ascii="方正仿宋_GBK" w:hAnsi="宋体" w:eastAsia="方正仿宋_GBK" w:cs="宋体"/>
                <w:kern w:val="0"/>
                <w:sz w:val="21"/>
                <w:szCs w:val="24"/>
              </w:rPr>
              <w:t>物业管理</w:t>
            </w:r>
          </w:p>
        </w:tc>
      </w:tr>
      <w:bookmarkEnd w:id="8"/>
    </w:tbl>
    <w:p>
      <w:pPr>
        <w:pStyle w:val="3"/>
        <w:adjustRightInd w:val="0"/>
        <w:snapToGrid w:val="0"/>
        <w:spacing w:before="0" w:after="0" w:line="400" w:lineRule="exact"/>
        <w:ind w:firstLine="482" w:firstLineChars="200"/>
        <w:rPr>
          <w:rFonts w:hint="eastAsia" w:ascii="方正仿宋_GBK" w:hAnsi="宋体" w:eastAsia="方正仿宋_GBK"/>
          <w:sz w:val="24"/>
        </w:rPr>
      </w:pPr>
      <w:bookmarkStart w:id="9" w:name="_Toc76462318"/>
      <w:bookmarkStart w:id="10" w:name="_Toc106030872"/>
      <w:bookmarkStart w:id="11" w:name="_Toc373860293"/>
      <w:bookmarkStart w:id="12" w:name="_Toc317775178"/>
      <w:r>
        <w:rPr>
          <w:rFonts w:hint="eastAsia" w:ascii="方正仿宋_GBK" w:hAnsi="宋体" w:eastAsia="方正仿宋_GBK"/>
          <w:sz w:val="24"/>
          <w:szCs w:val="24"/>
          <w:lang w:val="en-US" w:eastAsia="zh-CN"/>
        </w:rPr>
        <w:t>注：供应商可同时参加一个或多个分包的磋商，但须分别制作响应文件（有分包时）</w:t>
      </w:r>
    </w:p>
    <w:p>
      <w:pPr>
        <w:pStyle w:val="3"/>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二、资金来源</w:t>
      </w:r>
      <w:bookmarkEnd w:id="9"/>
      <w:bookmarkEnd w:id="10"/>
    </w:p>
    <w:p>
      <w:pPr>
        <w:spacing w:line="400" w:lineRule="exact"/>
        <w:ind w:firstLine="480" w:firstLineChars="200"/>
        <w:rPr>
          <w:rFonts w:hint="eastAsia" w:ascii="方正仿宋_GBK" w:hAnsi="宋体" w:eastAsia="方正仿宋_GBK"/>
          <w:sz w:val="24"/>
          <w:szCs w:val="24"/>
        </w:rPr>
      </w:pPr>
      <w:r>
        <w:rPr>
          <w:rFonts w:hint="eastAsia" w:ascii="方正仿宋_GBK" w:hAnsi="仿宋" w:eastAsia="方正仿宋_GBK"/>
          <w:sz w:val="24"/>
          <w:szCs w:val="24"/>
        </w:rPr>
        <w:t>财政预算资金，预算金额为</w:t>
      </w:r>
      <w:r>
        <w:rPr>
          <w:rFonts w:hint="eastAsia" w:ascii="方正仿宋_GBK" w:hAnsi="宋体" w:eastAsia="方正仿宋_GBK" w:cs="宋体"/>
          <w:kern w:val="0"/>
          <w:sz w:val="21"/>
          <w:szCs w:val="24"/>
          <w:lang w:val="en-US" w:eastAsia="zh-CN"/>
        </w:rPr>
        <w:t>80</w:t>
      </w:r>
      <w:r>
        <w:rPr>
          <w:rFonts w:hint="eastAsia" w:ascii="方正仿宋_GBK" w:hAnsi="仿宋" w:eastAsia="方正仿宋_GBK"/>
          <w:sz w:val="24"/>
          <w:szCs w:val="24"/>
        </w:rPr>
        <w:t>万元</w:t>
      </w:r>
      <w:r>
        <w:rPr>
          <w:rFonts w:hint="eastAsia" w:ascii="方正仿宋_GBK" w:hAnsi="宋体" w:eastAsia="方正仿宋_GBK"/>
          <w:sz w:val="24"/>
          <w:szCs w:val="24"/>
        </w:rPr>
        <w:t>。</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13" w:name="_Toc106030873"/>
      <w:bookmarkStart w:id="14" w:name="_Toc76462319"/>
      <w:r>
        <w:rPr>
          <w:rFonts w:hint="eastAsia" w:ascii="方正仿宋_GBK" w:hAnsi="宋体" w:eastAsia="方正仿宋_GBK"/>
          <w:sz w:val="24"/>
        </w:rPr>
        <w:t>三、供应商资格条件</w:t>
      </w:r>
      <w:bookmarkEnd w:id="13"/>
      <w:bookmarkEnd w:id="14"/>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（一）满足《中华人民共和国政府采购法》第二十二条规定；</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（二）落实政府采购政策需满足的资格要求：</w:t>
      </w:r>
      <w:r>
        <w:rPr>
          <w:rFonts w:hint="eastAsia" w:ascii="方正仿宋_GBK" w:hAnsi="宋体" w:eastAsia="方正仿宋_GBK"/>
          <w:sz w:val="24"/>
          <w:szCs w:val="24"/>
          <w:lang w:val="en-US" w:eastAsia="zh-CN"/>
        </w:rPr>
        <w:t>本项目</w:t>
      </w:r>
      <w:r>
        <w:rPr>
          <w:rFonts w:hint="eastAsia" w:ascii="方正仿宋_GBK" w:hAnsi="宋体" w:eastAsia="方正仿宋_GBK"/>
          <w:sz w:val="24"/>
          <w:szCs w:val="24"/>
        </w:rPr>
        <w:t>属于专门面向中小企业采购的项目</w:t>
      </w:r>
      <w:r>
        <w:rPr>
          <w:rFonts w:hint="eastAsia" w:ascii="方正仿宋_GBK" w:hAnsi="宋体" w:eastAsia="方正仿宋_GBK"/>
          <w:sz w:val="24"/>
          <w:szCs w:val="24"/>
          <w:lang w:eastAsia="zh-CN"/>
        </w:rPr>
        <w:t>，服务承接单位应为中小微企业、监狱企业、残疾人福利性单位。</w:t>
      </w:r>
    </w:p>
    <w:p>
      <w:pPr>
        <w:numPr>
          <w:ilvl w:val="0"/>
          <w:numId w:val="0"/>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三</w:t>
      </w:r>
      <w:r>
        <w:rPr>
          <w:rFonts w:hint="eastAsia" w:ascii="方正仿宋_GBK" w:hAnsi="宋体" w:eastAsia="方正仿宋_GBK"/>
          <w:sz w:val="24"/>
          <w:szCs w:val="24"/>
          <w:lang w:eastAsia="zh-CN"/>
        </w:rPr>
        <w:t>）</w:t>
      </w:r>
      <w:r>
        <w:rPr>
          <w:rFonts w:hint="eastAsia" w:ascii="方正仿宋_GBK" w:hAnsi="宋体" w:eastAsia="方正仿宋_GBK"/>
          <w:sz w:val="24"/>
          <w:szCs w:val="24"/>
        </w:rPr>
        <w:t>本项目的特定资格要求：</w:t>
      </w:r>
      <w:r>
        <w:rPr>
          <w:rFonts w:hint="eastAsia" w:ascii="方正仿宋_GBK" w:hAnsi="宋体" w:eastAsia="方正仿宋_GBK"/>
          <w:sz w:val="24"/>
          <w:szCs w:val="24"/>
          <w:lang w:val="en-US" w:eastAsia="zh-CN"/>
        </w:rPr>
        <w:t>已按规定缴纳保证金的证明材料。</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15" w:name="_Toc106030874"/>
      <w:bookmarkStart w:id="16" w:name="_Toc76462320"/>
      <w:r>
        <w:rPr>
          <w:rFonts w:hint="eastAsia" w:ascii="方正仿宋_GBK" w:hAnsi="宋体" w:eastAsia="方正仿宋_GBK"/>
          <w:sz w:val="24"/>
        </w:rPr>
        <w:t>四、磋商有关说明</w:t>
      </w:r>
      <w:bookmarkEnd w:id="11"/>
      <w:bookmarkEnd w:id="15"/>
      <w:bookmarkEnd w:id="16"/>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（一）供应商应通过重庆市政府采购网（</w:t>
      </w:r>
      <w:r>
        <w:rPr>
          <w:rFonts w:hint="eastAsia" w:ascii="方正仿宋_GBK" w:hAnsi="宋体" w:eastAsia="方正仿宋_GBK"/>
          <w:sz w:val="24"/>
          <w:szCs w:val="24"/>
        </w:rPr>
        <w:fldChar w:fldCharType="begin"/>
      </w:r>
      <w:r>
        <w:rPr>
          <w:rFonts w:hint="eastAsia" w:ascii="方正仿宋_GBK" w:hAnsi="宋体" w:eastAsia="方正仿宋_GBK"/>
          <w:sz w:val="24"/>
          <w:szCs w:val="24"/>
        </w:rPr>
        <w:instrText xml:space="preserve"> HYPERLINK "http://www.cqgp.gov.cn" </w:instrText>
      </w:r>
      <w:r>
        <w:rPr>
          <w:rFonts w:hint="eastAsia" w:ascii="方正仿宋_GBK" w:hAnsi="宋体" w:eastAsia="方正仿宋_GBK"/>
          <w:sz w:val="24"/>
          <w:szCs w:val="24"/>
        </w:rPr>
        <w:fldChar w:fldCharType="separate"/>
      </w:r>
      <w:r>
        <w:rPr>
          <w:rStyle w:val="17"/>
          <w:rFonts w:hint="eastAsia" w:ascii="方正仿宋_GBK" w:hAnsi="宋体" w:eastAsia="方正仿宋_GBK"/>
          <w:color w:val="auto"/>
          <w:szCs w:val="24"/>
        </w:rPr>
        <w:t>www.ccgp-chongqing.gov.cn</w:t>
      </w:r>
      <w:r>
        <w:rPr>
          <w:rFonts w:hint="eastAsia" w:ascii="方正仿宋_GBK" w:hAnsi="宋体" w:eastAsia="方正仿宋_GBK"/>
          <w:sz w:val="24"/>
          <w:szCs w:val="24"/>
        </w:rPr>
        <w:fldChar w:fldCharType="end"/>
      </w:r>
      <w:r>
        <w:rPr>
          <w:rFonts w:hint="eastAsia" w:ascii="方正仿宋_GBK" w:hAnsi="宋体" w:eastAsia="方正仿宋_GBK"/>
          <w:sz w:val="24"/>
          <w:szCs w:val="24"/>
        </w:rPr>
        <w:t>）登记加入“重庆市政府采购供应商库”。</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（二）凡有意参加磋商的供应商，请在重庆市政府采购网上下载本项目竞争性磋商文件以及图纸、</w:t>
      </w:r>
      <w:r>
        <w:rPr>
          <w:rFonts w:hint="eastAsia" w:ascii="方正仿宋_GBK" w:hAnsi="宋体" w:eastAsia="方正仿宋_GBK"/>
          <w:sz w:val="24"/>
          <w:szCs w:val="24"/>
          <w:lang w:val="en-US" w:eastAsia="zh-CN"/>
        </w:rPr>
        <w:t>附件、补遗、</w:t>
      </w:r>
      <w:r>
        <w:rPr>
          <w:rFonts w:hint="eastAsia" w:ascii="方正仿宋_GBK" w:hAnsi="宋体" w:eastAsia="方正仿宋_GBK"/>
          <w:sz w:val="24"/>
          <w:szCs w:val="24"/>
        </w:rPr>
        <w:t>澄清等磋商前公布的所有项目资料，无论供应商下载与否，均视为已知晓所有磋商实质性要求内容。</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（三）竞争性磋商公告期限：自采购公告发布之日起</w:t>
      </w:r>
      <w:r>
        <w:rPr>
          <w:rFonts w:hint="eastAsia" w:ascii="方正仿宋_GBK" w:hAnsi="宋体" w:eastAsia="方正仿宋_GBK"/>
          <w:sz w:val="24"/>
          <w:szCs w:val="24"/>
          <w:lang w:val="en-US" w:eastAsia="zh-CN"/>
        </w:rPr>
        <w:t>五</w:t>
      </w:r>
      <w:r>
        <w:rPr>
          <w:rFonts w:hint="eastAsia" w:ascii="方正仿宋_GBK" w:hAnsi="宋体" w:eastAsia="方正仿宋_GBK"/>
          <w:sz w:val="24"/>
          <w:szCs w:val="24"/>
        </w:rPr>
        <w:t>个工作日。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（四）竞争性磋商文件发售期限：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1.竞争性磋商文件发售期：</w:t>
      </w:r>
      <w:r>
        <w:rPr>
          <w:rFonts w:hint="eastAsia" w:ascii="方正仿宋_GBK" w:hAnsi="宋体" w:eastAsia="方正仿宋_GBK"/>
          <w:sz w:val="24"/>
          <w:szCs w:val="24"/>
          <w:lang w:val="en-US" w:eastAsia="zh-CN"/>
        </w:rPr>
        <w:t>2023</w:t>
      </w:r>
      <w:r>
        <w:rPr>
          <w:rFonts w:hint="eastAsia" w:ascii="方正仿宋_GBK" w:hAnsi="宋体" w:eastAsia="方正仿宋_GBK"/>
          <w:sz w:val="24"/>
          <w:szCs w:val="24"/>
        </w:rPr>
        <w:t>年</w:t>
      </w: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12</w:t>
      </w:r>
      <w:r>
        <w:rPr>
          <w:rFonts w:hint="eastAsia" w:ascii="方正仿宋_GBK" w:hAnsi="宋体" w:eastAsia="方正仿宋_GBK"/>
          <w:sz w:val="24"/>
          <w:szCs w:val="24"/>
        </w:rPr>
        <w:t>日</w:t>
      </w:r>
      <w:r>
        <w:rPr>
          <w:rFonts w:hint="eastAsia" w:ascii="方正仿宋_GBK" w:hAnsi="宋体" w:eastAsia="方正仿宋_GBK"/>
          <w:sz w:val="24"/>
          <w:szCs w:val="24"/>
          <w:lang w:val="en-US" w:eastAsia="zh-CN"/>
        </w:rPr>
        <w:t>起五个工作日</w:t>
      </w:r>
      <w:r>
        <w:rPr>
          <w:rFonts w:hint="eastAsia" w:ascii="方正仿宋_GBK" w:hAnsi="宋体" w:eastAsia="方正仿宋_GBK"/>
          <w:sz w:val="24"/>
          <w:szCs w:val="24"/>
        </w:rPr>
        <w:t>。</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2.报名方式：</w:t>
      </w:r>
      <w:r>
        <w:rPr>
          <w:rFonts w:hint="eastAsia" w:ascii="方正仿宋_GBK" w:hAnsi="宋体" w:eastAsia="方正仿宋_GBK"/>
          <w:sz w:val="24"/>
          <w:szCs w:val="24"/>
          <w:lang w:val="en-US" w:eastAsia="zh-CN"/>
        </w:rPr>
        <w:t>本项目无须报名。</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3.竞争性磋商文件售价：人民币</w:t>
      </w:r>
      <w:r>
        <w:rPr>
          <w:rFonts w:hint="eastAsia" w:ascii="方正仿宋_GBK" w:hAnsi="宋体" w:eastAsia="方正仿宋_GBK"/>
          <w:sz w:val="24"/>
          <w:szCs w:val="24"/>
          <w:lang w:val="en-US" w:eastAsia="zh-CN"/>
        </w:rPr>
        <w:t>0</w:t>
      </w:r>
      <w:r>
        <w:rPr>
          <w:rFonts w:hint="eastAsia" w:ascii="方正仿宋_GBK" w:hAnsi="宋体" w:eastAsia="方正仿宋_GBK"/>
          <w:sz w:val="24"/>
          <w:szCs w:val="24"/>
        </w:rPr>
        <w:t>元/包。</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（五）递交响应文件地点：</w:t>
      </w:r>
      <w:r>
        <w:rPr>
          <w:rFonts w:hint="eastAsia" w:ascii="方正仿宋_GBK" w:hAnsi="宋体" w:eastAsia="方正仿宋_GBK"/>
          <w:color w:val="000000"/>
          <w:sz w:val="24"/>
          <w:szCs w:val="24"/>
        </w:rPr>
        <w:t>重庆市沙坪坝区公共资源交易中心</w:t>
      </w:r>
      <w:r>
        <w:rPr>
          <w:rFonts w:hint="eastAsia" w:ascii="方正仿宋_GBK" w:hAnsi="宋体" w:eastAsia="方正仿宋_GBK"/>
          <w:color w:val="000000"/>
          <w:sz w:val="24"/>
          <w:szCs w:val="24"/>
          <w:lang w:eastAsia="zh-CN"/>
        </w:rPr>
        <w:t>（</w:t>
      </w:r>
      <w:r>
        <w:rPr>
          <w:rFonts w:hint="eastAsia" w:ascii="方正仿宋_GBK" w:hAnsi="宋体" w:eastAsia="方正仿宋_GBK"/>
          <w:color w:val="000000"/>
          <w:sz w:val="24"/>
          <w:szCs w:val="24"/>
        </w:rPr>
        <w:t>重庆市沙坪坝区沙中路</w:t>
      </w:r>
      <w:r>
        <w:rPr>
          <w:rFonts w:hint="eastAsia" w:ascii="方正仿宋_GBK" w:hAnsi="宋体" w:eastAsia="方正仿宋_GBK"/>
          <w:color w:val="000000"/>
          <w:sz w:val="24"/>
          <w:szCs w:val="24"/>
          <w:lang w:val="en-US" w:eastAsia="zh-CN"/>
        </w:rPr>
        <w:t>6</w:t>
      </w:r>
      <w:r>
        <w:rPr>
          <w:rFonts w:hint="eastAsia" w:ascii="方正仿宋_GBK" w:hAnsi="宋体" w:eastAsia="方正仿宋_GBK"/>
          <w:color w:val="000000"/>
          <w:sz w:val="24"/>
          <w:szCs w:val="24"/>
        </w:rPr>
        <w:t>号</w:t>
      </w:r>
      <w:r>
        <w:rPr>
          <w:rFonts w:hint="eastAsia" w:ascii="方正仿宋_GBK" w:hAnsi="宋体" w:eastAsia="方正仿宋_GBK"/>
          <w:color w:val="000000"/>
          <w:sz w:val="24"/>
          <w:szCs w:val="24"/>
          <w:lang w:eastAsia="zh-CN"/>
        </w:rPr>
        <w:t>附</w:t>
      </w:r>
      <w:r>
        <w:rPr>
          <w:rFonts w:hint="eastAsia" w:ascii="方正仿宋_GBK" w:hAnsi="宋体" w:eastAsia="方正仿宋_GBK"/>
          <w:color w:val="000000"/>
          <w:sz w:val="24"/>
          <w:szCs w:val="24"/>
          <w:lang w:val="en-US" w:eastAsia="zh-CN"/>
        </w:rPr>
        <w:t>6号）</w:t>
      </w:r>
      <w:r>
        <w:rPr>
          <w:rFonts w:hint="eastAsia" w:ascii="方正仿宋_GBK" w:hAnsi="宋体" w:eastAsia="方正仿宋_GBK"/>
          <w:color w:val="000000"/>
          <w:sz w:val="24"/>
          <w:szCs w:val="24"/>
        </w:rPr>
        <w:t>。</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（六）响应文件递交截止时间：202</w:t>
      </w: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年</w:t>
      </w: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29</w:t>
      </w:r>
      <w:r>
        <w:rPr>
          <w:rFonts w:hint="eastAsia" w:ascii="方正仿宋_GBK" w:hAnsi="宋体" w:eastAsia="方正仿宋_GBK"/>
          <w:sz w:val="24"/>
          <w:szCs w:val="24"/>
        </w:rPr>
        <w:t>日北京时间</w:t>
      </w:r>
      <w:r>
        <w:rPr>
          <w:rFonts w:hint="eastAsia" w:ascii="方正仿宋_GBK" w:hAnsi="宋体" w:eastAsia="方正仿宋_GBK"/>
          <w:sz w:val="24"/>
          <w:szCs w:val="24"/>
          <w:lang w:val="en-US" w:eastAsia="zh-CN"/>
        </w:rPr>
        <w:t>15</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00</w:t>
      </w:r>
      <w:r>
        <w:rPr>
          <w:rFonts w:hint="eastAsia" w:ascii="方正仿宋_GBK" w:hAnsi="宋体" w:eastAsia="方正仿宋_GBK"/>
          <w:sz w:val="24"/>
          <w:szCs w:val="24"/>
        </w:rPr>
        <w:t>（以本项目开标室门口</w:t>
      </w:r>
      <w:r>
        <w:rPr>
          <w:rFonts w:hint="eastAsia" w:ascii="方正仿宋_GBK" w:hAnsi="宋体" w:eastAsia="方正仿宋_GBK"/>
          <w:sz w:val="24"/>
          <w:szCs w:val="24"/>
          <w:lang w:val="en-US" w:eastAsia="zh-CN"/>
        </w:rPr>
        <w:t>显示屏</w:t>
      </w:r>
      <w:r>
        <w:rPr>
          <w:rFonts w:hint="eastAsia" w:ascii="方正仿宋_GBK" w:hAnsi="宋体" w:eastAsia="方正仿宋_GBK"/>
          <w:sz w:val="24"/>
          <w:szCs w:val="24"/>
        </w:rPr>
        <w:t>时间为准）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（七）磋商开始时间：202</w:t>
      </w: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年</w:t>
      </w: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29</w:t>
      </w:r>
      <w:r>
        <w:rPr>
          <w:rFonts w:hint="eastAsia" w:ascii="方正仿宋_GBK" w:hAnsi="宋体" w:eastAsia="方正仿宋_GBK"/>
          <w:sz w:val="24"/>
          <w:szCs w:val="24"/>
        </w:rPr>
        <w:t>日北京时间</w:t>
      </w:r>
      <w:r>
        <w:rPr>
          <w:rFonts w:hint="eastAsia" w:ascii="方正仿宋_GBK" w:hAnsi="宋体" w:eastAsia="方正仿宋_GBK"/>
          <w:sz w:val="24"/>
          <w:szCs w:val="24"/>
          <w:lang w:val="en-US" w:eastAsia="zh-CN"/>
        </w:rPr>
        <w:t>15</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00</w:t>
      </w:r>
      <w:r>
        <w:rPr>
          <w:rFonts w:hint="eastAsia" w:ascii="方正仿宋_GBK" w:hAnsi="宋体" w:eastAsia="方正仿宋_GBK"/>
          <w:sz w:val="24"/>
          <w:szCs w:val="24"/>
        </w:rPr>
        <w:t>（以本项目开标室门口</w:t>
      </w:r>
      <w:r>
        <w:rPr>
          <w:rFonts w:hint="eastAsia" w:ascii="方正仿宋_GBK" w:hAnsi="宋体" w:eastAsia="方正仿宋_GBK"/>
          <w:sz w:val="24"/>
          <w:szCs w:val="24"/>
          <w:lang w:val="en-US" w:eastAsia="zh-CN"/>
        </w:rPr>
        <w:t>显示屏</w:t>
      </w:r>
      <w:r>
        <w:rPr>
          <w:rFonts w:hint="eastAsia" w:ascii="方正仿宋_GBK" w:hAnsi="宋体" w:eastAsia="方正仿宋_GBK"/>
          <w:sz w:val="24"/>
          <w:szCs w:val="24"/>
        </w:rPr>
        <w:t>时间为准）</w:t>
      </w:r>
    </w:p>
    <w:bookmarkEnd w:id="12"/>
    <w:p>
      <w:pPr>
        <w:pStyle w:val="3"/>
        <w:adjustRightInd w:val="0"/>
        <w:snapToGrid w:val="0"/>
        <w:spacing w:before="0" w:after="0" w:line="400" w:lineRule="exact"/>
        <w:ind w:firstLine="482" w:firstLineChars="200"/>
        <w:rPr>
          <w:rFonts w:hint="eastAsia" w:ascii="方正仿宋_GBK" w:hAnsi="宋体" w:eastAsia="方正仿宋_GBK"/>
          <w:sz w:val="24"/>
        </w:rPr>
      </w:pPr>
      <w:bookmarkStart w:id="17" w:name="_Toc65660334"/>
      <w:bookmarkStart w:id="18" w:name="_Toc521053053"/>
      <w:bookmarkStart w:id="19" w:name="_Toc6178"/>
      <w:bookmarkStart w:id="20" w:name="_Toc4638"/>
      <w:bookmarkStart w:id="21" w:name="_Toc525047161"/>
      <w:bookmarkStart w:id="22" w:name="_Toc106034774"/>
      <w:bookmarkStart w:id="23" w:name="_Toc11956"/>
      <w:bookmarkStart w:id="24" w:name="_Toc76462321"/>
      <w:bookmarkStart w:id="25" w:name="_Toc106030875"/>
      <w:bookmarkStart w:id="26" w:name="_Toc480466698"/>
      <w:bookmarkStart w:id="27" w:name="_Toc479668114"/>
      <w:r>
        <w:rPr>
          <w:rFonts w:hint="eastAsia" w:ascii="方正仿宋_GBK" w:hAnsi="宋体" w:eastAsia="方正仿宋_GBK"/>
          <w:sz w:val="24"/>
        </w:rPr>
        <w:t>五、保证金</w:t>
      </w:r>
      <w:bookmarkEnd w:id="17"/>
      <w:bookmarkEnd w:id="18"/>
      <w:bookmarkEnd w:id="19"/>
      <w:bookmarkEnd w:id="20"/>
      <w:bookmarkEnd w:id="21"/>
      <w:bookmarkEnd w:id="22"/>
      <w:bookmarkEnd w:id="23"/>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（一）缴纳保证金方式</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方式1：转账（若供应商选择此方式，须执行本规定）</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1.1供应商必须于2023年1月12日北京时间17:00′00″前将投标保证金以非现金形式从本单位账户转入重庆市沙坪坝区公共资源交易中心指定的保证金账户。</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1.2保证金应按招标文件规定的方式和金额缴纳;有分包的应按各分包对应的缴纳保证金专户信息（由母账号及子账号组成）缴纳;供应商应按本次采购项目公告提供的专户信息（由母账号及子账号组成）及保证金金额一次性足额缴纳保证金,否则将认定为无效投标。</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注：响应供应商须自行考虑转账时间风险，因银行等原因造成的保证金到账确认时间延迟，重庆市沙坪坝区公共资源交易中心不承担任何责任。</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1.3保证金退还方式</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1.3.1《成交通知书》发出后无息退还未成交供应商的保证金，在采购合同签订后无息退还成交供应商的保证金。</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方式2：电子投标保函（若供应商选择此方式，须执行本规定）</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2.1电子投标保函交纳形式及要求</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供应商在投标文件递交截止时间前通过金融服务支撑平台向金融机构申请开具电子投标保函，电子投标保函应至少体现如下内容：</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2.1.1担保项目必须为本项目。</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2.1.2受益人必须为本项目采购人。</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2.1.3保函担保金额必须满足本项目招标文件要求：详见本篇“一、招标项目内容”。</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2.1.4保函生效时间必须在2023年1月  日前（含），有效期限必须至少包含至整个投标有效期结束后30日。否则，投标保函无效，判定为不符合本项目资格要求。</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2.2投标保函有效性</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电子投标保函的有效性以重庆市沙坪坝区公共资源交易中心开标现场提交的投标保函缴纳情况的信息为准。</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2.3若供应商为联合体，则由联合体牵头人提供投标保函。</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2.4技术咨询电话：023-65360409</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方式3：纸质投标保函（若供应商选择此方式，须执行本规定）</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3.1纸质投标保函交纳形式及要求：</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3.1.1缴纳形式：响应供应商提供不可撤销且见索即付的金融机构或担保机构保函。</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3.1.2具体要求：响应供应商须在投标文件的“资格文件”中提供开具的纸质投标保函正本复制件，纸质投标保函正本原件应当于投标文件提交截止时间前在开标现场递交，由采购代理机构保管。纸质投标保函应至少体现如下内容：</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3.1.2.1担保项目必须为本项目。</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3.1.2.2受益人必须为本项目采购人。</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3.1.2.3保函担保金额必须满足本项目招标文件要求。</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3.1.2.4保函生效时间必须在2023年1月  日前（含），有效期限必须至少包含至整个投标有效期结束后30日；</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3.1.2.5保函须不可撤销且见索即付。</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3.2若投标截止时间延期，则纸质投标保函递交的截止时间和投标截止时间保持一致。</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3.3采购代理机构展示纸质投标保函方式保证金的交纳情况，并对异常情况进行记录。</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3.4资格审查委员会负责对保函内容进行形式审查，不满足上述要求的纸质投标保函无效。</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3.5以纸质投标保函形式担保的投标保证金的金额：详见本篇“一、招标项目内容”。</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3.6响应供应商须确保其递交的纸质投标保函能在重庆市核验真伪，并在投标文件的“资格文件”中提供纸质投标保函的核验地点、方式和联系人，否则该纸质投标保函视为无效。</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3.7响应供应商在开标现场递交的纸质投标保函原件应与投标文件中提供的纸质投标保函扫描件一致，否则判定为不符合本项目资格要求。</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3.8在发出中标通知书前，采购人应当对响应供应商（至少中标候选人或中标人）的纸质投标保函开展核验。采购人按照响应供应商提供的核验地点、方式和联系人等信息无法对该纸质投标保函进行核验的，或发现响应供应商递交的纸质投标保函弄虚作假的，对已取得中标候选人资格或中标资格的响应供应商，取消中标候选人资格或中标资格，给采购人造成损失的，响应供应商依法承担赔偿责任。采购人对纸质投标保函无法核验的，应当报行政监管部门依法依规处理；对纸质投标保函弄虚作假的，应当报行政监管部门和公安机关依法依规处理。</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3.9若响应供应商为联合体，则由联合体牵头人提供纸质投标保函。</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3.10纸质投标保函的退还、注销</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3.10.1采购人应当在法定时间内确定中标人，采购代理机构向中标人发出中标通知书，同时向除中标人以外的其他响应供应商退还纸质投标保函正本并书面通知担保人本项目准予提前注销纸质投标保函。具体注销事宜由响应供应商负责办理。</w:t>
      </w:r>
    </w:p>
    <w:p>
      <w:pPr>
        <w:snapToGrid w:val="0"/>
        <w:spacing w:line="400" w:lineRule="exact"/>
        <w:ind w:firstLine="480" w:firstLineChars="200"/>
        <w:rPr>
          <w:rFonts w:hint="default" w:ascii="方正仿宋_GBK" w:hAnsi="宋体" w:eastAsia="方正仿宋_GBK"/>
          <w:sz w:val="24"/>
          <w:szCs w:val="24"/>
        </w:rPr>
      </w:pPr>
      <w:r>
        <w:rPr>
          <w:rFonts w:hint="eastAsia" w:ascii="方正仿宋_GBK" w:hAnsi="宋体" w:eastAsia="方正仿宋_GBK"/>
          <w:sz w:val="24"/>
          <w:szCs w:val="24"/>
          <w:lang w:val="en-US" w:eastAsia="zh-CN"/>
        </w:rPr>
        <w:t>3.10.2采购人应在法定时间内和中标人签订合同，并同时书面通知担保人向中标人注销纸质投标保函。具体注销事宜由响应供应商负责办理</w:t>
      </w:r>
      <w:r>
        <w:rPr>
          <w:rFonts w:hint="default" w:ascii="方正仿宋_GBK" w:hAnsi="宋体" w:eastAsia="方正仿宋_GBK"/>
          <w:sz w:val="24"/>
          <w:szCs w:val="24"/>
        </w:rPr>
        <w:t>。</w:t>
      </w:r>
    </w:p>
    <w:p>
      <w:pPr>
        <w:snapToGrid w:val="0"/>
        <w:spacing w:line="400" w:lineRule="exact"/>
        <w:ind w:firstLine="480" w:firstLineChars="200"/>
        <w:rPr>
          <w:rFonts w:hint="eastAsia" w:ascii="方正仿宋_GBK" w:hAnsi="宋体" w:eastAsia="方正仿宋_GBK"/>
          <w:color w:val="auto"/>
          <w:sz w:val="24"/>
          <w:szCs w:val="24"/>
          <w:lang w:val="en-US" w:eastAsia="zh-CN"/>
        </w:rPr>
      </w:pPr>
      <w:r>
        <w:rPr>
          <w:rFonts w:hint="eastAsia" w:ascii="方正仿宋_GBK" w:hAnsi="宋体" w:eastAsia="方正仿宋_GBK"/>
          <w:sz w:val="24"/>
          <w:szCs w:val="24"/>
          <w:lang w:val="en-US" w:eastAsia="zh-CN"/>
        </w:rPr>
        <w:t>（二）</w:t>
      </w:r>
      <w:r>
        <w:rPr>
          <w:rFonts w:hint="eastAsia" w:ascii="方正仿宋_GBK" w:hAnsi="宋体" w:eastAsia="方正仿宋_GBK"/>
          <w:color w:val="auto"/>
          <w:sz w:val="24"/>
          <w:szCs w:val="24"/>
          <w:lang w:val="en-US" w:eastAsia="zh-CN"/>
        </w:rPr>
        <w:t>履约保证金</w:t>
      </w:r>
    </w:p>
    <w:p>
      <w:pPr>
        <w:snapToGrid w:val="0"/>
        <w:spacing w:line="400" w:lineRule="exact"/>
        <w:ind w:firstLine="480" w:firstLineChars="200"/>
        <w:rPr>
          <w:rFonts w:hint="eastAsia" w:ascii="方正仿宋_GBK" w:hAnsi="宋体" w:eastAsia="方正仿宋_GBK"/>
          <w:color w:val="auto"/>
          <w:sz w:val="24"/>
          <w:szCs w:val="24"/>
        </w:rPr>
      </w:pPr>
      <w:r>
        <w:rPr>
          <w:rFonts w:hint="eastAsia" w:ascii="方正仿宋_GBK" w:hAnsi="宋体" w:eastAsia="方正仿宋_GBK"/>
          <w:color w:val="auto"/>
          <w:sz w:val="24"/>
          <w:szCs w:val="24"/>
          <w:lang w:val="en-US" w:eastAsia="zh-CN"/>
        </w:rPr>
        <w:t>成交供应商应在签订合同前将履约保证金以非现金形式提交至采购人指定账户，履约保证金的金额为成交金额的3%。</w:t>
      </w:r>
    </w:p>
    <w:p>
      <w:pPr>
        <w:pStyle w:val="3"/>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采购项目需落实的政府采购政策</w:t>
      </w:r>
      <w:bookmarkEnd w:id="24"/>
      <w:bookmarkEnd w:id="25"/>
      <w:bookmarkEnd w:id="26"/>
      <w:bookmarkEnd w:id="27"/>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（二）按照财政部、工业和信息化部关于印发《政府采购促进中小企业发展管理办法》的通知（财库〔2020〕46号）的规定，落实促进中小企业发展政策。</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（三）按照《财政部、司法部关于政府采购支持监狱企业发展有关问题的通知》（财库〔2014〕68号）的规定，落实支持监狱企业发展政策。</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（四）按照《三部门联合发布关于促进残疾人就业政府采购政策的通知》（财库〔2017〕 141号）的规定，落实支持残疾人福利性单位发展政策。</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28" w:name="_Toc480466699"/>
      <w:bookmarkStart w:id="29" w:name="_Toc106030876"/>
      <w:bookmarkStart w:id="30" w:name="_Toc76462322"/>
      <w:r>
        <w:rPr>
          <w:rFonts w:hint="eastAsia" w:ascii="方正仿宋_GBK" w:hAnsi="宋体" w:eastAsia="方正仿宋_GBK"/>
          <w:sz w:val="24"/>
        </w:rPr>
        <w:t>六、其它有关规定</w:t>
      </w:r>
      <w:bookmarkEnd w:id="28"/>
      <w:bookmarkEnd w:id="29"/>
      <w:bookmarkEnd w:id="30"/>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（一）单位负责人为同一人或者存在直接控股、管理关系的不同供应商，</w:t>
      </w:r>
      <w:r>
        <w:rPr>
          <w:rFonts w:ascii="方正仿宋_GBK" w:hAnsi="宋体" w:eastAsia="方正仿宋_GBK"/>
          <w:sz w:val="24"/>
          <w:szCs w:val="24"/>
        </w:rPr>
        <w:t>不得参加同一合同项</w:t>
      </w:r>
      <w:r>
        <w:rPr>
          <w:rFonts w:hint="eastAsia" w:ascii="方正仿宋_GBK" w:hAnsi="宋体" w:eastAsia="方正仿宋_GBK"/>
          <w:sz w:val="24"/>
          <w:szCs w:val="24"/>
        </w:rPr>
        <w:t>（包）</w:t>
      </w:r>
      <w:r>
        <w:rPr>
          <w:rFonts w:ascii="方正仿宋_GBK" w:hAnsi="宋体" w:eastAsia="方正仿宋_GBK"/>
          <w:sz w:val="24"/>
          <w:szCs w:val="24"/>
        </w:rPr>
        <w:t>下的政府采购活动</w:t>
      </w:r>
      <w:r>
        <w:rPr>
          <w:rFonts w:hint="eastAsia" w:ascii="方正仿宋_GBK" w:hAnsi="宋体" w:eastAsia="方正仿宋_GBK"/>
          <w:sz w:val="24"/>
          <w:szCs w:val="24"/>
        </w:rPr>
        <w:t>，否则均为无效响应。</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（二）为采购项目提供整体设计、规范编制或者项目管理、监理、检测等服务的供应商，不得再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（三）本项目的澄清文件（如果有）一律在重庆市政府采购网（www.ccgp-chongqing.gov.cn）上发布，请各供应商注意下载；无论供应商下载与否，均视同供应商已知晓本项目澄清文件（如果有）的内容。</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（四）超过响应文件截止时间递交的响应文件，恕不接收。</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（五）磋商费用：无论磋商结果如何，供应商参与本项目磋商的所有费用均应由供应商自行承担。</w:t>
      </w:r>
    </w:p>
    <w:p>
      <w:pPr>
        <w:snapToGrid w:val="0"/>
        <w:spacing w:line="400" w:lineRule="exact"/>
        <w:ind w:firstLine="361" w:firstLineChars="150"/>
        <w:rPr>
          <w:rFonts w:hint="eastAsia" w:ascii="方正仿宋_GBK" w:hAnsi="宋体" w:eastAsia="方正仿宋_GBK" w:cs="Times New Roman"/>
          <w:b/>
          <w:kern w:val="2"/>
          <w:sz w:val="24"/>
          <w:szCs w:val="22"/>
          <w:lang w:val="en-US" w:eastAsia="zh-CN" w:bidi="ar-SA"/>
        </w:rPr>
      </w:pPr>
      <w:r>
        <w:rPr>
          <w:rFonts w:hint="eastAsia" w:ascii="方正仿宋_GBK" w:hAnsi="宋体" w:eastAsia="方正仿宋_GBK" w:cs="Times New Roman"/>
          <w:b/>
          <w:kern w:val="2"/>
          <w:sz w:val="24"/>
          <w:szCs w:val="22"/>
          <w:lang w:val="en-US" w:eastAsia="zh-CN" w:bidi="ar-SA"/>
        </w:rPr>
        <w:t>（六）本项目不接受联合体参与磋商，否则按无效响应处理。</w:t>
      </w:r>
    </w:p>
    <w:p>
      <w:pPr>
        <w:snapToGrid w:val="0"/>
        <w:spacing w:line="400" w:lineRule="exact"/>
        <w:ind w:firstLine="361" w:firstLineChars="150"/>
        <w:rPr>
          <w:rFonts w:hint="eastAsia" w:ascii="方正仿宋_GBK" w:hAnsi="宋体" w:eastAsia="方正仿宋_GBK" w:cs="Times New Roman"/>
          <w:b/>
          <w:kern w:val="2"/>
          <w:sz w:val="24"/>
          <w:szCs w:val="22"/>
          <w:lang w:val="en-US" w:eastAsia="zh-CN" w:bidi="ar-SA"/>
        </w:rPr>
      </w:pPr>
      <w:r>
        <w:rPr>
          <w:rFonts w:hint="eastAsia" w:ascii="方正仿宋_GBK" w:hAnsi="宋体" w:eastAsia="方正仿宋_GBK" w:cs="Times New Roman"/>
          <w:b/>
          <w:kern w:val="2"/>
          <w:sz w:val="24"/>
          <w:szCs w:val="22"/>
          <w:lang w:val="en-US" w:eastAsia="zh-CN" w:bidi="ar-SA"/>
        </w:rPr>
        <w:t>（七）本项目不接受合同分包，否则按无效响应处理。</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（八）</w:t>
      </w:r>
      <w:bookmarkStart w:id="31" w:name="_Toc480466700"/>
      <w:r>
        <w:rPr>
          <w:rFonts w:hint="eastAsia" w:ascii="方正仿宋_GBK" w:hAnsi="宋体" w:eastAsia="方正仿宋_GBK"/>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32" w:name="_Toc106030877"/>
      <w:bookmarkStart w:id="33" w:name="_Toc76462323"/>
      <w:r>
        <w:rPr>
          <w:rFonts w:hint="eastAsia" w:ascii="方正仿宋_GBK" w:hAnsi="宋体" w:eastAsia="方正仿宋_GBK"/>
          <w:sz w:val="24"/>
        </w:rPr>
        <w:t>七、联系方式</w:t>
      </w:r>
      <w:bookmarkEnd w:id="31"/>
      <w:bookmarkEnd w:id="32"/>
      <w:bookmarkEnd w:id="33"/>
    </w:p>
    <w:p>
      <w:pPr>
        <w:snapToGrid w:val="0"/>
        <w:spacing w:line="400" w:lineRule="exact"/>
        <w:ind w:firstLine="480" w:firstLineChars="200"/>
        <w:outlineLvl w:val="2"/>
        <w:rPr>
          <w:rFonts w:hint="eastAsia" w:ascii="方正仿宋_GBK" w:hAnsi="宋体" w:eastAsia="方正仿宋_GBK"/>
          <w:sz w:val="24"/>
          <w:szCs w:val="24"/>
          <w:lang w:eastAsia="zh-CN"/>
        </w:rPr>
      </w:pPr>
      <w:r>
        <w:rPr>
          <w:rFonts w:hint="eastAsia" w:ascii="方正仿宋_GBK" w:hAnsi="宋体" w:eastAsia="方正仿宋_GBK"/>
          <w:sz w:val="24"/>
          <w:szCs w:val="24"/>
        </w:rPr>
        <w:t>（一）采购人：</w:t>
      </w:r>
      <w:r>
        <w:rPr>
          <w:rFonts w:hint="eastAsia" w:ascii="方正仿宋_GBK" w:hAnsi="宋体" w:eastAsia="方正仿宋_GBK"/>
          <w:sz w:val="24"/>
          <w:szCs w:val="24"/>
          <w:lang w:eastAsia="zh-CN"/>
        </w:rPr>
        <w:t>重庆市沙坪坝区住房保障中心</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联系人：</w:t>
      </w:r>
      <w:r>
        <w:rPr>
          <w:rFonts w:hint="eastAsia" w:ascii="方正仿宋_GBK" w:hAnsi="宋体" w:eastAsia="方正仿宋_GBK"/>
          <w:sz w:val="24"/>
          <w:szCs w:val="24"/>
          <w:lang w:val="en-US" w:eastAsia="zh-CN"/>
        </w:rPr>
        <w:t>张老师</w:t>
      </w:r>
      <w:r>
        <w:rPr>
          <w:rFonts w:hint="eastAsia" w:ascii="方正仿宋_GBK" w:hAnsi="宋体" w:eastAsia="方正仿宋_GBK"/>
          <w:sz w:val="24"/>
          <w:szCs w:val="24"/>
        </w:rPr>
        <w:t xml:space="preserve">  </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电  话：023-65390019</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地  址：沙坪坝区学府悦园公租房小区清悦路3号附6号（C1组团）</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（二）采购代理机构：</w:t>
      </w:r>
      <w:r>
        <w:rPr>
          <w:rFonts w:hint="eastAsia" w:ascii="方正仿宋_GBK" w:hAnsi="宋体" w:eastAsia="方正仿宋_GBK"/>
          <w:color w:val="000000"/>
          <w:sz w:val="24"/>
          <w:szCs w:val="24"/>
        </w:rPr>
        <w:t>重庆市沙坪坝区公共资源交易中心</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联系人：</w:t>
      </w:r>
      <w:r>
        <w:rPr>
          <w:rFonts w:hint="eastAsia" w:ascii="方正仿宋_GBK" w:hAnsi="宋体" w:eastAsia="方正仿宋_GBK"/>
          <w:sz w:val="24"/>
          <w:szCs w:val="24"/>
          <w:lang w:val="en-US" w:eastAsia="zh-CN"/>
        </w:rPr>
        <w:t>代老师</w:t>
      </w:r>
      <w:r>
        <w:rPr>
          <w:rFonts w:hint="eastAsia" w:ascii="方正仿宋_GBK" w:hAnsi="宋体" w:eastAsia="方正仿宋_GBK"/>
          <w:sz w:val="24"/>
          <w:szCs w:val="24"/>
        </w:rPr>
        <w:t xml:space="preserve"> </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电  话：023-</w:t>
      </w:r>
      <w:r>
        <w:rPr>
          <w:rFonts w:hint="eastAsia" w:ascii="方正仿宋_GBK" w:hAnsi="宋体" w:eastAsia="方正仿宋_GBK"/>
          <w:sz w:val="24"/>
          <w:szCs w:val="24"/>
          <w:lang w:val="en-US" w:eastAsia="zh-CN"/>
        </w:rPr>
        <w:t>81151011</w:t>
      </w:r>
    </w:p>
    <w:p>
      <w:pPr>
        <w:snapToGrid w:val="0"/>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质疑联系人：周老师</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联系电话</w:t>
      </w:r>
      <w:r>
        <w:rPr>
          <w:rFonts w:hint="eastAsia" w:ascii="方正仿宋_GBK" w:hAnsi="宋体" w:eastAsia="方正仿宋_GBK"/>
          <w:sz w:val="24"/>
          <w:szCs w:val="24"/>
        </w:rPr>
        <w:t>：023-</w:t>
      </w:r>
      <w:r>
        <w:rPr>
          <w:rFonts w:hint="eastAsia" w:ascii="方正仿宋_GBK" w:hAnsi="宋体" w:eastAsia="方正仿宋_GBK"/>
          <w:sz w:val="24"/>
          <w:szCs w:val="24"/>
          <w:lang w:val="en-US" w:eastAsia="zh-CN"/>
        </w:rPr>
        <w:t>81151009</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地  址：</w:t>
      </w:r>
      <w:r>
        <w:rPr>
          <w:rFonts w:hint="eastAsia" w:ascii="方正仿宋_GBK" w:hAnsi="宋体" w:eastAsia="方正仿宋_GBK"/>
          <w:color w:val="000000"/>
          <w:sz w:val="24"/>
          <w:szCs w:val="24"/>
        </w:rPr>
        <w:t>重庆市沙坪坝区沙中路</w:t>
      </w:r>
      <w:r>
        <w:rPr>
          <w:rFonts w:hint="eastAsia" w:ascii="方正仿宋_GBK" w:hAnsi="宋体" w:eastAsia="方正仿宋_GBK"/>
          <w:color w:val="000000"/>
          <w:sz w:val="24"/>
          <w:szCs w:val="24"/>
          <w:lang w:val="en-US" w:eastAsia="zh-CN"/>
        </w:rPr>
        <w:t>6</w:t>
      </w:r>
      <w:r>
        <w:rPr>
          <w:rFonts w:hint="eastAsia" w:ascii="方正仿宋_GBK" w:hAnsi="宋体" w:eastAsia="方正仿宋_GBK"/>
          <w:color w:val="000000"/>
          <w:sz w:val="24"/>
          <w:szCs w:val="24"/>
        </w:rPr>
        <w:t>号</w:t>
      </w:r>
      <w:r>
        <w:rPr>
          <w:rFonts w:hint="eastAsia" w:ascii="方正仿宋_GBK" w:hAnsi="宋体" w:eastAsia="方正仿宋_GBK"/>
          <w:color w:val="000000"/>
          <w:sz w:val="24"/>
          <w:szCs w:val="24"/>
          <w:lang w:eastAsia="zh-CN"/>
        </w:rPr>
        <w:t>附</w:t>
      </w:r>
      <w:r>
        <w:rPr>
          <w:rFonts w:hint="eastAsia" w:ascii="方正仿宋_GBK" w:hAnsi="宋体" w:eastAsia="方正仿宋_GBK"/>
          <w:color w:val="000000"/>
          <w:sz w:val="24"/>
          <w:szCs w:val="24"/>
          <w:lang w:val="en-US" w:eastAsia="zh-CN"/>
        </w:rPr>
        <w:t>6号</w:t>
      </w:r>
    </w:p>
    <w:p>
      <w:pPr>
        <w:snapToGrid w:val="0"/>
        <w:spacing w:line="400" w:lineRule="exact"/>
        <w:ind w:firstLine="480" w:firstLineChars="200"/>
        <w:rPr>
          <w:rFonts w:hint="eastAsia" w:ascii="方正仿宋_GBK" w:hAnsi="宋体" w:eastAsia="方正仿宋_GBK"/>
          <w:sz w:val="24"/>
          <w:szCs w:val="24"/>
        </w:rPr>
      </w:pPr>
    </w:p>
    <w:p>
      <w:pPr>
        <w:snapToGrid w:val="0"/>
        <w:spacing w:line="400" w:lineRule="exact"/>
        <w:ind w:firstLine="482" w:firstLineChars="200"/>
        <w:rPr>
          <w:rFonts w:hint="eastAsia" w:ascii="宋体" w:hAnsi="宋体"/>
          <w:b/>
          <w:sz w:val="24"/>
          <w:szCs w:val="24"/>
        </w:rPr>
        <w:sectPr>
          <w:pgSz w:w="11907" w:h="16840"/>
          <w:pgMar w:top="1134" w:right="1418" w:bottom="1134" w:left="1418" w:header="964" w:footer="992" w:gutter="0"/>
          <w:pgNumType w:fmt="numberInDash"/>
          <w:cols w:space="720" w:num="1"/>
          <w:docGrid w:linePitch="312" w:charSpace="0"/>
        </w:sectPr>
      </w:pPr>
    </w:p>
    <w:p>
      <w:pPr>
        <w:pStyle w:val="3"/>
        <w:spacing w:before="0" w:after="0" w:line="360" w:lineRule="auto"/>
        <w:jc w:val="center"/>
        <w:rPr>
          <w:rFonts w:hint="eastAsia" w:ascii="方正小标宋_GBK" w:hAnsi="宋体" w:eastAsia="方正小标宋_GBK"/>
          <w:b w:val="0"/>
          <w:sz w:val="30"/>
          <w:szCs w:val="30"/>
        </w:rPr>
      </w:pPr>
      <w:bookmarkStart w:id="34" w:name="_Toc106030878"/>
      <w:bookmarkStart w:id="35" w:name="_Toc76462324"/>
      <w:r>
        <w:rPr>
          <w:rFonts w:hint="eastAsia" w:ascii="方正小标宋_GBK" w:hAnsi="宋体" w:eastAsia="方正小标宋_GBK"/>
          <w:b w:val="0"/>
          <w:sz w:val="36"/>
          <w:szCs w:val="30"/>
        </w:rPr>
        <w:t>第二篇  项目服务需求</w:t>
      </w:r>
      <w:bookmarkEnd w:id="34"/>
      <w:bookmarkEnd w:id="35"/>
    </w:p>
    <w:p>
      <w:pPr>
        <w:spacing w:line="400" w:lineRule="exact"/>
        <w:ind w:firstLine="480" w:firstLineChars="200"/>
        <w:rPr>
          <w:rFonts w:hint="eastAsia" w:ascii="方正仿宋_GBK" w:hAnsi="宋体" w:eastAsia="方正仿宋_GBK"/>
          <w:sz w:val="24"/>
          <w:szCs w:val="24"/>
        </w:rPr>
      </w:pPr>
      <w:bookmarkStart w:id="36" w:name="_Toc76462325"/>
      <w:bookmarkStart w:id="37" w:name="_Toc12789058"/>
      <w:r>
        <w:rPr>
          <w:rFonts w:hint="eastAsia" w:ascii="方正仿宋_GBK" w:hAnsi="宋体" w:eastAsia="方正仿宋_GBK"/>
          <w:sz w:val="24"/>
          <w:szCs w:val="24"/>
        </w:rPr>
        <w:t>“※”标注的服务需求为符合性审查中的实质性要求，响应文件若不满足按无效响应处理。</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38" w:name="_Toc106030879"/>
      <w:r>
        <w:rPr>
          <w:rFonts w:hint="eastAsia" w:ascii="方正仿宋_GBK" w:hAnsi="宋体" w:eastAsia="方正仿宋_GBK"/>
          <w:sz w:val="24"/>
          <w:szCs w:val="24"/>
        </w:rPr>
        <w:t>※</w:t>
      </w:r>
      <w:r>
        <w:rPr>
          <w:rFonts w:hint="eastAsia" w:ascii="方正仿宋_GBK" w:hAnsi="宋体" w:eastAsia="方正仿宋_GBK"/>
          <w:sz w:val="24"/>
        </w:rPr>
        <w:t>一、项目基本概况介绍</w:t>
      </w:r>
      <w:bookmarkEnd w:id="36"/>
      <w:bookmarkEnd w:id="38"/>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642"/>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2802" w:type="dxa"/>
            <w:vAlign w:val="center"/>
          </w:tcPr>
          <w:p>
            <w:pPr>
              <w:jc w:val="center"/>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名称</w:t>
            </w:r>
          </w:p>
        </w:tc>
        <w:tc>
          <w:tcPr>
            <w:tcW w:w="2642" w:type="dxa"/>
            <w:vAlign w:val="center"/>
          </w:tcPr>
          <w:p>
            <w:pPr>
              <w:jc w:val="center"/>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成交供应商数量（名）</w:t>
            </w:r>
          </w:p>
        </w:tc>
        <w:tc>
          <w:tcPr>
            <w:tcW w:w="4184" w:type="dxa"/>
            <w:vAlign w:val="center"/>
          </w:tcPr>
          <w:p>
            <w:pPr>
              <w:jc w:val="center"/>
              <w:rPr>
                <w:rFonts w:hint="eastAsia" w:ascii="微软雅黑" w:hAnsi="微软雅黑" w:eastAsia="微软雅黑" w:cs="微软雅黑"/>
                <w:sz w:val="24"/>
                <w:szCs w:val="24"/>
                <w:lang w:val="zh-CN" w:eastAsia="zh-CN"/>
              </w:rPr>
            </w:pPr>
            <w:r>
              <w:rPr>
                <w:rFonts w:hint="eastAsia" w:ascii="微软雅黑" w:hAnsi="微软雅黑" w:eastAsia="微软雅黑" w:cs="微软雅黑"/>
                <w:sz w:val="24"/>
                <w:szCs w:val="24"/>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2802" w:type="dxa"/>
            <w:vAlign w:val="top"/>
          </w:tcPr>
          <w:p>
            <w:pPr>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重庆市沙坪坝区住房保障中心采购后勤保障服务</w:t>
            </w:r>
          </w:p>
        </w:tc>
        <w:tc>
          <w:tcPr>
            <w:tcW w:w="2642" w:type="dxa"/>
            <w:vAlign w:val="center"/>
          </w:tcPr>
          <w:p>
            <w:pPr>
              <w:jc w:val="center"/>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en-US" w:eastAsia="zh-CN"/>
              </w:rPr>
              <w:t>1</w:t>
            </w:r>
          </w:p>
        </w:tc>
        <w:tc>
          <w:tcPr>
            <w:tcW w:w="4184" w:type="dxa"/>
            <w:vAlign w:val="center"/>
          </w:tcPr>
          <w:p>
            <w:pPr>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合同签订后1年</w:t>
            </w:r>
          </w:p>
        </w:tc>
      </w:tr>
    </w:tbl>
    <w:p>
      <w:pPr>
        <w:pStyle w:val="3"/>
        <w:adjustRightInd w:val="0"/>
        <w:snapToGrid w:val="0"/>
        <w:spacing w:before="0" w:after="0" w:line="400" w:lineRule="exact"/>
        <w:ind w:firstLine="482" w:firstLineChars="200"/>
        <w:rPr>
          <w:rFonts w:hint="eastAsia" w:ascii="方正仿宋_GBK" w:hAnsi="宋体" w:eastAsia="方正仿宋_GBK"/>
          <w:sz w:val="24"/>
        </w:rPr>
      </w:pPr>
      <w:bookmarkStart w:id="39" w:name="_Toc106030880"/>
      <w:r>
        <w:rPr>
          <w:rFonts w:hint="eastAsia" w:ascii="方正仿宋_GBK" w:hAnsi="宋体" w:eastAsia="方正仿宋_GBK"/>
          <w:sz w:val="24"/>
          <w:szCs w:val="24"/>
        </w:rPr>
        <w:t>※</w:t>
      </w:r>
      <w:r>
        <w:rPr>
          <w:rFonts w:hint="eastAsia" w:ascii="方正仿宋_GBK" w:hAnsi="宋体" w:eastAsia="方正仿宋_GBK"/>
          <w:sz w:val="24"/>
        </w:rPr>
        <w:t>二、</w:t>
      </w:r>
      <w:bookmarkEnd w:id="39"/>
      <w:r>
        <w:rPr>
          <w:rFonts w:hint="eastAsia" w:ascii="方正仿宋_GBK" w:hAnsi="宋体" w:eastAsia="方正仿宋_GBK"/>
          <w:sz w:val="24"/>
        </w:rPr>
        <w:t>项目基本情况</w:t>
      </w:r>
    </w:p>
    <w:p>
      <w:pPr>
        <w:spacing w:line="400" w:lineRule="exact"/>
        <w:ind w:firstLine="480" w:firstLineChars="200"/>
        <w:rPr>
          <w:rFonts w:hint="eastAsia" w:ascii="方正仿宋_GBK" w:hAnsi="宋体" w:eastAsia="方正仿宋_GBK"/>
          <w:sz w:val="24"/>
          <w:szCs w:val="24"/>
          <w:lang w:val="zh-CN"/>
        </w:rPr>
      </w:pPr>
      <w:r>
        <w:rPr>
          <w:rFonts w:hint="eastAsia" w:ascii="方正仿宋_GBK" w:hAnsi="宋体" w:eastAsia="方正仿宋_GBK"/>
          <w:sz w:val="24"/>
          <w:szCs w:val="24"/>
          <w:lang w:val="zh-CN"/>
        </w:rPr>
        <w:t>服务地址：</w:t>
      </w:r>
    </w:p>
    <w:p>
      <w:pPr>
        <w:spacing w:line="400" w:lineRule="exact"/>
        <w:ind w:firstLine="480" w:firstLineChars="200"/>
        <w:rPr>
          <w:rFonts w:hint="eastAsia" w:ascii="方正仿宋_GBK" w:hAnsi="宋体" w:eastAsia="方正仿宋_GBK"/>
          <w:sz w:val="24"/>
          <w:szCs w:val="24"/>
          <w:lang w:val="zh-CN"/>
        </w:rPr>
      </w:pPr>
      <w:r>
        <w:rPr>
          <w:rFonts w:hint="eastAsia" w:ascii="方正仿宋_GBK" w:hAnsi="宋体" w:eastAsia="方正仿宋_GBK"/>
          <w:sz w:val="24"/>
          <w:szCs w:val="24"/>
          <w:lang w:val="zh-CN"/>
        </w:rPr>
        <w:t>1.住保中心本部办公室：沙坪坝区学府悦园公租房小区清悦路3号附6号（C1组团）；</w:t>
      </w:r>
    </w:p>
    <w:p>
      <w:pPr>
        <w:spacing w:line="400" w:lineRule="exact"/>
        <w:ind w:firstLine="480" w:firstLineChars="200"/>
        <w:rPr>
          <w:rFonts w:hint="eastAsia" w:ascii="方正仿宋_GBK" w:hAnsi="宋体" w:eastAsia="方正仿宋_GBK"/>
          <w:sz w:val="24"/>
          <w:szCs w:val="24"/>
          <w:lang w:val="zh-CN"/>
        </w:rPr>
      </w:pPr>
      <w:r>
        <w:rPr>
          <w:rFonts w:hint="eastAsia" w:ascii="方正仿宋_GBK" w:hAnsi="宋体" w:eastAsia="方正仿宋_GBK"/>
          <w:sz w:val="24"/>
          <w:szCs w:val="24"/>
          <w:lang w:val="zh-CN"/>
        </w:rPr>
        <w:t>2.沙坪坝房屋管理工作站：沙坪坝正街77-4-5-1号；</w:t>
      </w:r>
    </w:p>
    <w:p>
      <w:pPr>
        <w:spacing w:line="400" w:lineRule="exact"/>
        <w:ind w:firstLine="480" w:firstLineChars="200"/>
        <w:rPr>
          <w:rFonts w:hint="eastAsia" w:ascii="方正仿宋_GBK" w:hAnsi="宋体" w:eastAsia="方正仿宋_GBK"/>
          <w:sz w:val="24"/>
          <w:szCs w:val="24"/>
          <w:lang w:val="zh-CN"/>
        </w:rPr>
      </w:pPr>
      <w:r>
        <w:rPr>
          <w:rFonts w:hint="eastAsia" w:ascii="方正仿宋_GBK" w:hAnsi="宋体" w:eastAsia="方正仿宋_GBK"/>
          <w:sz w:val="24"/>
          <w:szCs w:val="24"/>
          <w:lang w:val="zh-CN"/>
        </w:rPr>
        <w:t>3.小龙坎房屋管理工作站：沙坪坝区小龙坎新村路4号；</w:t>
      </w:r>
    </w:p>
    <w:p>
      <w:pPr>
        <w:spacing w:line="400" w:lineRule="exact"/>
        <w:ind w:firstLine="480" w:firstLineChars="200"/>
        <w:rPr>
          <w:rFonts w:hint="eastAsia" w:ascii="方正仿宋_GBK" w:hAnsi="宋体" w:eastAsia="方正仿宋_GBK"/>
          <w:sz w:val="24"/>
          <w:szCs w:val="24"/>
          <w:lang w:val="zh-CN"/>
        </w:rPr>
      </w:pPr>
      <w:r>
        <w:rPr>
          <w:rFonts w:hint="eastAsia" w:ascii="方正仿宋_GBK" w:hAnsi="宋体" w:eastAsia="方正仿宋_GBK"/>
          <w:sz w:val="24"/>
          <w:szCs w:val="24"/>
          <w:lang w:val="zh-CN"/>
        </w:rPr>
        <w:t>4.学府悦园公租房管理处：沙坪坝区学府悦园公租房小区崇贤路2号7幢商业二楼；</w:t>
      </w:r>
    </w:p>
    <w:p>
      <w:pPr>
        <w:spacing w:line="400" w:lineRule="exact"/>
        <w:ind w:firstLine="480" w:firstLineChars="200"/>
        <w:rPr>
          <w:rFonts w:hint="eastAsia" w:ascii="方正仿宋_GBK" w:hAnsi="宋体" w:eastAsia="方正仿宋_GBK"/>
          <w:sz w:val="24"/>
          <w:szCs w:val="24"/>
          <w:lang w:val="zh-CN"/>
        </w:rPr>
      </w:pPr>
      <w:r>
        <w:rPr>
          <w:rFonts w:hint="eastAsia" w:ascii="方正仿宋_GBK" w:hAnsi="宋体" w:eastAsia="方正仿宋_GBK"/>
          <w:sz w:val="24"/>
          <w:szCs w:val="24"/>
          <w:lang w:val="zh-CN"/>
        </w:rPr>
        <w:t>5.美丽阳光家园公租房管理处：沙坪坝区美丽阳光家园小区公租房小区井源路2号社区便民服务中心三楼</w:t>
      </w:r>
      <w:r>
        <w:rPr>
          <w:rFonts w:hint="eastAsia" w:ascii="方正仿宋_GBK" w:hAnsi="宋体" w:eastAsia="方正仿宋_GBK"/>
          <w:sz w:val="24"/>
          <w:szCs w:val="24"/>
          <w:lang w:val="en-US" w:eastAsia="zh-CN"/>
        </w:rPr>
        <w:t>。</w:t>
      </w:r>
    </w:p>
    <w:p>
      <w:pPr>
        <w:pStyle w:val="3"/>
        <w:adjustRightInd w:val="0"/>
        <w:snapToGrid w:val="0"/>
        <w:spacing w:before="0" w:after="0" w:line="400" w:lineRule="exact"/>
        <w:ind w:firstLine="482" w:firstLineChars="200"/>
        <w:rPr>
          <w:rFonts w:hint="eastAsia" w:ascii="微软雅黑" w:hAnsi="微软雅黑" w:eastAsia="微软雅黑" w:cs="微软雅黑"/>
          <w:b/>
          <w:bCs/>
          <w:sz w:val="24"/>
          <w:szCs w:val="24"/>
          <w:lang w:val="zh-CN"/>
        </w:rPr>
      </w:pPr>
      <w:bookmarkStart w:id="40" w:name="_Toc344475116"/>
      <w:bookmarkStart w:id="41" w:name="_Toc76462326"/>
      <w:bookmarkStart w:id="42" w:name="_Toc106030881"/>
      <w:bookmarkStart w:id="43" w:name="_Toc313536013"/>
      <w:r>
        <w:rPr>
          <w:rFonts w:hint="eastAsia" w:ascii="方正仿宋_GBK" w:hAnsi="宋体" w:eastAsia="方正仿宋_GBK"/>
          <w:sz w:val="24"/>
          <w:szCs w:val="22"/>
        </w:rPr>
        <w:t>※三、</w:t>
      </w:r>
      <w:bookmarkEnd w:id="40"/>
      <w:bookmarkEnd w:id="41"/>
      <w:bookmarkEnd w:id="42"/>
      <w:bookmarkEnd w:id="43"/>
      <w:r>
        <w:rPr>
          <w:rFonts w:hint="eastAsia" w:ascii="方正仿宋_GBK" w:hAnsi="宋体" w:eastAsia="方正仿宋_GBK"/>
          <w:sz w:val="24"/>
          <w:szCs w:val="22"/>
          <w:lang w:val="zh-CN"/>
        </w:rPr>
        <w:t>项目服务内容</w:t>
      </w:r>
    </w:p>
    <w:p>
      <w:pPr>
        <w:spacing w:line="400" w:lineRule="exact"/>
        <w:ind w:firstLine="480" w:firstLineChars="200"/>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住房保障中心本部及学府悦园管理处、沙坪坝房屋管理工作站、小龙坎房屋管理工作站工作站、美丽阳光家园管理处的餐饮服务；住房保障中心本部、沙坪坝房屋管理工作站、小龙坎房屋管理工作站的安保及保洁服务，以及采购人临时交办的相关服务事项等。</w:t>
      </w:r>
    </w:p>
    <w:p>
      <w:pPr>
        <w:pStyle w:val="4"/>
        <w:ind w:firstLine="480" w:firstLineChars="200"/>
        <w:rPr>
          <w:rFonts w:hint="eastAsia" w:ascii="方正仿宋_GBK" w:hAnsi="宋体" w:eastAsia="方正仿宋_GBK" w:cs="Times New Roman"/>
          <w:b/>
          <w:kern w:val="2"/>
          <w:sz w:val="24"/>
          <w:szCs w:val="22"/>
          <w:lang w:val="zh-CN" w:eastAsia="zh-CN" w:bidi="ar-SA"/>
        </w:rPr>
      </w:pPr>
      <w:r>
        <w:rPr>
          <w:rFonts w:hint="eastAsia" w:ascii="方正仿宋_GBK" w:hAnsi="宋体" w:eastAsia="方正仿宋_GBK"/>
          <w:sz w:val="24"/>
          <w:szCs w:val="24"/>
        </w:rPr>
        <w:t>※</w:t>
      </w:r>
      <w:r>
        <w:rPr>
          <w:rFonts w:hint="eastAsia" w:ascii="方正仿宋_GBK" w:hAnsi="宋体" w:eastAsia="方正仿宋_GBK" w:cs="Times New Roman"/>
          <w:b/>
          <w:kern w:val="2"/>
          <w:sz w:val="24"/>
          <w:szCs w:val="22"/>
          <w:lang w:val="zh-CN" w:eastAsia="zh-CN" w:bidi="ar-SA"/>
        </w:rPr>
        <w:t>四、项目服务标准</w:t>
      </w:r>
    </w:p>
    <w:p>
      <w:pPr>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1.着统一的工作制服，佩戴工作证；</w:t>
      </w:r>
    </w:p>
    <w:p>
      <w:pPr>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2.无迟到、早退，无擅自离岗；无不良嗜好或犯罪前科；</w:t>
      </w:r>
    </w:p>
    <w:p>
      <w:pPr>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3.服从采购人管理，自觉遵守员工守则和管理规定，工作主动热情；</w:t>
      </w:r>
    </w:p>
    <w:p>
      <w:pPr>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4.操作熟练，正确使用本岗工具；</w:t>
      </w:r>
    </w:p>
    <w:p>
      <w:pPr>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5.安保人员熟悉国家有关治安、消防等方面的法律法规，能正确使用治安工具和消防器材，维护管理区域内的正常秩序；</w:t>
      </w:r>
    </w:p>
    <w:p>
      <w:pPr>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6.食堂服务人员身体健康、品行端正,无家庭传染病史，能按照食品卫生管理相关规定确保饭菜的质量，并能按照采购方的要求准时向就餐人员提供餐饮保障服务；</w:t>
      </w:r>
    </w:p>
    <w:p>
      <w:pPr>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7.保洁人员能按照采购方的要求对各个服务区域内的公共区域（包含公共厕所、门厅、过道、走廊等）环境卫生进行清扫、保洁，完成采购方交给的其他保洁任务。　</w:t>
      </w:r>
    </w:p>
    <w:p>
      <w:pPr>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8.其他：</w:t>
      </w:r>
    </w:p>
    <w:p>
      <w:pPr>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年龄要求：男：18——60周岁；女：18——55周岁。</w:t>
      </w:r>
    </w:p>
    <w:p>
      <w:pPr>
        <w:spacing w:line="400" w:lineRule="exact"/>
        <w:ind w:firstLine="482" w:firstLineChars="200"/>
        <w:rPr>
          <w:rFonts w:hint="eastAsia" w:ascii="方正仿宋_GBK" w:hAnsi="宋体" w:eastAsia="方正仿宋_GBK"/>
          <w:b/>
          <w:bCs/>
          <w:sz w:val="24"/>
          <w:szCs w:val="24"/>
          <w:lang w:val="zh-CN" w:eastAsia="zh-CN"/>
        </w:rPr>
      </w:pPr>
      <w:r>
        <w:rPr>
          <w:rFonts w:hint="eastAsia" w:ascii="方正仿宋_GBK" w:hAnsi="宋体" w:eastAsia="方正仿宋_GBK"/>
          <w:b/>
          <w:bCs/>
          <w:sz w:val="24"/>
          <w:szCs w:val="24"/>
          <w:lang w:val="en-US" w:eastAsia="zh-CN"/>
        </w:rPr>
        <w:t>五</w:t>
      </w:r>
      <w:r>
        <w:rPr>
          <w:rFonts w:hint="eastAsia" w:ascii="方正仿宋_GBK" w:hAnsi="宋体" w:eastAsia="方正仿宋_GBK"/>
          <w:b/>
          <w:bCs/>
          <w:sz w:val="24"/>
          <w:szCs w:val="24"/>
          <w:lang w:val="zh-CN" w:eastAsia="zh-CN"/>
        </w:rPr>
        <w:t>、实施方案</w:t>
      </w: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响应供应商针对本项目需求提供详细的《实施方案》，包括但不限于“秩序维护方案”、“保洁服务方案”、“食堂服务方案”、“质量管理考核方案”、“拟投入装备”。响应供应商在编制投标文件时不得更改以上方案的名称。</w:t>
      </w:r>
    </w:p>
    <w:p>
      <w:pPr>
        <w:spacing w:line="400" w:lineRule="exact"/>
        <w:ind w:firstLine="480" w:firstLineChars="200"/>
        <w:rPr>
          <w:rFonts w:hint="eastAsia" w:ascii="方正仿宋_GBK" w:hAnsi="宋体" w:eastAsia="方正仿宋_GBK" w:cs="Times New Roman"/>
          <w:sz w:val="24"/>
          <w:szCs w:val="24"/>
          <w:lang w:val="zh-CN" w:eastAsia="zh-CN"/>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p>
    <w:p>
      <w:pPr>
        <w:pStyle w:val="3"/>
        <w:spacing w:before="0" w:after="0" w:line="360" w:lineRule="auto"/>
        <w:jc w:val="center"/>
        <w:rPr>
          <w:rFonts w:hint="eastAsia" w:ascii="方正小标宋_GBK" w:hAnsi="宋体" w:eastAsia="方正小标宋_GBK"/>
          <w:b w:val="0"/>
          <w:sz w:val="36"/>
          <w:szCs w:val="30"/>
        </w:rPr>
      </w:pPr>
      <w:bookmarkStart w:id="44" w:name="_Toc106030882"/>
      <w:bookmarkStart w:id="45" w:name="_Toc76462327"/>
      <w:r>
        <w:rPr>
          <w:rFonts w:hint="eastAsia" w:ascii="方正小标宋_GBK" w:hAnsi="宋体" w:eastAsia="方正小标宋_GBK"/>
          <w:b w:val="0"/>
          <w:sz w:val="36"/>
          <w:szCs w:val="30"/>
        </w:rPr>
        <w:t xml:space="preserve">第三篇  </w:t>
      </w:r>
      <w:bookmarkEnd w:id="37"/>
      <w:r>
        <w:rPr>
          <w:rFonts w:hint="eastAsia" w:ascii="方正小标宋_GBK" w:hAnsi="宋体" w:eastAsia="方正小标宋_GBK"/>
          <w:b w:val="0"/>
          <w:sz w:val="36"/>
          <w:szCs w:val="30"/>
        </w:rPr>
        <w:t>项目商务需求</w:t>
      </w:r>
      <w:bookmarkEnd w:id="44"/>
      <w:bookmarkEnd w:id="45"/>
    </w:p>
    <w:p>
      <w:pPr>
        <w:pStyle w:val="8"/>
        <w:spacing w:line="400" w:lineRule="exact"/>
        <w:ind w:firstLine="480" w:firstLineChars="200"/>
        <w:rPr>
          <w:rFonts w:hint="eastAsia" w:ascii="方正仿宋_GBK" w:hAnsi="宋体" w:eastAsia="方正仿宋_GBK"/>
          <w:sz w:val="24"/>
          <w:szCs w:val="24"/>
        </w:rPr>
      </w:pPr>
      <w:bookmarkStart w:id="46" w:name="_Toc344475120"/>
      <w:bookmarkStart w:id="47" w:name="_Toc76462328"/>
      <w:r>
        <w:rPr>
          <w:rFonts w:hint="eastAsia" w:ascii="方正仿宋_GBK" w:hAnsi="宋体" w:eastAsia="方正仿宋_GBK"/>
          <w:sz w:val="24"/>
          <w:szCs w:val="24"/>
        </w:rPr>
        <w:t>“※”标注的商务需求为符合性审查中的实质性要求，响应文件若不满足按无效响应处理。</w:t>
      </w:r>
    </w:p>
    <w:p>
      <w:pPr>
        <w:pStyle w:val="3"/>
        <w:adjustRightInd w:val="0"/>
        <w:snapToGrid w:val="0"/>
        <w:spacing w:before="0" w:after="0" w:line="400" w:lineRule="exact"/>
        <w:ind w:firstLine="482" w:firstLineChars="200"/>
        <w:rPr>
          <w:rFonts w:ascii="方正仿宋_GBK" w:hAnsi="宋体" w:eastAsia="方正仿宋_GBK"/>
          <w:sz w:val="24"/>
        </w:rPr>
      </w:pPr>
      <w:bookmarkStart w:id="48" w:name="_Toc106030883"/>
      <w:r>
        <w:rPr>
          <w:rFonts w:hint="eastAsia" w:ascii="方正仿宋_GBK" w:hAnsi="宋体" w:eastAsia="方正仿宋_GBK"/>
          <w:sz w:val="24"/>
          <w:szCs w:val="24"/>
        </w:rPr>
        <w:t>※</w:t>
      </w:r>
      <w:r>
        <w:rPr>
          <w:rFonts w:hint="eastAsia" w:ascii="方正仿宋_GBK" w:hAnsi="宋体" w:eastAsia="方正仿宋_GBK"/>
          <w:sz w:val="24"/>
        </w:rPr>
        <w:t>一、服务期、地点及验收方式</w:t>
      </w:r>
      <w:bookmarkEnd w:id="46"/>
      <w:bookmarkEnd w:id="47"/>
      <w:bookmarkEnd w:id="48"/>
    </w:p>
    <w:p>
      <w:pPr>
        <w:pStyle w:val="8"/>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（一）服务期：</w:t>
      </w:r>
      <w:r>
        <w:rPr>
          <w:rFonts w:hint="eastAsia" w:ascii="方正仿宋_GBK" w:hAnsi="宋体" w:eastAsia="方正仿宋_GBK"/>
          <w:sz w:val="24"/>
          <w:szCs w:val="24"/>
          <w:lang w:val="en-US" w:eastAsia="zh-CN"/>
        </w:rPr>
        <w:t>合同签订后1年。</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（二）服务地点：</w:t>
      </w:r>
    </w:p>
    <w:p>
      <w:pPr>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1.住保中心本部办公室：沙坪坝区学府悦园公租房小区清悦路3号附6号（C1组团）；</w:t>
      </w:r>
    </w:p>
    <w:p>
      <w:pPr>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2.沙坪坝房屋管理工作站：沙坪坝正街77-4-5-1号；</w:t>
      </w:r>
    </w:p>
    <w:p>
      <w:pPr>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3.小龙坎房屋管理工作站：沙坪坝区小龙坎新村路4号；</w:t>
      </w:r>
    </w:p>
    <w:p>
      <w:pPr>
        <w:spacing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4.学府悦园公租房管理处：沙坪坝区学府悦园公租房小区崇贤路2号7幢商业二楼；</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5.美丽阳光家园公租房管理处：沙坪坝区美丽阳光家园小区公租房小区井源路2号社区便民服务中心三楼。</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en-US" w:eastAsia="zh-CN"/>
        </w:rPr>
      </w:pPr>
      <w:r>
        <w:rPr>
          <w:rFonts w:hint="eastAsia" w:ascii="方正仿宋_GBK" w:hAnsi="宋体" w:eastAsia="方正仿宋_GBK" w:cs="Times New Roman"/>
          <w:kern w:val="2"/>
          <w:sz w:val="24"/>
          <w:szCs w:val="24"/>
          <w:lang w:val="en-US" w:eastAsia="zh-CN" w:bidi="ar-SA"/>
        </w:rPr>
        <w:t xml:space="preserve">    （三）验收标准和方法：</w:t>
      </w:r>
      <w:r>
        <w:rPr>
          <w:rFonts w:hint="eastAsia" w:ascii="方正仿宋_GBK" w:hAnsi="宋体" w:eastAsia="方正仿宋_GBK"/>
          <w:sz w:val="24"/>
          <w:szCs w:val="24"/>
          <w:lang w:val="en-US" w:eastAsia="zh-CN"/>
        </w:rPr>
        <w:t>采购人组织相关人员按照合同和采购标的承诺对物业公司在本项目工作实际到场工作人员、服务情况等进行核实，并在项目实施过程中对项目实施情况进行定期考核，具体内容如下：</w:t>
      </w:r>
    </w:p>
    <w:tbl>
      <w:tblPr>
        <w:tblStyle w:val="18"/>
        <w:tblpPr w:leftFromText="180" w:rightFromText="180" w:vertAnchor="text" w:horzAnchor="page" w:tblpX="1509" w:tblpY="497"/>
        <w:tblOverlap w:val="never"/>
        <w:tblW w:w="9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688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项目</w:t>
            </w:r>
          </w:p>
        </w:tc>
        <w:tc>
          <w:tcPr>
            <w:tcW w:w="68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服务内容、标准</w:t>
            </w:r>
          </w:p>
        </w:tc>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础</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管</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68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lang w:val="zh-CN" w:eastAsia="zh-CN"/>
              </w:rPr>
              <w:t>按规定人员数量定岗定位，对采购人指定的重要岗位和人员进行变动，需征求采购人同意。</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建立24小时值班制度和巡查制度，接受投诉并在15分钟之内及时处理、回复。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3、</w:t>
            </w:r>
            <w:r>
              <w:rPr>
                <w:rFonts w:hint="eastAsia" w:ascii="方正仿宋_GBK" w:hAnsi="宋体" w:eastAsia="方正仿宋_GBK"/>
                <w:sz w:val="24"/>
                <w:szCs w:val="24"/>
                <w:lang w:val="zh-CN" w:eastAsia="zh-CN"/>
              </w:rPr>
              <w:t>工作中服务态度好，待人礼貌热情；遇来人来访时要热诚、主动接待。</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4、</w:t>
            </w:r>
            <w:r>
              <w:rPr>
                <w:rFonts w:hint="eastAsia" w:ascii="方正仿宋_GBK" w:hAnsi="宋体" w:eastAsia="方正仿宋_GBK"/>
                <w:sz w:val="24"/>
                <w:szCs w:val="24"/>
                <w:lang w:val="zh-CN" w:eastAsia="zh-CN"/>
              </w:rPr>
              <w:t>建立各种突发应急事件预案并组织演练，发生突发事件时需及时汇报并妥善处理。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5、</w:t>
            </w:r>
            <w:r>
              <w:rPr>
                <w:rFonts w:hint="eastAsia" w:ascii="方正仿宋_GBK" w:hAnsi="宋体" w:eastAsia="方正仿宋_GBK"/>
                <w:sz w:val="24"/>
                <w:szCs w:val="24"/>
                <w:lang w:val="zh-CN" w:eastAsia="zh-CN"/>
              </w:rPr>
              <w:t>承接的库房物品等保管应作到进出登记，帐物相符。</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6、</w:t>
            </w:r>
            <w:r>
              <w:rPr>
                <w:rFonts w:hint="eastAsia" w:ascii="方正仿宋_GBK" w:hAnsi="宋体" w:eastAsia="方正仿宋_GBK"/>
                <w:sz w:val="24"/>
                <w:szCs w:val="24"/>
                <w:lang w:val="zh-CN" w:eastAsia="zh-CN"/>
              </w:rPr>
              <w:t>内部管理有序，各种制度、计划、资料齐全。</w:t>
            </w:r>
          </w:p>
        </w:tc>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有不符合要求经采购人书面要求整改时，供应商未在合理时限内整改，发现一次扣200元物业管理费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76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68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建立服务意见受理和反馈机制，对采购人提出的意见和建议应积极响应，及时解决采购人投诉，处理率控制在100%。</w:t>
            </w:r>
          </w:p>
        </w:tc>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处理率低于95%每次扣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6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68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员工素质优良，不得盗窃本物业项目内物资。</w:t>
            </w:r>
          </w:p>
        </w:tc>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发现一次扣罚500元物业管理费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6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68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物管公司应按照国家法律法规规定与员工签订劳动合同、交纳保险费用。</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方正仿宋_GBK" w:hAnsi="宋体" w:eastAsia="方正仿宋_GBK"/>
                <w:sz w:val="24"/>
                <w:szCs w:val="24"/>
                <w:lang w:val="zh-CN" w:eastAsia="zh-CN"/>
              </w:rPr>
            </w:pPr>
          </w:p>
        </w:tc>
        <w:tc>
          <w:tcPr>
            <w:tcW w:w="19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物管公司内部员工的劳资纠纷不得影响采购人，否则，发现一次扣罚500元物业管理费</w:t>
            </w:r>
          </w:p>
        </w:tc>
      </w:tr>
    </w:tbl>
    <w:p>
      <w:pPr>
        <w:keepNext w:val="0"/>
        <w:keepLines w:val="0"/>
        <w:pageBreakBefore w:val="0"/>
        <w:widowControl w:val="0"/>
        <w:kinsoku/>
        <w:wordWrap/>
        <w:overflowPunct/>
        <w:topLinePunct w:val="0"/>
        <w:autoSpaceDE/>
        <w:autoSpaceDN/>
        <w:bidi w:val="0"/>
        <w:adjustRightInd/>
        <w:snapToGrid/>
        <w:spacing w:line="320" w:lineRule="exact"/>
        <w:ind w:firstLine="482" w:firstLineChars="200"/>
        <w:textAlignment w:val="auto"/>
        <w:rPr>
          <w:rFonts w:hint="eastAsia" w:ascii="方正仿宋_GBK" w:hAnsi="宋体" w:eastAsia="方正仿宋_GBK"/>
          <w:b/>
          <w:bCs/>
          <w:sz w:val="24"/>
          <w:szCs w:val="24"/>
          <w:lang w:val="zh-CN" w:eastAsia="zh-CN"/>
        </w:rPr>
      </w:pPr>
      <w:r>
        <w:rPr>
          <w:rFonts w:hint="eastAsia" w:ascii="方正仿宋_GBK" w:hAnsi="宋体" w:eastAsia="方正仿宋_GBK"/>
          <w:b/>
          <w:bCs/>
          <w:sz w:val="24"/>
          <w:szCs w:val="24"/>
          <w:lang w:val="en-US" w:eastAsia="zh-CN"/>
        </w:rPr>
        <w:t>1.</w:t>
      </w:r>
      <w:r>
        <w:rPr>
          <w:rFonts w:hint="eastAsia" w:ascii="方正仿宋_GBK" w:hAnsi="宋体" w:eastAsia="方正仿宋_GBK"/>
          <w:b/>
          <w:bCs/>
          <w:sz w:val="24"/>
          <w:szCs w:val="24"/>
          <w:lang w:val="zh-CN" w:eastAsia="zh-CN"/>
        </w:rPr>
        <w:t>基础管理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b/>
          <w:bCs/>
          <w:sz w:val="24"/>
          <w:szCs w:val="24"/>
          <w:lang w:val="zh-CN" w:eastAsia="zh-CN"/>
        </w:rPr>
      </w:pPr>
      <w:r>
        <w:rPr>
          <w:rFonts w:hint="eastAsia" w:ascii="方正仿宋_GBK" w:hAnsi="宋体" w:eastAsia="方正仿宋_GBK"/>
          <w:b/>
          <w:bCs/>
          <w:sz w:val="24"/>
          <w:szCs w:val="24"/>
          <w:lang w:val="en-US" w:eastAsia="zh-CN"/>
        </w:rPr>
        <w:t>2.</w:t>
      </w:r>
      <w:r>
        <w:rPr>
          <w:rFonts w:hint="eastAsia" w:ascii="方正仿宋_GBK" w:hAnsi="宋体" w:eastAsia="方正仿宋_GBK"/>
          <w:b/>
          <w:bCs/>
          <w:sz w:val="24"/>
          <w:szCs w:val="24"/>
          <w:lang w:val="zh-CN" w:eastAsia="zh-CN"/>
        </w:rPr>
        <w:t>物业管理人员行为规范</w:t>
      </w:r>
    </w:p>
    <w:tbl>
      <w:tblPr>
        <w:tblStyle w:val="18"/>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708"/>
        <w:gridCol w:w="6391"/>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项  目</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行为规范标准</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仪</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容</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仪</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表</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服饰着装</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1、上班时间必须穿工作服，工作服穿戴整齐整洁；</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、非特殊情况不允许穿背心、短裤、拖鞋；</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3</w:t>
            </w:r>
            <w:r>
              <w:rPr>
                <w:rFonts w:hint="eastAsia" w:ascii="方正仿宋_GBK" w:hAnsi="宋体" w:eastAsia="方正仿宋_GBK"/>
                <w:sz w:val="24"/>
                <w:szCs w:val="24"/>
                <w:lang w:val="zh-CN" w:eastAsia="zh-CN"/>
              </w:rPr>
              <w:t>、男女员工均不允许戴有色眼镜。</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未达到要求或服务标准，发现不规范一次扣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须发</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lang w:val="zh-CN" w:eastAsia="zh-CN"/>
              </w:rPr>
              <w:t>女员工前发不遮眼，不梳怪异发型；</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2、男员工后发根不超过衣领（其中：保安员头发不得长于5cm），不盖耳，不留胡须；</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3、所有员工头发应保持整洁光鲜，不允许剃光头。</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未达到要求或服务标准，发现不规范一次扣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个人卫生</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1、保持手部干净，指甲不允许超过指头两毫米，指甲内不允许残留污物，不涂有色指甲油；</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2、员工应经常洗澡防汗臭，勤换衣服。衣服因工作而弄湿、弄脏后应及时换洗；</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3、上班前不允许吃有异味食品，保持口腔清洁，口气清新，早晚刷牙，饭后漱口；</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4、保持眼、耳清洁，不允许残留眼屎、耳垢。</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5、女员工应淡妆打扮，不允许浓妆艳抹，避免使用味浓的化妆品。</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6、每天上班前应注意检查自己的仪表，上班时不能在客人面前或公共场所整理仪容仪表，必要时应到卫生间或工作间整理。</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未达到要求或服务标准，发现不规范一次扣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行</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举</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止</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服务态度</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1、对客人服务无论何时都应面带笑容，和颜悦色，热情主动，做到微笑服务；</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2、在将客人劝离工作场所时要文明礼貌，并做好解释及道歉工作；</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3、谦虚和悦接受客人的评价，对客人的投诉应耐心倾听，并及时向主管部门汇报。</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未达到要求或服务标准，发现不规范一次扣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行走姿态</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lang w:val="zh-CN" w:eastAsia="zh-CN"/>
              </w:rPr>
              <w:t>行走时不允许把手放入衣袋里，也不允许双手抱胸或背手走路；</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2、在工作场合与他人同行时，不允许勾肩搭背，不允许同行时嘻戏打闹；</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3、走路动作应轻快，但非紧急情况不应奔跑、跳跃；</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4、手拉货物行走时不应遮住自己的视线；尽量靠路右侧行走；</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5、与采购人相遇时，应主动点头示意。</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未达到要求或服务标准，发现不规范一次扣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坐立姿态</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1、就座时姿态要端正，入坐要轻缓，上身要直，人体重心要稳，腰部挺起，手自然放在双膝上，双膝并拢，目光平视，面带笑容。</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2、坐在椅子上不允许前俯后仰、摇腿跷脚或趴在工作台上或把脚放于工作台上。</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3、站立时姿态要端正，上身要直，人体重心要稳，腰部挺起，双手自然下坠，双脚并拢，目光平视，面带笑容。</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未达到要求或服务标准，发现不规范一次扣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其他行为</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lang w:val="zh-CN" w:eastAsia="zh-CN"/>
              </w:rPr>
              <w:t>不允许随地吐痰，乱扔果皮、纸屑；</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2、上班时间不允许吃零食，玩弄个人小物品或做与工作无关的事情；</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3、在公共场所或住户面前不吸烟、掏鼻孔、掏耳朵、搔痒、不允许脱鞋、卷裤角衣袖、不允许伸懒腰、哼小调、打哈欠；</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4、到工作场所（采购人处）进行工作时，不允许乱翻乱摸，更不允许拿采购人的东西、礼物；</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5、谈话时，手势不宜过多，幅度不宜太大。</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未达到要求或服务标准，发现不规范一次扣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5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用</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语</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礼貌用语</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上班期间文明做到谈吐文明，对待领导、同事、来访者等应热情、有礼貌。</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未达到要求或服务标准，发现不规范一次扣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对</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来</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访</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员</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bookmarkStart w:id="138" w:name="_GoBack"/>
            <w:r>
              <w:rPr>
                <w:rFonts w:hint="eastAsia" w:ascii="方正仿宋_GBK" w:hAnsi="宋体" w:eastAsia="方正仿宋_GBK"/>
                <w:sz w:val="24"/>
                <w:szCs w:val="24"/>
                <w:lang w:val="en-US" w:eastAsia="zh-CN"/>
              </w:rPr>
              <w:t>1</w:t>
            </w:r>
            <w:bookmarkEnd w:id="138"/>
            <w:r>
              <w:rPr>
                <w:rFonts w:hint="eastAsia" w:ascii="方正仿宋_GBK" w:hAnsi="宋体" w:eastAsia="方正仿宋_GBK"/>
                <w:sz w:val="24"/>
                <w:szCs w:val="24"/>
                <w:lang w:val="en-US" w:eastAsia="zh-CN"/>
              </w:rPr>
              <w:t>、</w:t>
            </w:r>
            <w:r>
              <w:rPr>
                <w:rFonts w:hint="eastAsia" w:ascii="方正仿宋_GBK" w:hAnsi="宋体" w:eastAsia="方正仿宋_GBK"/>
                <w:sz w:val="24"/>
                <w:szCs w:val="24"/>
                <w:lang w:val="zh-CN" w:eastAsia="zh-CN"/>
              </w:rPr>
              <w:t>主动说：“您好，请问您找哪一位”或“我可以帮助您吗？”“请您出示证件”（保安专用）。</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2、确认来访人要求后，说“请稍等，我帮您找”并及时与被访人联系，并告诉来访人“他马上来，请您先等一下，好吗？”</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3</w:t>
            </w:r>
            <w:r>
              <w:rPr>
                <w:rFonts w:hint="eastAsia" w:ascii="方正仿宋_GBK" w:hAnsi="宋体" w:eastAsia="方正仿宋_GBK"/>
                <w:sz w:val="24"/>
                <w:szCs w:val="24"/>
                <w:lang w:val="zh-CN" w:eastAsia="zh-CN"/>
              </w:rPr>
              <w:t xml:space="preserve">、当来访人员忘记带证件必须进入区域时，应说：“先生/小姐，请稍候，让我请示一下好吗？” </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4</w:t>
            </w:r>
            <w:r>
              <w:rPr>
                <w:rFonts w:hint="eastAsia" w:ascii="方正仿宋_GBK" w:hAnsi="宋体" w:eastAsia="方正仿宋_GBK"/>
                <w:sz w:val="24"/>
                <w:szCs w:val="24"/>
                <w:lang w:val="zh-CN" w:eastAsia="zh-CN"/>
              </w:rPr>
              <w:t>、当确认来访人故意捣乱，耍横硬闯时，应先说：“对不起，按规定，没有证件不允许进入，请配合我的工作；”</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5</w:t>
            </w:r>
            <w:r>
              <w:rPr>
                <w:rFonts w:hint="eastAsia" w:ascii="方正仿宋_GBK" w:hAnsi="宋体" w:eastAsia="方正仿宋_GBK"/>
                <w:sz w:val="24"/>
                <w:szCs w:val="24"/>
                <w:lang w:val="zh-CN" w:eastAsia="zh-CN"/>
              </w:rPr>
              <w:t>、当来访人员出示证件时，应说：“谢谢您的合作，”。</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6</w:t>
            </w:r>
            <w:r>
              <w:rPr>
                <w:rFonts w:hint="eastAsia" w:ascii="方正仿宋_GBK" w:hAnsi="宋体" w:eastAsia="方正仿宋_GBK"/>
                <w:sz w:val="24"/>
                <w:szCs w:val="24"/>
                <w:lang w:val="zh-CN" w:eastAsia="zh-CN"/>
              </w:rPr>
              <w:t>、如果要找的人不在或不想见时，应礼貌地对对方说“对不起，他现在不在，您能留下卡片或口信吗？”。</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7</w:t>
            </w:r>
            <w:r>
              <w:rPr>
                <w:rFonts w:hint="eastAsia" w:ascii="方正仿宋_GBK" w:hAnsi="宋体" w:eastAsia="方正仿宋_GBK"/>
                <w:sz w:val="24"/>
                <w:szCs w:val="24"/>
                <w:lang w:val="zh-CN" w:eastAsia="zh-CN"/>
              </w:rPr>
              <w:t>、当来访人员离开时，应说：“请慢走，再见！”</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未达到要求或服务标准，发现不规范一次扣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tc>
      </w:tr>
    </w:tbl>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b/>
          <w:bCs/>
          <w:sz w:val="24"/>
          <w:szCs w:val="24"/>
          <w:lang w:val="zh-CN" w:eastAsia="zh-CN"/>
        </w:rPr>
      </w:pPr>
      <w:r>
        <w:rPr>
          <w:rFonts w:hint="eastAsia" w:ascii="方正仿宋_GBK" w:hAnsi="宋体" w:eastAsia="方正仿宋_GBK"/>
          <w:b/>
          <w:bCs/>
          <w:sz w:val="24"/>
          <w:szCs w:val="24"/>
          <w:lang w:val="en-US" w:eastAsia="zh-CN"/>
        </w:rPr>
        <w:t>3.</w:t>
      </w:r>
      <w:r>
        <w:rPr>
          <w:rFonts w:hint="eastAsia" w:ascii="方正仿宋_GBK" w:hAnsi="宋体" w:eastAsia="方正仿宋_GBK"/>
          <w:b/>
          <w:bCs/>
          <w:sz w:val="24"/>
          <w:szCs w:val="24"/>
          <w:lang w:val="zh-CN" w:eastAsia="zh-CN"/>
        </w:rPr>
        <w:t>保洁服务</w:t>
      </w:r>
    </w:p>
    <w:tbl>
      <w:tblPr>
        <w:tblStyle w:val="18"/>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4589"/>
        <w:gridCol w:w="2234"/>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项目</w:t>
            </w:r>
          </w:p>
        </w:tc>
        <w:tc>
          <w:tcPr>
            <w:tcW w:w="458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服务内容及标准</w:t>
            </w:r>
          </w:p>
        </w:tc>
        <w:tc>
          <w:tcPr>
            <w:tcW w:w="223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作业频率</w:t>
            </w:r>
          </w:p>
        </w:tc>
        <w:tc>
          <w:tcPr>
            <w:tcW w:w="151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7" w:hRule="atLeast"/>
        </w:trPr>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基本要求</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4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lang w:val="zh-CN" w:eastAsia="zh-CN"/>
              </w:rPr>
              <w:t>服务人员统一着装、佩证上岗，语言文明、行为得体、整洁大方。</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2、爱护公共物品，不乱拿损坏，损坏照价赔偿，无卫生死角，垃圾每天清运。</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3、楼内地面无垃圾杂物、污渍、水迹，天花板无灰尘、蛛网，保持光亮；垃圾筒、开关、消防箱、门窗、标识牌、扶手等设施洁净、明亮无污渍。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4、清洁工作完成后应及时对办公室门进行反锁保障安全。</w:t>
            </w:r>
          </w:p>
        </w:tc>
        <w:tc>
          <w:tcPr>
            <w:tcW w:w="22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无</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未达到服务标准，甲方发现一次扣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0" w:hRule="atLeast"/>
        </w:trPr>
        <w:tc>
          <w:tcPr>
            <w:tcW w:w="129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楼道</w:t>
            </w:r>
          </w:p>
        </w:tc>
        <w:tc>
          <w:tcPr>
            <w:tcW w:w="458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lang w:val="zh-CN" w:eastAsia="zh-CN"/>
              </w:rPr>
              <w:t>地面无水渍、无污渍，无垃圾，无积尘，光亮；</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2、墙面无灰尘、无污渍，光亮，墙角无蜘蛛网；</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3、公共设施表面无积尘、无污渍、光亮；</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4、不锈钢表面无手印，无积尘，无污渍、光亮；玻璃上无手印，无积尘，无污渍、明亮；</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5、窗台无积尘。</w:t>
            </w:r>
          </w:p>
        </w:tc>
        <w:tc>
          <w:tcPr>
            <w:tcW w:w="223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lang w:val="zh-CN" w:eastAsia="zh-CN"/>
              </w:rPr>
              <w:t>地面、楼梯、扶手、垃圾桶等每天不定时保洁；</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2、天花板每月保洁一次。</w:t>
            </w:r>
          </w:p>
        </w:tc>
        <w:tc>
          <w:tcPr>
            <w:tcW w:w="151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未达到服务标准，甲方发现一次扣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0" w:hRule="atLeast"/>
        </w:trPr>
        <w:tc>
          <w:tcPr>
            <w:tcW w:w="129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卫生间</w:t>
            </w:r>
          </w:p>
        </w:tc>
        <w:tc>
          <w:tcPr>
            <w:tcW w:w="458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1地面干净、无异味、无积水、无杂物、无污渍，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2、墙面瓷砖、门、窗无灰尘，镜面、洗手台干净无水迹，厕坑便具洁净无黄渍，卫生篓、茶水篓干净、完好；</w:t>
            </w:r>
          </w:p>
        </w:tc>
        <w:tc>
          <w:tcPr>
            <w:tcW w:w="223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 xml:space="preserve">1、每天不定时对卫生间进行保洁； </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2、天棚、灯具、窗玻璃排气扇每两周保洁1次</w:t>
            </w:r>
          </w:p>
        </w:tc>
        <w:tc>
          <w:tcPr>
            <w:tcW w:w="151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未达到服务标准，甲方发现一次扣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tc>
      </w:tr>
    </w:tbl>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b/>
          <w:bCs/>
          <w:sz w:val="24"/>
          <w:szCs w:val="24"/>
          <w:lang w:val="en-US" w:eastAsia="zh-CN"/>
        </w:rPr>
      </w:pPr>
      <w:r>
        <w:rPr>
          <w:rFonts w:hint="eastAsia" w:ascii="方正仿宋_GBK" w:hAnsi="宋体" w:eastAsia="方正仿宋_GBK"/>
          <w:b/>
          <w:bCs/>
          <w:sz w:val="24"/>
          <w:szCs w:val="24"/>
          <w:lang w:val="en-US" w:eastAsia="zh-CN"/>
        </w:rPr>
        <w:t>4.餐饮服务</w:t>
      </w:r>
    </w:p>
    <w:tbl>
      <w:tblPr>
        <w:tblStyle w:val="18"/>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6391"/>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项  目</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服务内容及标准</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2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食品卫生</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1、认真贯彻执行《中华人民共和国食品卫生法》。</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2、从事餐饮业的工作人员必须持有健康合格证。负责餐饮加工和冷拼人员须戴口罩、手套上岗。</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3、保持店内的餐桌，餐椅、墙面、地面等环境设施的消毒清洁，保持室内空气流通，严防各种污染。</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4</w:t>
            </w:r>
            <w:r>
              <w:rPr>
                <w:rFonts w:hint="eastAsia" w:ascii="方正仿宋_GBK" w:hAnsi="宋体" w:eastAsia="方正仿宋_GBK"/>
                <w:sz w:val="24"/>
                <w:szCs w:val="24"/>
                <w:lang w:val="zh-CN" w:eastAsia="zh-CN"/>
              </w:rPr>
              <w:t>、对餐具、饮具、食品容器等进行严格洗涮消毒，确保清洁卫生。</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5</w:t>
            </w:r>
            <w:r>
              <w:rPr>
                <w:rFonts w:hint="eastAsia" w:ascii="方正仿宋_GBK" w:hAnsi="宋体" w:eastAsia="方正仿宋_GBK"/>
                <w:sz w:val="24"/>
                <w:szCs w:val="24"/>
                <w:lang w:val="zh-CN" w:eastAsia="zh-CN"/>
              </w:rPr>
              <w:t>、洗碗间、冷荤间、烹调制作间应保持清洁卫生，厨房用具应及时清洗、消毒，严格做到生熟分开。</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6</w:t>
            </w:r>
            <w:r>
              <w:rPr>
                <w:rFonts w:hint="eastAsia" w:ascii="方正仿宋_GBK" w:hAnsi="宋体" w:eastAsia="方正仿宋_GBK"/>
                <w:sz w:val="24"/>
                <w:szCs w:val="24"/>
                <w:lang w:val="zh-CN" w:eastAsia="zh-CN"/>
              </w:rPr>
              <w:t>、垃圾要及时清运，未清运的垃圾要设有垃圾盖。</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未达到要求或服务标准，发现不规范一次扣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tc>
      </w:tr>
    </w:tbl>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b/>
          <w:bCs/>
          <w:sz w:val="24"/>
          <w:szCs w:val="24"/>
          <w:lang w:val="en-US" w:eastAsia="zh-CN"/>
        </w:rPr>
      </w:pPr>
      <w:r>
        <w:rPr>
          <w:rFonts w:hint="eastAsia" w:ascii="方正仿宋_GBK" w:hAnsi="宋体" w:eastAsia="方正仿宋_GBK"/>
          <w:b/>
          <w:bCs/>
          <w:sz w:val="24"/>
          <w:szCs w:val="24"/>
          <w:lang w:val="en-US" w:eastAsia="zh-CN"/>
        </w:rPr>
        <w:t>5.秩序服务</w:t>
      </w:r>
    </w:p>
    <w:tbl>
      <w:tblPr>
        <w:tblStyle w:val="18"/>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6391"/>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项  目</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服务内容及标准</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2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秩序维护</w:t>
            </w:r>
          </w:p>
        </w:tc>
        <w:tc>
          <w:tcPr>
            <w:tcW w:w="63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1、落实</w:t>
            </w:r>
            <w:r>
              <w:rPr>
                <w:rFonts w:hint="eastAsia" w:ascii="方正仿宋_GBK" w:hAnsi="宋体" w:eastAsia="方正仿宋_GBK"/>
                <w:sz w:val="24"/>
                <w:szCs w:val="24"/>
                <w:lang w:val="en-US" w:eastAsia="zh-CN"/>
              </w:rPr>
              <w:t>24小时值守和巡逻制度</w:t>
            </w:r>
            <w:r>
              <w:rPr>
                <w:rFonts w:hint="eastAsia" w:ascii="方正仿宋_GBK" w:hAnsi="宋体" w:eastAsia="方正仿宋_GBK"/>
                <w:sz w:val="24"/>
                <w:szCs w:val="24"/>
                <w:lang w:val="zh-CN"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2、来人来访做好登记工作，中心和小龙坎工作站除负责登记工作外，还需要提供办理公租房相关业务的咨询、接待等工作。</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3、搞好服务区治安防范工作，维持办公区域内良好的工作秩序。</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4</w:t>
            </w:r>
            <w:r>
              <w:rPr>
                <w:rFonts w:hint="eastAsia" w:ascii="方正仿宋_GBK" w:hAnsi="宋体" w:eastAsia="方正仿宋_GBK"/>
                <w:sz w:val="24"/>
                <w:szCs w:val="24"/>
                <w:lang w:val="zh-CN" w:eastAsia="zh-CN"/>
              </w:rPr>
              <w:t>、做好消防设施的巡查登记工作。</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5</w:t>
            </w:r>
            <w:r>
              <w:rPr>
                <w:rFonts w:hint="eastAsia" w:ascii="方正仿宋_GBK" w:hAnsi="宋体" w:eastAsia="方正仿宋_GBK"/>
                <w:sz w:val="24"/>
                <w:szCs w:val="24"/>
                <w:lang w:val="zh-CN" w:eastAsia="zh-CN"/>
              </w:rPr>
              <w:t>、熟悉服务区域内消防设施、消防疏散通道的分布，熟练使用消防防火设施。</w:t>
            </w:r>
          </w:p>
        </w:tc>
        <w:tc>
          <w:tcPr>
            <w:tcW w:w="20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未达到要求或服务标准，发现不规范一次扣</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val="zh-CN" w:eastAsia="zh-CN"/>
              </w:rPr>
              <w:t>00元物业管理服务费</w:t>
            </w:r>
          </w:p>
        </w:tc>
      </w:tr>
    </w:tbl>
    <w:p>
      <w:pPr>
        <w:pStyle w:val="3"/>
        <w:adjustRightInd w:val="0"/>
        <w:snapToGrid w:val="0"/>
        <w:spacing w:before="0" w:after="0" w:line="400" w:lineRule="exact"/>
        <w:ind w:firstLine="482" w:firstLineChars="200"/>
        <w:rPr>
          <w:rFonts w:hint="eastAsia" w:ascii="方正仿宋_GBK" w:hAnsi="宋体" w:eastAsia="方正仿宋_GBK"/>
          <w:sz w:val="24"/>
        </w:rPr>
      </w:pPr>
      <w:bookmarkStart w:id="49" w:name="_Toc344475121"/>
      <w:bookmarkStart w:id="50" w:name="_Toc76462329"/>
      <w:bookmarkStart w:id="51" w:name="_Toc106030884"/>
      <w:r>
        <w:rPr>
          <w:rFonts w:hint="eastAsia" w:ascii="方正仿宋_GBK" w:hAnsi="宋体" w:eastAsia="方正仿宋_GBK"/>
          <w:sz w:val="24"/>
          <w:szCs w:val="24"/>
        </w:rPr>
        <w:t>※</w:t>
      </w:r>
      <w:r>
        <w:rPr>
          <w:rFonts w:hint="eastAsia" w:ascii="方正仿宋_GBK" w:hAnsi="宋体" w:eastAsia="方正仿宋_GBK"/>
          <w:sz w:val="24"/>
        </w:rPr>
        <w:t>二、</w:t>
      </w:r>
      <w:bookmarkEnd w:id="49"/>
      <w:r>
        <w:rPr>
          <w:rFonts w:hint="eastAsia" w:ascii="方正仿宋_GBK" w:hAnsi="宋体" w:eastAsia="方正仿宋_GBK"/>
          <w:sz w:val="24"/>
        </w:rPr>
        <w:t>报价要求</w:t>
      </w:r>
      <w:bookmarkEnd w:id="50"/>
      <w:bookmarkEnd w:id="51"/>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投标</w:t>
      </w:r>
      <w:r>
        <w:rPr>
          <w:rFonts w:hint="eastAsia" w:ascii="方正仿宋_GBK" w:hAnsi="宋体" w:eastAsia="方正仿宋_GBK"/>
          <w:sz w:val="24"/>
          <w:szCs w:val="24"/>
        </w:rPr>
        <w:t>报价</w:t>
      </w:r>
      <w:r>
        <w:rPr>
          <w:rFonts w:hint="eastAsia" w:ascii="方正仿宋_GBK" w:hAnsi="宋体" w:eastAsia="方正仿宋_GBK"/>
          <w:sz w:val="24"/>
          <w:szCs w:val="24"/>
          <w:lang w:val="zh-CN"/>
        </w:rPr>
        <w:t>须为人民币报价，包含：人工费（含员工工资、社会保险费、加班费、节日福利费、服装费）、工具和耗材费、管理费、税费等完成本项目所需的所有费用。</w:t>
      </w:r>
      <w:r>
        <w:rPr>
          <w:rFonts w:hint="eastAsia" w:ascii="方正仿宋_GBK" w:hAnsi="宋体" w:eastAsia="方正仿宋_GBK"/>
          <w:sz w:val="24"/>
          <w:szCs w:val="24"/>
        </w:rPr>
        <w:t>因成交供应商自身原因造成漏报、少报皆由其自行承担责任，采购人不再补偿。</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52" w:name="_Toc76462330"/>
      <w:bookmarkStart w:id="53" w:name="_Toc344475122"/>
      <w:bookmarkStart w:id="54" w:name="_Toc106030885"/>
      <w:r>
        <w:rPr>
          <w:rFonts w:hint="eastAsia" w:ascii="方正仿宋_GBK" w:hAnsi="宋体" w:eastAsia="方正仿宋_GBK"/>
          <w:sz w:val="24"/>
          <w:szCs w:val="24"/>
        </w:rPr>
        <w:t>※</w:t>
      </w:r>
      <w:r>
        <w:rPr>
          <w:rFonts w:hint="eastAsia" w:ascii="方正仿宋_GBK" w:hAnsi="宋体" w:eastAsia="方正仿宋_GBK"/>
          <w:sz w:val="24"/>
        </w:rPr>
        <w:t>三、付款方式</w:t>
      </w:r>
      <w:bookmarkEnd w:id="52"/>
      <w:bookmarkEnd w:id="53"/>
      <w:bookmarkEnd w:id="54"/>
    </w:p>
    <w:p>
      <w:pPr>
        <w:spacing w:line="400" w:lineRule="exact"/>
        <w:ind w:firstLine="480" w:firstLineChars="200"/>
        <w:rPr>
          <w:rFonts w:hint="eastAsia" w:ascii="微软雅黑" w:hAnsi="微软雅黑" w:eastAsia="微软雅黑" w:cs="微软雅黑"/>
          <w:sz w:val="24"/>
          <w:szCs w:val="24"/>
          <w:lang w:val="zh-CN"/>
        </w:rPr>
      </w:pPr>
      <w:r>
        <w:rPr>
          <w:rFonts w:hint="eastAsia" w:ascii="方正仿宋_GBK" w:hAnsi="宋体" w:eastAsia="方正仿宋_GBK"/>
          <w:sz w:val="24"/>
          <w:szCs w:val="24"/>
          <w:lang w:val="en-US" w:eastAsia="zh-CN"/>
        </w:rPr>
        <w:t>2023年2月28日前支付合同生效日起前6个月服务费用；2023年8月30日前支付合同服务期结束前剩余服务费用</w:t>
      </w:r>
      <w:r>
        <w:rPr>
          <w:rFonts w:hint="eastAsia" w:ascii="微软雅黑" w:hAnsi="微软雅黑" w:eastAsia="微软雅黑" w:cs="微软雅黑"/>
          <w:sz w:val="24"/>
          <w:szCs w:val="24"/>
          <w:lang w:val="zh-CN"/>
        </w:rPr>
        <w:t>。</w:t>
      </w:r>
    </w:p>
    <w:p>
      <w:pPr>
        <w:snapToGrid w:val="0"/>
        <w:spacing w:line="400" w:lineRule="exact"/>
        <w:ind w:firstLine="482" w:firstLineChars="200"/>
        <w:rPr>
          <w:rFonts w:hint="eastAsia" w:ascii="方正仿宋_GBK" w:hAnsi="宋体" w:eastAsia="方正仿宋_GBK" w:cs="Times New Roman"/>
          <w:b/>
          <w:kern w:val="2"/>
          <w:sz w:val="24"/>
          <w:szCs w:val="24"/>
          <w:lang w:val="zh-CN" w:eastAsia="zh-CN" w:bidi="ar-SA"/>
        </w:rPr>
      </w:pPr>
      <w:r>
        <w:rPr>
          <w:rFonts w:hint="eastAsia" w:ascii="方正仿宋_GBK" w:hAnsi="宋体" w:eastAsia="方正仿宋_GBK" w:cs="Times New Roman"/>
          <w:b/>
          <w:kern w:val="2"/>
          <w:sz w:val="24"/>
          <w:szCs w:val="24"/>
          <w:lang w:val="en-US" w:eastAsia="zh-CN" w:bidi="ar-SA"/>
        </w:rPr>
        <w:t>※</w:t>
      </w:r>
      <w:r>
        <w:rPr>
          <w:rFonts w:hint="eastAsia" w:ascii="方正仿宋_GBK" w:hAnsi="宋体" w:eastAsia="方正仿宋_GBK"/>
          <w:sz w:val="24"/>
          <w:szCs w:val="24"/>
        </w:rPr>
        <w:t>※</w:t>
      </w:r>
      <w:r>
        <w:rPr>
          <w:rFonts w:hint="eastAsia" w:ascii="方正仿宋_GBK" w:hAnsi="宋体" w:eastAsia="方正仿宋_GBK" w:cs="Times New Roman"/>
          <w:b/>
          <w:kern w:val="2"/>
          <w:sz w:val="24"/>
          <w:szCs w:val="24"/>
          <w:lang w:val="en-US" w:eastAsia="zh-CN" w:bidi="ar-SA"/>
        </w:rPr>
        <w:t>四</w:t>
      </w:r>
      <w:r>
        <w:rPr>
          <w:rFonts w:hint="eastAsia" w:ascii="方正仿宋_GBK" w:hAnsi="宋体" w:eastAsia="方正仿宋_GBK" w:cs="Times New Roman"/>
          <w:b/>
          <w:kern w:val="2"/>
          <w:sz w:val="24"/>
          <w:szCs w:val="24"/>
          <w:lang w:val="zh-CN" w:eastAsia="zh-CN" w:bidi="ar-SA"/>
        </w:rPr>
        <w:t>、人员和设备配备</w:t>
      </w:r>
    </w:p>
    <w:tbl>
      <w:tblPr>
        <w:tblStyle w:val="18"/>
        <w:tblW w:w="8030" w:type="dxa"/>
        <w:jc w:val="center"/>
        <w:tblInd w:w="0" w:type="dxa"/>
        <w:tblLayout w:type="fixed"/>
        <w:tblCellMar>
          <w:top w:w="0" w:type="dxa"/>
          <w:left w:w="0" w:type="dxa"/>
          <w:bottom w:w="0" w:type="dxa"/>
          <w:right w:w="0" w:type="dxa"/>
        </w:tblCellMar>
      </w:tblPr>
      <w:tblGrid>
        <w:gridCol w:w="838"/>
        <w:gridCol w:w="1124"/>
        <w:gridCol w:w="982"/>
        <w:gridCol w:w="3191"/>
        <w:gridCol w:w="1895"/>
      </w:tblGrid>
      <w:tr>
        <w:tblPrEx>
          <w:tblLayout w:type="fixed"/>
          <w:tblCellMar>
            <w:top w:w="0" w:type="dxa"/>
            <w:left w:w="0" w:type="dxa"/>
            <w:bottom w:w="0" w:type="dxa"/>
            <w:right w:w="0" w:type="dxa"/>
          </w:tblCellMar>
        </w:tblPrEx>
        <w:trPr>
          <w:trHeight w:val="285" w:hRule="atLeast"/>
          <w:jc w:val="center"/>
        </w:trPr>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序号</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岗位名称</w:t>
            </w: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岗位人数</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岗位说明</w:t>
            </w:r>
          </w:p>
        </w:tc>
        <w:tc>
          <w:tcPr>
            <w:tcW w:w="1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备注</w:t>
            </w:r>
          </w:p>
        </w:tc>
      </w:tr>
      <w:tr>
        <w:tblPrEx>
          <w:tblLayout w:type="fixed"/>
          <w:tblCellMar>
            <w:top w:w="0" w:type="dxa"/>
            <w:left w:w="0" w:type="dxa"/>
            <w:bottom w:w="0" w:type="dxa"/>
            <w:right w:w="0" w:type="dxa"/>
          </w:tblCellMar>
        </w:tblPrEx>
        <w:trPr>
          <w:trHeight w:val="285" w:hRule="atLeast"/>
          <w:jc w:val="center"/>
        </w:trPr>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tc>
        <w:tc>
          <w:tcPr>
            <w:tcW w:w="1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tc>
      </w:tr>
      <w:tr>
        <w:tblPrEx>
          <w:tblLayout w:type="fixed"/>
          <w:tblCellMar>
            <w:top w:w="0" w:type="dxa"/>
            <w:left w:w="0" w:type="dxa"/>
            <w:bottom w:w="0" w:type="dxa"/>
            <w:right w:w="0" w:type="dxa"/>
          </w:tblCellMar>
        </w:tblPrEx>
        <w:trPr>
          <w:trHeight w:val="36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1</w:t>
            </w:r>
          </w:p>
        </w:tc>
        <w:tc>
          <w:tcPr>
            <w:tcW w:w="11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安保</w:t>
            </w:r>
          </w:p>
        </w:tc>
        <w:tc>
          <w:tcPr>
            <w:tcW w:w="9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方正仿宋_GBK" w:hAnsi="宋体" w:eastAsia="方正仿宋_GBK"/>
                <w:sz w:val="24"/>
                <w:szCs w:val="24"/>
                <w:lang w:val="en-US" w:eastAsia="zh-CN"/>
              </w:rPr>
            </w:pPr>
            <w:r>
              <w:rPr>
                <w:rFonts w:hint="eastAsia" w:ascii="方正仿宋_GBK" w:hAnsi="宋体" w:eastAsia="方正仿宋_GBK"/>
                <w:sz w:val="24"/>
                <w:szCs w:val="24"/>
                <w:lang w:val="zh-CN" w:eastAsia="zh-CN"/>
              </w:rPr>
              <w:t>8</w:t>
            </w:r>
            <w:r>
              <w:rPr>
                <w:rFonts w:hint="eastAsia" w:ascii="方正仿宋_GBK" w:hAnsi="宋体" w:eastAsia="方正仿宋_GBK"/>
                <w:sz w:val="24"/>
                <w:szCs w:val="24"/>
                <w:lang w:val="en-US" w:eastAsia="zh-CN"/>
              </w:rPr>
              <w:t>人</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1、负责对进入管理区域内的外来办事人员进行盘查、登记，阻止无关人员进入；</w:t>
            </w:r>
          </w:p>
        </w:tc>
        <w:tc>
          <w:tcPr>
            <w:tcW w:w="1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中心本部办公区域4名、沙坪坝房屋管理工作站、小龙坎房屋管理工作站各2名</w:t>
            </w:r>
          </w:p>
        </w:tc>
      </w:tr>
      <w:tr>
        <w:tblPrEx>
          <w:tblLayout w:type="fixed"/>
          <w:tblCellMar>
            <w:top w:w="0" w:type="dxa"/>
            <w:left w:w="0" w:type="dxa"/>
            <w:bottom w:w="0" w:type="dxa"/>
            <w:right w:w="0" w:type="dxa"/>
          </w:tblCellMar>
        </w:tblPrEx>
        <w:trPr>
          <w:trHeight w:val="360"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11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9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2、负责检查管理区域内的消防设施，发现问题立即向甲方相关领导报告；</w:t>
            </w:r>
          </w:p>
        </w:tc>
        <w:tc>
          <w:tcPr>
            <w:tcW w:w="1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tc>
      </w:tr>
      <w:tr>
        <w:tblPrEx>
          <w:tblLayout w:type="fixed"/>
          <w:tblCellMar>
            <w:top w:w="0" w:type="dxa"/>
            <w:left w:w="0" w:type="dxa"/>
            <w:bottom w:w="0" w:type="dxa"/>
            <w:right w:w="0" w:type="dxa"/>
          </w:tblCellMar>
        </w:tblPrEx>
        <w:trPr>
          <w:trHeight w:val="285"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11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9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3、协助甲方做好治安及消防安全工作。</w:t>
            </w:r>
          </w:p>
        </w:tc>
        <w:tc>
          <w:tcPr>
            <w:tcW w:w="1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tc>
      </w:tr>
      <w:tr>
        <w:tblPrEx>
          <w:tblLayout w:type="fixed"/>
          <w:tblCellMar>
            <w:top w:w="0" w:type="dxa"/>
            <w:left w:w="0" w:type="dxa"/>
            <w:bottom w:w="0" w:type="dxa"/>
            <w:right w:w="0" w:type="dxa"/>
          </w:tblCellMar>
        </w:tblPrEx>
        <w:trPr>
          <w:trHeight w:val="375" w:hRule="atLeast"/>
          <w:jc w:val="center"/>
        </w:trPr>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w:t>
            </w:r>
          </w:p>
        </w:tc>
        <w:tc>
          <w:tcPr>
            <w:tcW w:w="11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保洁</w:t>
            </w: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方正仿宋_GBK" w:hAnsi="宋体" w:eastAsia="方正仿宋_GBK"/>
                <w:sz w:val="24"/>
                <w:szCs w:val="24"/>
                <w:lang w:val="en-US" w:eastAsia="zh-CN"/>
              </w:rPr>
            </w:pPr>
            <w:r>
              <w:rPr>
                <w:rFonts w:hint="eastAsia" w:ascii="方正仿宋_GBK" w:hAnsi="宋体" w:eastAsia="方正仿宋_GBK"/>
                <w:sz w:val="24"/>
                <w:szCs w:val="24"/>
                <w:lang w:val="zh-CN" w:eastAsia="zh-CN"/>
              </w:rPr>
              <w:t>3</w:t>
            </w:r>
            <w:r>
              <w:rPr>
                <w:rFonts w:hint="eastAsia" w:ascii="方正仿宋_GBK" w:hAnsi="宋体" w:eastAsia="方正仿宋_GBK"/>
                <w:sz w:val="24"/>
                <w:szCs w:val="24"/>
                <w:lang w:val="en-US" w:eastAsia="zh-CN"/>
              </w:rPr>
              <w:t>人</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负责服务区域内的公共区域内的卫生清扫、保洁工作；</w:t>
            </w:r>
          </w:p>
        </w:tc>
        <w:tc>
          <w:tcPr>
            <w:tcW w:w="1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中心本部1名、沙坪坝房屋管理工作站、小龙坎房屋管理工作站各1名</w:t>
            </w:r>
          </w:p>
        </w:tc>
      </w:tr>
      <w:tr>
        <w:tblPrEx>
          <w:tblLayout w:type="fixed"/>
          <w:tblCellMar>
            <w:top w:w="0" w:type="dxa"/>
            <w:left w:w="0" w:type="dxa"/>
            <w:bottom w:w="0" w:type="dxa"/>
            <w:right w:w="0" w:type="dxa"/>
          </w:tblCellMar>
        </w:tblPrEx>
        <w:trPr>
          <w:trHeight w:val="90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3</w:t>
            </w:r>
          </w:p>
        </w:tc>
        <w:tc>
          <w:tcPr>
            <w:tcW w:w="11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食堂工作人员</w:t>
            </w:r>
          </w:p>
        </w:tc>
        <w:tc>
          <w:tcPr>
            <w:tcW w:w="9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方正仿宋_GBK" w:hAnsi="宋体" w:eastAsia="方正仿宋_GBK"/>
                <w:sz w:val="24"/>
                <w:szCs w:val="24"/>
                <w:lang w:val="en-US" w:eastAsia="zh-CN"/>
              </w:rPr>
            </w:pPr>
            <w:r>
              <w:rPr>
                <w:rFonts w:hint="eastAsia" w:ascii="方正仿宋_GBK" w:hAnsi="宋体" w:eastAsia="方正仿宋_GBK"/>
                <w:sz w:val="24"/>
                <w:szCs w:val="24"/>
                <w:lang w:val="zh-CN" w:eastAsia="zh-CN"/>
              </w:rPr>
              <w:t>6</w:t>
            </w:r>
            <w:r>
              <w:rPr>
                <w:rFonts w:hint="eastAsia" w:ascii="方正仿宋_GBK" w:hAnsi="宋体" w:eastAsia="方正仿宋_GBK"/>
                <w:sz w:val="24"/>
                <w:szCs w:val="24"/>
                <w:lang w:val="en-US" w:eastAsia="zh-CN"/>
              </w:rPr>
              <w:t>人</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1、保证各自工作站点的饭菜卫生质量；</w:t>
            </w:r>
          </w:p>
        </w:tc>
        <w:tc>
          <w:tcPr>
            <w:tcW w:w="1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中心本部3名、美丽阳光家园公租房管理处1名；沙坪坝房屋管理工作站1名、小龙坎房屋管理工作站1名。</w:t>
            </w:r>
          </w:p>
        </w:tc>
      </w:tr>
      <w:tr>
        <w:tblPrEx>
          <w:tblLayout w:type="fixed"/>
          <w:tblCellMar>
            <w:top w:w="0" w:type="dxa"/>
            <w:left w:w="0" w:type="dxa"/>
            <w:bottom w:w="0" w:type="dxa"/>
            <w:right w:w="0" w:type="dxa"/>
          </w:tblCellMar>
        </w:tblPrEx>
        <w:trPr>
          <w:trHeight w:val="270"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11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9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2、保证按时向就餐人员提供就餐服务。</w:t>
            </w:r>
          </w:p>
        </w:tc>
        <w:tc>
          <w:tcPr>
            <w:tcW w:w="1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tc>
      </w:tr>
      <w:tr>
        <w:tblPrEx>
          <w:tblLayout w:type="fixed"/>
          <w:tblCellMar>
            <w:top w:w="0" w:type="dxa"/>
            <w:left w:w="0" w:type="dxa"/>
            <w:bottom w:w="0" w:type="dxa"/>
            <w:right w:w="0" w:type="dxa"/>
          </w:tblCellMar>
        </w:tblPrEx>
        <w:trPr>
          <w:trHeight w:val="270" w:hRule="atLeast"/>
          <w:jc w:val="center"/>
        </w:trPr>
        <w:tc>
          <w:tcPr>
            <w:tcW w:w="19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合计</w:t>
            </w: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方正仿宋_GBK" w:hAnsi="宋体" w:eastAsia="方正仿宋_GBK"/>
                <w:sz w:val="24"/>
                <w:szCs w:val="24"/>
                <w:lang w:val="en-US" w:eastAsia="zh-CN"/>
              </w:rPr>
            </w:pPr>
            <w:r>
              <w:rPr>
                <w:rFonts w:hint="eastAsia" w:ascii="方正仿宋_GBK" w:hAnsi="宋体" w:eastAsia="方正仿宋_GBK"/>
                <w:sz w:val="24"/>
                <w:szCs w:val="24"/>
                <w:lang w:val="zh-CN" w:eastAsia="zh-CN"/>
              </w:rPr>
              <w:t>17</w:t>
            </w:r>
            <w:r>
              <w:rPr>
                <w:rFonts w:hint="eastAsia" w:ascii="方正仿宋_GBK" w:hAnsi="宋体" w:eastAsia="方正仿宋_GBK"/>
                <w:sz w:val="24"/>
                <w:szCs w:val="24"/>
                <w:lang w:val="en-US" w:eastAsia="zh-CN"/>
              </w:rPr>
              <w:t>人</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tc>
        <w:tc>
          <w:tcPr>
            <w:tcW w:w="18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p>
        </w:tc>
      </w:tr>
    </w:tbl>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注：</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1.上述人员配置为采购人最低要求，响应供应商的人员配置不得低于该要求，若低于该人员配置要求，则按无效响应处理。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2.所有人员上岗须经采购人审核同意，成交供应商不得随意调整，如有调整或更换，应提前告知采购人，并征求采购人意见。</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3.采购人有权按上表所述对成交供应商岗位及上岗人员不定期进行巡查、抽查。人员配置为物业管理服务考核的重要内容。未经采购人同意，成交供应商不得随意撤、并。若确因离职、解聘等原因造成某个岗位短期缺岗的，成交供应商应于缺岗当日向采购人进行书面报告备案。成交供应商须于15日内安排人员上岗，超过15日仍未安排人员的，采购人将按岗位的日工资标准从月费用中扣除以至人员到位。关键岗位，特别是需24小时值守的岗位，无论何原因造成缺岗的，成交供应商须采取应急措施抽调人员顶岗，不得缺岗。</w:t>
      </w:r>
    </w:p>
    <w:p>
      <w:pPr>
        <w:spacing w:line="400" w:lineRule="exact"/>
        <w:ind w:firstLine="480" w:firstLineChars="200"/>
        <w:rPr>
          <w:rFonts w:hint="eastAsia" w:ascii="方正仿宋_GBK" w:hAnsi="宋体" w:eastAsia="方正仿宋_GBK" w:cs="Times New Roman"/>
          <w:b/>
          <w:bCs/>
          <w:sz w:val="24"/>
          <w:szCs w:val="24"/>
          <w:lang w:val="en-US" w:eastAsia="zh-CN"/>
        </w:rPr>
      </w:pPr>
      <w:r>
        <w:rPr>
          <w:rFonts w:hint="eastAsia" w:ascii="方正仿宋_GBK" w:hAnsi="宋体" w:eastAsia="方正仿宋_GBK"/>
          <w:sz w:val="24"/>
          <w:szCs w:val="24"/>
        </w:rPr>
        <w:t>※</w:t>
      </w:r>
      <w:r>
        <w:rPr>
          <w:rFonts w:hint="eastAsia" w:ascii="方正仿宋_GBK" w:hAnsi="宋体" w:eastAsia="方正仿宋_GBK" w:cs="Times New Roman"/>
          <w:b/>
          <w:bCs/>
          <w:sz w:val="24"/>
          <w:szCs w:val="24"/>
          <w:lang w:val="en-US" w:eastAsia="zh-CN"/>
        </w:rPr>
        <w:t>五、其他</w:t>
      </w: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1.成交供应商须有稳定和较高素质的管理团队和员工队伍，确保服务质量承诺能够圆满兑现，成交供应商派驻到该项目的人员不得低于本磋商文件规定的配置。</w:t>
      </w: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2.成交供应商应依法用工，负责所聘人员的培训、劳动保护、保险、伤病等事项；在招录员工时，必须按照《劳动法》相关规定进行招录并提供相关依据的复印件。凡是“未岗前常规体检”、“有传染病史”、“有违法乱纪记录”、“有心理疾病”、“未岗前培训”等人员不得录用；其所派人员发生事故或其他意外均由成交供应商负责。</w:t>
      </w: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3.岗位及岗位人员的实际配备，由采购人根据实际工作需要进行调整。</w:t>
      </w: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4.成交供应商服从采购人监督管理和考核，采购人考核未达到要求可以根据情况扣减物业费用，如果采购人考核未达到合格及以上要求或因成交供应商原因发生责任事故，采购人可单方面解除合同。</w:t>
      </w: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5.成交供应商物业合同到期即终止合同，及时办理物业移交，妥善处理相关后续事宜，本合同终止时，必须向采购人移交物业管理用房、采购人的所有设备以及在采购人处所接收的全部物业档案、图纸、资料。所有手续和费用完清，无任何用工纠纷和遗留问题，采购人确认无异议后十五日内退还成交供应商履约保证金。</w:t>
      </w: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6.在履约服务期限内，成交供应商自行组织人员完成合同约定事务，并按国家法律法规的要求完善用工制度，成交供应商为完成合同约定事务自行聘请的人员工资、福利、社保等用工责任由成交供应商自行承担，因成交供应商未完善而引起的劳动争议由成交供应商自行负责。</w:t>
      </w: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7.成交供应商应定期对员工进行岗位培训，不断提高员工服务技能；从业人员有较强的服务、责任、保密意识以及稳定性。</w:t>
      </w: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8.成交供应商应当严格按照国家和重庆市物业管理的有关规定和政府采购合同，对本项目实施专业化管理，综合性服务。</w:t>
      </w: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9.履约服务期限内所发生的一切安全事故均由成交供应商自行负责。</w:t>
      </w: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10成交供应商必须在响应文件中对以上条款和服务承诺明确列出，承诺内容必须达到磋商文件的要求。</w:t>
      </w: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11.成交供应商不得分包、转包、挂靠成交项目。</w:t>
      </w:r>
    </w:p>
    <w:p>
      <w:pPr>
        <w:spacing w:line="40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12.其他未尽事宜由采购人和成交供应商双方在采购合同中详细约定</w:t>
      </w:r>
    </w:p>
    <w:p>
      <w:pPr>
        <w:pStyle w:val="3"/>
        <w:pageBreakBefore/>
        <w:spacing w:before="0" w:after="0" w:line="360" w:lineRule="auto"/>
        <w:jc w:val="center"/>
        <w:rPr>
          <w:rFonts w:hint="eastAsia" w:ascii="方正小标宋_GBK" w:hAnsi="宋体" w:eastAsia="方正小标宋_GBK"/>
          <w:b w:val="0"/>
          <w:sz w:val="36"/>
          <w:szCs w:val="30"/>
        </w:rPr>
      </w:pPr>
      <w:bookmarkStart w:id="55" w:name="_Toc106030887"/>
      <w:bookmarkStart w:id="56" w:name="_Toc76462332"/>
      <w:r>
        <w:rPr>
          <w:rFonts w:hint="eastAsia" w:ascii="方正小标宋_GBK" w:hAnsi="宋体" w:eastAsia="方正小标宋_GBK"/>
          <w:b w:val="0"/>
          <w:sz w:val="36"/>
          <w:szCs w:val="30"/>
        </w:rPr>
        <w:t>第四篇  磋商程序及方法、评审标准、无效响应和</w:t>
      </w:r>
      <w:r>
        <w:rPr>
          <w:rFonts w:hint="eastAsia" w:ascii="方正小标宋_GBK" w:eastAsia="方正小标宋_GBK"/>
          <w:b w:val="0"/>
          <w:sz w:val="36"/>
          <w:szCs w:val="36"/>
        </w:rPr>
        <w:t>采购终止</w:t>
      </w:r>
      <w:bookmarkEnd w:id="55"/>
      <w:bookmarkEnd w:id="56"/>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57" w:name="_Toc106030888"/>
      <w:bookmarkStart w:id="58" w:name="_Toc76462333"/>
      <w:r>
        <w:rPr>
          <w:rFonts w:hint="eastAsia" w:ascii="方正仿宋_GBK" w:hAnsi="宋体" w:eastAsia="方正仿宋_GBK"/>
          <w:sz w:val="24"/>
        </w:rPr>
        <w:t>一、磋商程序及方法</w:t>
      </w:r>
      <w:bookmarkEnd w:id="57"/>
      <w:bookmarkEnd w:id="58"/>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磋商按竞争性磋商文件规定的时间和地点进行，供应商须有法定代表人（或其授权代表）或自然人参加并签到。竞争性磋商以抽签的形式确定磋商顺序，由本项目依法组建的竞争性磋商小组（以下简称磋商小组）分别与各供应商进行磋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w:t>
      </w:r>
      <w:r>
        <w:rPr>
          <w:rFonts w:hint="eastAsia" w:ascii="方正仿宋_GBK" w:hAnsi="宋体" w:eastAsia="方正仿宋_GBK" w:cs="宋体"/>
          <w:kern w:val="0"/>
          <w:sz w:val="24"/>
          <w:szCs w:val="24"/>
        </w:rPr>
        <w:t>资格性审查。依据法律法规和竞争性磋商文件的规定，对响应文件中的资格证明、等进行审查，以确定供应商是否具备磋商资格。资格性审查资料表如下：</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3118"/>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4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jc w:val="center"/>
              <w:rPr>
                <w:rFonts w:hint="eastAsia" w:ascii="方正仿宋_GBK" w:hAnsi="仿宋" w:eastAsia="方正仿宋_GBK"/>
                <w:sz w:val="21"/>
                <w:szCs w:val="21"/>
              </w:rPr>
            </w:pPr>
            <w:r>
              <w:rPr>
                <w:rFonts w:hint="eastAsia" w:ascii="方正仿宋_GBK" w:hAnsi="仿宋" w:eastAsia="方正仿宋_GBK"/>
                <w:sz w:val="21"/>
                <w:szCs w:val="21"/>
              </w:rPr>
              <w:t>（一）</w:t>
            </w:r>
          </w:p>
        </w:tc>
        <w:tc>
          <w:tcPr>
            <w:tcW w:w="709" w:type="dxa"/>
            <w:vMerge w:val="restart"/>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《中华人民共和国政府采购法》第二十二条规定</w:t>
            </w:r>
          </w:p>
        </w:tc>
        <w:tc>
          <w:tcPr>
            <w:tcW w:w="3118" w:type="dxa"/>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1.具有独立承担民事责任的能力</w:t>
            </w:r>
          </w:p>
        </w:tc>
        <w:tc>
          <w:tcPr>
            <w:tcW w:w="4984" w:type="dxa"/>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 xml:space="preserve">1.供应商法人营业执照（副本）或事业单位法人证书（副本）或个体工商户营业执照或有效的自然人身份证明或社会团体法人登记证书（提供复印件）。 </w:t>
            </w:r>
          </w:p>
          <w:p>
            <w:pPr>
              <w:rPr>
                <w:rFonts w:hint="eastAsia" w:ascii="方正仿宋_GBK" w:hAnsi="仿宋" w:eastAsia="方正仿宋_GBK"/>
                <w:sz w:val="21"/>
                <w:szCs w:val="21"/>
              </w:rPr>
            </w:pPr>
            <w:r>
              <w:rPr>
                <w:rFonts w:hint="eastAsia" w:ascii="方正仿宋_GBK" w:hAnsi="仿宋" w:eastAsia="方正仿宋_GBK"/>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hint="eastAsia" w:ascii="方正仿宋_GBK" w:hAnsi="仿宋" w:eastAsia="方正仿宋_GBK"/>
                <w:sz w:val="21"/>
                <w:szCs w:val="21"/>
              </w:rPr>
            </w:pPr>
          </w:p>
        </w:tc>
        <w:tc>
          <w:tcPr>
            <w:tcW w:w="709" w:type="dxa"/>
            <w:vMerge w:val="continue"/>
            <w:vAlign w:val="center"/>
          </w:tcPr>
          <w:p>
            <w:pPr>
              <w:rPr>
                <w:rFonts w:hint="eastAsia" w:ascii="方正仿宋_GBK" w:hAnsi="仿宋" w:eastAsia="方正仿宋_GBK" w:cs="仿宋_GB2312"/>
                <w:sz w:val="21"/>
                <w:szCs w:val="21"/>
                <w:lang w:val="zh-CN"/>
              </w:rPr>
            </w:pPr>
          </w:p>
        </w:tc>
        <w:tc>
          <w:tcPr>
            <w:tcW w:w="3118" w:type="dxa"/>
            <w:vAlign w:val="center"/>
          </w:tcPr>
          <w:p>
            <w:pPr>
              <w:rPr>
                <w:rFonts w:hint="eastAsia" w:ascii="方正仿宋_GBK" w:hAnsi="仿宋" w:eastAsia="方正仿宋_GBK"/>
                <w:sz w:val="21"/>
                <w:szCs w:val="21"/>
              </w:rPr>
            </w:pPr>
            <w:r>
              <w:rPr>
                <w:rFonts w:hint="eastAsia" w:ascii="方正仿宋_GBK" w:hAnsi="仿宋" w:eastAsia="方正仿宋_GBK" w:cs="仿宋_GB2312"/>
                <w:sz w:val="21"/>
                <w:szCs w:val="21"/>
                <w:lang w:val="zh-CN"/>
              </w:rPr>
              <w:t>2.</w:t>
            </w:r>
            <w:r>
              <w:rPr>
                <w:rFonts w:hint="eastAsia" w:ascii="方正仿宋_GBK" w:hAnsi="仿宋" w:eastAsia="方正仿宋_GBK"/>
                <w:sz w:val="21"/>
                <w:szCs w:val="21"/>
              </w:rPr>
              <w:t>具有良好的商业信誉和健全的财务会计制度</w:t>
            </w:r>
          </w:p>
        </w:tc>
        <w:tc>
          <w:tcPr>
            <w:tcW w:w="4984" w:type="dxa"/>
            <w:vMerge w:val="restart"/>
            <w:vAlign w:val="center"/>
          </w:tcPr>
          <w:p>
            <w:pPr>
              <w:rPr>
                <w:rFonts w:hint="eastAsia" w:ascii="方正仿宋_GBK" w:hAnsi="仿宋" w:eastAsia="方正仿宋_GBK"/>
                <w:b/>
                <w:sz w:val="21"/>
                <w:szCs w:val="21"/>
              </w:rPr>
            </w:pPr>
            <w:r>
              <w:rPr>
                <w:rFonts w:hint="eastAsia" w:ascii="方正仿宋_GBK" w:hAnsi="仿宋" w:eastAsia="方正仿宋_GBK"/>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hint="eastAsia" w:ascii="方正仿宋_GBK" w:hAnsi="仿宋" w:eastAsia="方正仿宋_GBK"/>
                <w:sz w:val="21"/>
                <w:szCs w:val="21"/>
              </w:rPr>
            </w:pPr>
          </w:p>
        </w:tc>
        <w:tc>
          <w:tcPr>
            <w:tcW w:w="709" w:type="dxa"/>
            <w:vMerge w:val="continue"/>
            <w:vAlign w:val="center"/>
          </w:tcPr>
          <w:p>
            <w:pPr>
              <w:rPr>
                <w:rFonts w:hint="eastAsia" w:ascii="方正仿宋_GBK" w:hAnsi="仿宋" w:eastAsia="方正仿宋_GBK" w:cs="仿宋_GB2312"/>
                <w:sz w:val="21"/>
                <w:szCs w:val="21"/>
                <w:lang w:val="zh-CN"/>
              </w:rPr>
            </w:pPr>
          </w:p>
        </w:tc>
        <w:tc>
          <w:tcPr>
            <w:tcW w:w="3118" w:type="dxa"/>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3.具有履行合同所必需的设备和专业技术能力</w:t>
            </w:r>
          </w:p>
        </w:tc>
        <w:tc>
          <w:tcPr>
            <w:tcW w:w="4984" w:type="dxa"/>
            <w:vMerge w:val="continue"/>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hint="eastAsia" w:ascii="方正仿宋_GBK" w:hAnsi="仿宋" w:eastAsia="方正仿宋_GBK"/>
                <w:sz w:val="21"/>
                <w:szCs w:val="21"/>
              </w:rPr>
            </w:pPr>
          </w:p>
        </w:tc>
        <w:tc>
          <w:tcPr>
            <w:tcW w:w="709" w:type="dxa"/>
            <w:vMerge w:val="continue"/>
            <w:vAlign w:val="center"/>
          </w:tcPr>
          <w:p>
            <w:pPr>
              <w:rPr>
                <w:rFonts w:hint="eastAsia" w:ascii="方正仿宋_GBK" w:hAnsi="仿宋" w:eastAsia="方正仿宋_GBK" w:cs="仿宋_GB2312"/>
                <w:sz w:val="21"/>
                <w:szCs w:val="21"/>
                <w:lang w:val="zh-CN"/>
              </w:rPr>
            </w:pPr>
          </w:p>
        </w:tc>
        <w:tc>
          <w:tcPr>
            <w:tcW w:w="3118" w:type="dxa"/>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4.有依法缴纳税收和社会保障金的良好记录</w:t>
            </w:r>
          </w:p>
        </w:tc>
        <w:tc>
          <w:tcPr>
            <w:tcW w:w="4984" w:type="dxa"/>
            <w:vMerge w:val="continue"/>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hint="eastAsia" w:ascii="方正仿宋_GBK" w:hAnsi="仿宋" w:eastAsia="方正仿宋_GBK"/>
                <w:sz w:val="21"/>
                <w:szCs w:val="21"/>
              </w:rPr>
            </w:pPr>
          </w:p>
        </w:tc>
        <w:tc>
          <w:tcPr>
            <w:tcW w:w="709" w:type="dxa"/>
            <w:vMerge w:val="continue"/>
            <w:vAlign w:val="center"/>
          </w:tcPr>
          <w:p>
            <w:pPr>
              <w:rPr>
                <w:rFonts w:hint="eastAsia" w:ascii="方正仿宋_GBK" w:hAnsi="仿宋" w:eastAsia="方正仿宋_GBK" w:cs="仿宋_GB2312"/>
                <w:sz w:val="21"/>
                <w:szCs w:val="21"/>
                <w:lang w:val="zh-CN"/>
              </w:rPr>
            </w:pPr>
          </w:p>
        </w:tc>
        <w:tc>
          <w:tcPr>
            <w:tcW w:w="3118" w:type="dxa"/>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sz w:val="21"/>
                <w:szCs w:val="21"/>
              </w:rPr>
              <w:t>5.参加政府采购活动前三年内，在经营活动中没有重大违法记录</w:t>
            </w:r>
          </w:p>
        </w:tc>
        <w:tc>
          <w:tcPr>
            <w:tcW w:w="4984" w:type="dxa"/>
            <w:vMerge w:val="continue"/>
            <w:vAlign w:val="center"/>
          </w:tcPr>
          <w:p>
            <w:pPr>
              <w:rPr>
                <w:rFonts w:hint="eastAsia" w:ascii="方正仿宋_GBK" w:hAnsi="仿宋" w:eastAsia="方正仿宋_GBK"/>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17" w:type="dxa"/>
            <w:vMerge w:val="continue"/>
            <w:vAlign w:val="center"/>
          </w:tcPr>
          <w:p>
            <w:pPr>
              <w:jc w:val="center"/>
              <w:rPr>
                <w:rFonts w:hint="eastAsia" w:ascii="方正仿宋_GBK" w:hAnsi="仿宋" w:eastAsia="方正仿宋_GBK"/>
                <w:sz w:val="21"/>
                <w:szCs w:val="21"/>
              </w:rPr>
            </w:pPr>
          </w:p>
        </w:tc>
        <w:tc>
          <w:tcPr>
            <w:tcW w:w="709" w:type="dxa"/>
            <w:vMerge w:val="continue"/>
            <w:vAlign w:val="center"/>
          </w:tcPr>
          <w:p>
            <w:pPr>
              <w:rPr>
                <w:rFonts w:hint="eastAsia" w:ascii="方正仿宋_GBK" w:hAnsi="仿宋" w:eastAsia="方正仿宋_GBK" w:cs="仿宋_GB2312"/>
                <w:sz w:val="21"/>
                <w:szCs w:val="21"/>
              </w:rPr>
            </w:pPr>
          </w:p>
        </w:tc>
        <w:tc>
          <w:tcPr>
            <w:tcW w:w="3118" w:type="dxa"/>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6.法律、行政法规规定的其他条件</w:t>
            </w:r>
          </w:p>
        </w:tc>
        <w:tc>
          <w:tcPr>
            <w:tcW w:w="4984" w:type="dxa"/>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17" w:type="dxa"/>
            <w:vMerge w:val="continue"/>
            <w:vAlign w:val="center"/>
          </w:tcPr>
          <w:p>
            <w:pPr>
              <w:jc w:val="center"/>
              <w:rPr>
                <w:rFonts w:hint="eastAsia" w:ascii="方正仿宋_GBK" w:hAnsi="仿宋" w:eastAsia="方正仿宋_GBK"/>
                <w:sz w:val="21"/>
                <w:szCs w:val="21"/>
              </w:rPr>
            </w:pPr>
          </w:p>
        </w:tc>
        <w:tc>
          <w:tcPr>
            <w:tcW w:w="709" w:type="dxa"/>
            <w:vMerge w:val="continue"/>
            <w:vAlign w:val="center"/>
          </w:tcPr>
          <w:p>
            <w:pPr>
              <w:rPr>
                <w:rFonts w:hint="eastAsia" w:ascii="方正仿宋_GBK" w:hAnsi="仿宋" w:eastAsia="方正仿宋_GBK" w:cs="仿宋_GB2312"/>
                <w:sz w:val="21"/>
                <w:szCs w:val="21"/>
              </w:rPr>
            </w:pPr>
          </w:p>
        </w:tc>
        <w:tc>
          <w:tcPr>
            <w:tcW w:w="3118" w:type="dxa"/>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7.本项目的特定资格要求</w:t>
            </w:r>
          </w:p>
        </w:tc>
        <w:tc>
          <w:tcPr>
            <w:tcW w:w="4984" w:type="dxa"/>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按“第一篇三、供应商资格要求（三）本项目的特定资格要求”的要求提交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817" w:type="dxa"/>
            <w:vAlign w:val="center"/>
          </w:tcPr>
          <w:p>
            <w:pPr>
              <w:jc w:val="center"/>
              <w:rPr>
                <w:rFonts w:hint="eastAsia" w:ascii="方正仿宋_GBK" w:hAnsi="仿宋" w:eastAsia="方正仿宋_GBK"/>
                <w:sz w:val="21"/>
                <w:szCs w:val="21"/>
              </w:rPr>
            </w:pPr>
            <w:r>
              <w:rPr>
                <w:rFonts w:hint="eastAsia" w:ascii="方正仿宋_GBK" w:hAnsi="仿宋" w:eastAsia="方正仿宋_GBK"/>
                <w:sz w:val="21"/>
                <w:szCs w:val="21"/>
              </w:rPr>
              <w:t>（二）</w:t>
            </w:r>
          </w:p>
        </w:tc>
        <w:tc>
          <w:tcPr>
            <w:tcW w:w="3827" w:type="dxa"/>
            <w:gridSpan w:val="2"/>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落实政府采购政策需满足的资格要求</w:t>
            </w:r>
          </w:p>
        </w:tc>
        <w:tc>
          <w:tcPr>
            <w:tcW w:w="4984" w:type="dxa"/>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按“第一篇三、供应商资格要求（二）落实政府采购政策需满足的资格要求”的要求提交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817" w:type="dxa"/>
            <w:vAlign w:val="center"/>
          </w:tcPr>
          <w:p>
            <w:pPr>
              <w:jc w:val="center"/>
              <w:rPr>
                <w:rFonts w:hint="eastAsia" w:ascii="方正仿宋_GBK" w:hAnsi="仿宋" w:eastAsia="方正仿宋_GBK"/>
                <w:sz w:val="21"/>
                <w:szCs w:val="21"/>
                <w:lang w:eastAsia="zh-CN"/>
              </w:rPr>
            </w:pPr>
            <w:r>
              <w:rPr>
                <w:rFonts w:hint="eastAsia" w:ascii="方正仿宋_GBK" w:hAnsi="仿宋" w:eastAsia="方正仿宋_GBK"/>
                <w:sz w:val="21"/>
                <w:szCs w:val="21"/>
                <w:lang w:eastAsia="zh-CN"/>
              </w:rPr>
              <w:t>（</w:t>
            </w:r>
            <w:r>
              <w:rPr>
                <w:rFonts w:hint="eastAsia" w:ascii="方正仿宋_GBK" w:hAnsi="仿宋" w:eastAsia="方正仿宋_GBK"/>
                <w:sz w:val="21"/>
                <w:szCs w:val="21"/>
                <w:lang w:val="en-US" w:eastAsia="zh-CN"/>
              </w:rPr>
              <w:t>三）</w:t>
            </w:r>
          </w:p>
        </w:tc>
        <w:tc>
          <w:tcPr>
            <w:tcW w:w="3827" w:type="dxa"/>
            <w:gridSpan w:val="2"/>
            <w:vAlign w:val="top"/>
          </w:tcPr>
          <w:p>
            <w:pPr>
              <w:jc w:val="left"/>
              <w:rPr>
                <w:rFonts w:hint="eastAsia" w:ascii="方正仿宋_GBK" w:hAnsi="仿宋" w:eastAsia="方正仿宋_GBK"/>
                <w:sz w:val="21"/>
                <w:szCs w:val="21"/>
              </w:rPr>
            </w:pPr>
            <w:r>
              <w:rPr>
                <w:rFonts w:hint="eastAsia" w:ascii="方正仿宋_GBK" w:hAnsi="仿宋" w:eastAsia="方正仿宋_GBK"/>
                <w:sz w:val="21"/>
                <w:szCs w:val="21"/>
              </w:rPr>
              <w:t>保证金</w:t>
            </w:r>
          </w:p>
        </w:tc>
        <w:tc>
          <w:tcPr>
            <w:tcW w:w="4984" w:type="dxa"/>
            <w:vAlign w:val="top"/>
          </w:tcPr>
          <w:p>
            <w:pPr>
              <w:rPr>
                <w:rFonts w:hint="eastAsia" w:ascii="方正仿宋_GBK" w:hAnsi="仿宋" w:eastAsia="方正仿宋_GBK"/>
                <w:sz w:val="21"/>
                <w:szCs w:val="21"/>
              </w:rPr>
            </w:pPr>
            <w:r>
              <w:rPr>
                <w:rFonts w:hint="eastAsia" w:ascii="方正仿宋_GBK" w:hAnsi="仿宋" w:eastAsia="方正仿宋_GBK"/>
                <w:sz w:val="21"/>
                <w:szCs w:val="21"/>
              </w:rPr>
              <w:t>按</w:t>
            </w:r>
            <w:r>
              <w:rPr>
                <w:rFonts w:hint="eastAsia" w:ascii="方正仿宋_GBK" w:hAnsi="仿宋" w:eastAsia="方正仿宋_GBK"/>
                <w:sz w:val="21"/>
                <w:szCs w:val="21"/>
                <w:lang w:val="en-US" w:eastAsia="zh-CN"/>
              </w:rPr>
              <w:t>磋商文件</w:t>
            </w:r>
            <w:r>
              <w:rPr>
                <w:rFonts w:hint="eastAsia" w:ascii="方正仿宋_GBK" w:hAnsi="仿宋" w:eastAsia="方正仿宋_GBK"/>
                <w:sz w:val="21"/>
                <w:szCs w:val="21"/>
              </w:rPr>
              <w:t>要求足额交纳所参与包的保证金</w:t>
            </w:r>
            <w:r>
              <w:rPr>
                <w:rFonts w:hint="eastAsia" w:ascii="方正仿宋_GBK" w:hAnsi="仿宋" w:eastAsia="方正仿宋_GBK"/>
                <w:sz w:val="21"/>
                <w:szCs w:val="21"/>
                <w:lang w:val="en-US" w:eastAsia="zh-CN"/>
              </w:rPr>
              <w:t>，并提供相关证明材料</w:t>
            </w:r>
            <w:r>
              <w:rPr>
                <w:rFonts w:hint="eastAsia" w:ascii="方正仿宋_GBK" w:hAnsi="仿宋" w:eastAsia="方正仿宋_GBK"/>
                <w:sz w:val="21"/>
                <w:szCs w:val="21"/>
              </w:rPr>
              <w:t>。</w:t>
            </w:r>
          </w:p>
        </w:tc>
      </w:tr>
    </w:tbl>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hint="eastAsia"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根据《</w:t>
      </w:r>
      <w:r>
        <w:rPr>
          <w:rFonts w:ascii="方正仿宋_GBK" w:hAnsi="宋体" w:eastAsia="方正仿宋_GBK" w:cs="宋体"/>
          <w:kern w:val="0"/>
          <w:sz w:val="24"/>
          <w:szCs w:val="24"/>
        </w:rPr>
        <w:t>中华人民共和国政府采购法实施条例</w:t>
      </w:r>
      <w:r>
        <w:rPr>
          <w:rFonts w:hint="eastAsia" w:ascii="方正仿宋_GBK" w:hAnsi="宋体" w:eastAsia="方正仿宋_GBK" w:cs="宋体"/>
          <w:kern w:val="0"/>
          <w:sz w:val="24"/>
          <w:szCs w:val="24"/>
        </w:rPr>
        <w:t>》第十九条“参加政府采购活动前三年内，在经营活动中没有重大违法记录”中“重大违法记录”</w:t>
      </w:r>
      <w:r>
        <w:rPr>
          <w:rFonts w:ascii="方正仿宋_GBK" w:hAnsi="宋体" w:eastAsia="方正仿宋_GBK" w:cs="宋体"/>
          <w:kern w:val="0"/>
          <w:sz w:val="24"/>
          <w:szCs w:val="24"/>
        </w:rPr>
        <w:t>，是指供应商因违法经营受到刑事处罚或者责令停产停业、吊销许可证或者执照、较大数额罚款等行政处罚。</w:t>
      </w:r>
      <w:r>
        <w:rPr>
          <w:rFonts w:hint="eastAsia" w:ascii="方正仿宋_GBK" w:hAnsi="宋体" w:eastAsia="方正仿宋_GBK" w:cs="宋体"/>
          <w:kern w:val="0"/>
          <w:sz w:val="24"/>
          <w:szCs w:val="24"/>
        </w:rPr>
        <w:t>行政处罚中“较大数额”的认定标准，按照“</w:t>
      </w:r>
      <w:r>
        <w:rPr>
          <w:rFonts w:ascii="方正仿宋_GBK" w:hAnsi="宋体" w:eastAsia="方正仿宋_GBK" w:cs="宋体"/>
          <w:kern w:val="0"/>
          <w:sz w:val="24"/>
          <w:szCs w:val="24"/>
        </w:rPr>
        <w:t>财政部关于《中华人民共和国政府采购法实施条例》第十九条第一款“较大数额罚款”具体适用问题的意见</w:t>
      </w:r>
      <w:r>
        <w:rPr>
          <w:rFonts w:hint="eastAsia" w:ascii="方正仿宋_GBK" w:hAnsi="宋体" w:eastAsia="方正仿宋_GBK" w:cs="宋体"/>
          <w:kern w:val="0"/>
          <w:sz w:val="24"/>
          <w:szCs w:val="24"/>
        </w:rPr>
        <w:t>（财库〔2022〕3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hint="eastAsia"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2</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以联合体形式参与磋商的，共同联合协议中应确定主办方（主体），</w:t>
      </w:r>
      <w:r>
        <w:rPr>
          <w:rFonts w:hint="eastAsia" w:ascii="方正仿宋_GBK" w:hAnsi="宋体" w:eastAsia="方正仿宋_GBK"/>
          <w:sz w:val="24"/>
        </w:rPr>
        <w:t>代表联合体进行磋商和澄清。</w:t>
      </w:r>
      <w:r>
        <w:rPr>
          <w:rFonts w:hint="eastAsia" w:ascii="方正仿宋_GBK" w:hAnsi="宋体" w:eastAsia="方正仿宋_GBK" w:cs="宋体"/>
          <w:kern w:val="0"/>
          <w:sz w:val="24"/>
          <w:szCs w:val="24"/>
        </w:rPr>
        <w:t>联合体各方均应满足供应商资格要求（详见“第一篇”）。</w:t>
      </w:r>
    </w:p>
    <w:p>
      <w:pPr>
        <w:snapToGrid w:val="0"/>
        <w:spacing w:line="400" w:lineRule="exact"/>
        <w:ind w:firstLine="480" w:firstLineChars="200"/>
        <w:rPr>
          <w:rFonts w:hint="eastAsia"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3</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sz w:val="24"/>
        </w:rPr>
        <w:t>以联合体形式参加本项目的，联合体各方均为中小企业的，联合体视同中小企业（其中，联合体各方均为小微企业的，联合体视同小微企业</w:t>
      </w:r>
      <w:r>
        <w:rPr>
          <w:rFonts w:hint="eastAsia" w:ascii="方正仿宋_GBK" w:hAnsi="宋体" w:eastAsia="方正仿宋_GBK" w:cs="宋体"/>
          <w:kern w:val="0"/>
          <w:sz w:val="24"/>
          <w:szCs w:val="24"/>
        </w:rPr>
        <w:t>）。</w:t>
      </w:r>
    </w:p>
    <w:p>
      <w:pPr>
        <w:snapToGrid w:val="0"/>
        <w:spacing w:line="400" w:lineRule="exact"/>
        <w:ind w:firstLine="480" w:firstLineChars="200"/>
        <w:rPr>
          <w:rFonts w:hint="eastAsia" w:ascii="方正仿宋_GBK" w:eastAsia="方正仿宋_GBK"/>
          <w:kern w:val="0"/>
          <w:sz w:val="24"/>
          <w:szCs w:val="24"/>
        </w:rPr>
      </w:pPr>
      <w:r>
        <w:rPr>
          <w:rFonts w:hint="eastAsia" w:ascii="方正仿宋_GBK" w:hAnsi="宋体" w:eastAsia="方正仿宋_GBK" w:cs="宋体"/>
          <w:kern w:val="0"/>
          <w:sz w:val="24"/>
          <w:szCs w:val="24"/>
        </w:rPr>
        <w:t>2.符合性审查。依据竞争性磋商文件的规定，从响应文件的有效性、完整性和对竞争性磋商文件的响应程度进行审查，以确定是否对竞争性磋商文件的实质性要求作出响应。</w:t>
      </w:r>
      <w:r>
        <w:rPr>
          <w:rFonts w:hint="eastAsia" w:ascii="方正仿宋_GBK" w:eastAsia="方正仿宋_GBK"/>
          <w:kern w:val="0"/>
          <w:sz w:val="24"/>
          <w:szCs w:val="24"/>
        </w:rPr>
        <w:t>符合性审查资料表如下：</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评审因素</w:t>
            </w:r>
          </w:p>
        </w:tc>
        <w:tc>
          <w:tcPr>
            <w:tcW w:w="5409" w:type="dxa"/>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1560" w:type="dxa"/>
            <w:vMerge w:val="restart"/>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有效性审查</w:t>
            </w:r>
          </w:p>
        </w:tc>
        <w:tc>
          <w:tcPr>
            <w:tcW w:w="1984"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响应文件签署或盖章</w:t>
            </w:r>
          </w:p>
        </w:tc>
        <w:tc>
          <w:tcPr>
            <w:tcW w:w="5409"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按竞争性磋商文件“第七篇响应文件编制要求”要求签署或盖章。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vAlign w:val="center"/>
          </w:tcPr>
          <w:p>
            <w:pPr>
              <w:jc w:val="center"/>
              <w:rPr>
                <w:rFonts w:hint="eastAsia" w:ascii="方正仿宋_GBK" w:hAnsi="宋体" w:eastAsia="方正仿宋_GBK" w:cs="宋体"/>
                <w:kern w:val="0"/>
                <w:sz w:val="21"/>
                <w:szCs w:val="21"/>
              </w:rPr>
            </w:pPr>
          </w:p>
        </w:tc>
        <w:tc>
          <w:tcPr>
            <w:tcW w:w="1560" w:type="dxa"/>
            <w:vMerge w:val="continue"/>
            <w:vAlign w:val="center"/>
          </w:tcPr>
          <w:p>
            <w:pPr>
              <w:rPr>
                <w:rFonts w:hint="eastAsia" w:ascii="方正仿宋_GBK" w:hAnsi="宋体" w:eastAsia="方正仿宋_GBK" w:cs="宋体"/>
                <w:kern w:val="0"/>
                <w:sz w:val="21"/>
                <w:szCs w:val="21"/>
              </w:rPr>
            </w:pPr>
          </w:p>
        </w:tc>
        <w:tc>
          <w:tcPr>
            <w:tcW w:w="1984" w:type="dxa"/>
            <w:vAlign w:val="center"/>
          </w:tcPr>
          <w:p>
            <w:pPr>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5409" w:type="dxa"/>
            <w:vAlign w:val="center"/>
          </w:tcPr>
          <w:p>
            <w:pPr>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法定代表人身份证明及授权委托书有效，符合竞争性磋商文件规定的格式，签署或盖章齐全。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jc w:val="center"/>
              <w:rPr>
                <w:rFonts w:hint="eastAsia" w:ascii="方正仿宋_GBK" w:hAnsi="宋体" w:eastAsia="方正仿宋_GBK" w:cs="宋体"/>
                <w:kern w:val="0"/>
                <w:sz w:val="21"/>
                <w:szCs w:val="21"/>
              </w:rPr>
            </w:pPr>
          </w:p>
        </w:tc>
        <w:tc>
          <w:tcPr>
            <w:tcW w:w="1560" w:type="dxa"/>
            <w:vMerge w:val="continue"/>
            <w:vAlign w:val="center"/>
          </w:tcPr>
          <w:p>
            <w:pPr>
              <w:rPr>
                <w:rFonts w:hint="eastAsia" w:ascii="方正仿宋_GBK" w:hAnsi="宋体" w:eastAsia="方正仿宋_GBK" w:cs="宋体"/>
                <w:kern w:val="0"/>
                <w:sz w:val="21"/>
                <w:szCs w:val="21"/>
              </w:rPr>
            </w:pPr>
          </w:p>
        </w:tc>
        <w:tc>
          <w:tcPr>
            <w:tcW w:w="1984" w:type="dxa"/>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5409"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lang w:val="zh-CN"/>
              </w:rPr>
              <w:t>每个包只能有一个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jc w:val="center"/>
              <w:rPr>
                <w:rFonts w:hint="eastAsia" w:ascii="方正仿宋_GBK" w:hAnsi="宋体" w:eastAsia="方正仿宋_GBK" w:cs="宋体"/>
                <w:kern w:val="0"/>
                <w:sz w:val="21"/>
                <w:szCs w:val="21"/>
              </w:rPr>
            </w:pPr>
          </w:p>
        </w:tc>
        <w:tc>
          <w:tcPr>
            <w:tcW w:w="1560" w:type="dxa"/>
            <w:vMerge w:val="continue"/>
            <w:vAlign w:val="center"/>
          </w:tcPr>
          <w:p>
            <w:pPr>
              <w:rPr>
                <w:rFonts w:hint="eastAsia" w:ascii="方正仿宋_GBK" w:hAnsi="宋体" w:eastAsia="方正仿宋_GBK" w:cs="宋体"/>
                <w:kern w:val="0"/>
                <w:sz w:val="21"/>
                <w:szCs w:val="21"/>
              </w:rPr>
            </w:pPr>
          </w:p>
        </w:tc>
        <w:tc>
          <w:tcPr>
            <w:tcW w:w="1984" w:type="dxa"/>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5409"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1560"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完整性审查</w:t>
            </w:r>
          </w:p>
        </w:tc>
        <w:tc>
          <w:tcPr>
            <w:tcW w:w="1984"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5409"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文件正、副本数量（含电子文档）符合</w:t>
            </w:r>
            <w:r>
              <w:rPr>
                <w:rFonts w:hint="eastAsia" w:ascii="方正仿宋_GBK" w:hAnsi="宋体" w:eastAsia="方正仿宋_GBK" w:cs="仿宋_GB2312"/>
                <w:sz w:val="21"/>
                <w:szCs w:val="21"/>
              </w:rPr>
              <w:t>竞争性磋商</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1560" w:type="dxa"/>
            <w:vMerge w:val="restart"/>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cs="宋体"/>
                <w:kern w:val="0"/>
                <w:sz w:val="21"/>
                <w:szCs w:val="21"/>
              </w:rPr>
              <w:t>响应程度审查</w:t>
            </w:r>
          </w:p>
        </w:tc>
        <w:tc>
          <w:tcPr>
            <w:tcW w:w="1984"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实质性响应</w:t>
            </w:r>
          </w:p>
        </w:tc>
        <w:tc>
          <w:tcPr>
            <w:tcW w:w="5409" w:type="dxa"/>
            <w:vAlign w:val="center"/>
          </w:tcPr>
          <w:p>
            <w:pPr>
              <w:pStyle w:val="7"/>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竞争性磋商文件第二篇、第三篇“</w:t>
            </w:r>
            <w:r>
              <w:rPr>
                <w:rFonts w:hint="eastAsia" w:ascii="方正仿宋_GBK" w:hAnsi="宋体" w:eastAsia="方正仿宋_GBK"/>
                <w:sz w:val="24"/>
                <w:szCs w:val="24"/>
              </w:rPr>
              <w:t>※</w:t>
            </w:r>
            <w:r>
              <w:rPr>
                <w:rFonts w:hint="eastAsia" w:ascii="方正仿宋_GBK" w:hAnsi="宋体" w:eastAsia="方正仿宋_GBK" w:cs="宋体"/>
                <w:kern w:val="0"/>
                <w:sz w:val="21"/>
                <w:szCs w:val="21"/>
              </w:rPr>
              <w:t>”标注部分。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675" w:type="dxa"/>
            <w:vMerge w:val="continue"/>
            <w:vAlign w:val="center"/>
          </w:tcPr>
          <w:p>
            <w:pPr>
              <w:jc w:val="center"/>
              <w:rPr>
                <w:rFonts w:hint="eastAsia" w:ascii="方正仿宋_GBK" w:hAnsi="宋体" w:eastAsia="方正仿宋_GBK" w:cs="宋体"/>
                <w:kern w:val="0"/>
                <w:sz w:val="21"/>
                <w:szCs w:val="21"/>
              </w:rPr>
            </w:pPr>
          </w:p>
        </w:tc>
        <w:tc>
          <w:tcPr>
            <w:tcW w:w="1560" w:type="dxa"/>
            <w:vMerge w:val="continue"/>
            <w:vAlign w:val="center"/>
          </w:tcPr>
          <w:p>
            <w:pPr>
              <w:rPr>
                <w:rFonts w:hint="eastAsia" w:ascii="方正仿宋_GBK" w:hAnsi="宋体" w:eastAsia="方正仿宋_GBK" w:cs="仿宋_GB2312"/>
                <w:sz w:val="21"/>
                <w:szCs w:val="21"/>
                <w:lang w:val="zh-CN"/>
              </w:rPr>
            </w:pPr>
          </w:p>
        </w:tc>
        <w:tc>
          <w:tcPr>
            <w:tcW w:w="1984"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磋商有效期</w:t>
            </w:r>
          </w:p>
        </w:tc>
        <w:tc>
          <w:tcPr>
            <w:tcW w:w="5409"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响应文件及有关承诺文件有效期为提交响应文件截止时间起90天。</w:t>
            </w:r>
          </w:p>
        </w:tc>
      </w:tr>
    </w:tbl>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根据《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磋商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（五）在磋商过程中磋商的任何一方不得向他人透露与磋商有关的服务资料、价格或其他信息。</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（七）供应商在磋商时作出的所有书面承诺须由法定代表人（或其授权代表）或自然人（供应商为自然人）签署。</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（八）经磋商确定最终采购需求且磋商结束后，供应商应当按照竞争性磋商文件的变动情况</w:t>
      </w:r>
      <w:r>
        <w:rPr>
          <w:rFonts w:hint="eastAsia" w:ascii="方正仿宋_GBK" w:hAnsi="宋体" w:eastAsia="方正仿宋_GBK"/>
          <w:sz w:val="24"/>
          <w:szCs w:val="24"/>
          <w:highlight w:val="none"/>
        </w:rPr>
        <w:t>和磋商小组的要求重新提交响应文件或重新做出相关的书面承诺，最后书面提交最后报价及有关承诺（《最后报价表》在磋商现场向供应商提供</w:t>
      </w:r>
      <w:r>
        <w:rPr>
          <w:rFonts w:hint="eastAsia" w:ascii="方正仿宋_GBK" w:hAnsi="宋体" w:eastAsia="方正仿宋_GBK"/>
          <w:sz w:val="24"/>
          <w:szCs w:val="24"/>
          <w:highlight w:val="none"/>
          <w:lang w:eastAsia="zh-CN"/>
        </w:rPr>
        <w:t>，</w:t>
      </w:r>
      <w:r>
        <w:rPr>
          <w:rFonts w:hint="eastAsia" w:ascii="方正仿宋_GBK" w:hAnsi="宋体" w:eastAsia="方正仿宋_GBK"/>
          <w:sz w:val="24"/>
          <w:szCs w:val="24"/>
          <w:highlight w:val="none"/>
          <w:lang w:val="en-US" w:eastAsia="zh-CN"/>
        </w:rPr>
        <w:t>注：</w:t>
      </w:r>
      <w:r>
        <w:rPr>
          <w:rFonts w:hint="eastAsia" w:ascii="方正仿宋_GBK" w:hAnsi="宋体" w:eastAsia="方正仿宋_GBK"/>
          <w:color w:val="000000"/>
          <w:sz w:val="24"/>
          <w:szCs w:val="24"/>
          <w:highlight w:val="none"/>
        </w:rPr>
        <w:t>本项目</w:t>
      </w:r>
      <w:r>
        <w:rPr>
          <w:rFonts w:hint="eastAsia" w:ascii="方正仿宋_GBK" w:hAnsi="宋体" w:eastAsia="方正仿宋_GBK"/>
          <w:color w:val="000000"/>
          <w:sz w:val="24"/>
          <w:szCs w:val="24"/>
          <w:highlight w:val="none"/>
          <w:lang w:val="en-US" w:eastAsia="zh-CN"/>
        </w:rPr>
        <w:t>采用</w:t>
      </w:r>
      <w:r>
        <w:rPr>
          <w:rFonts w:hint="eastAsia" w:ascii="方正仿宋_GBK" w:hAnsi="宋体" w:eastAsia="方正仿宋_GBK"/>
          <w:color w:val="000000"/>
          <w:sz w:val="24"/>
          <w:szCs w:val="24"/>
          <w:highlight w:val="none"/>
        </w:rPr>
        <w:t>两次报价</w:t>
      </w:r>
      <w:r>
        <w:rPr>
          <w:rFonts w:hint="eastAsia" w:ascii="方正仿宋_GBK" w:hAnsi="宋体" w:eastAsia="方正仿宋_GBK"/>
          <w:color w:val="000000"/>
          <w:sz w:val="24"/>
          <w:szCs w:val="24"/>
          <w:highlight w:val="none"/>
          <w:lang w:eastAsia="zh-CN"/>
        </w:rPr>
        <w:t>，</w:t>
      </w:r>
      <w:r>
        <w:rPr>
          <w:rFonts w:hint="eastAsia" w:ascii="方正仿宋_GBK" w:hAnsi="宋体" w:eastAsia="方正仿宋_GBK"/>
          <w:sz w:val="24"/>
          <w:szCs w:val="24"/>
          <w:highlight w:val="none"/>
        </w:rPr>
        <w:t>最后报价</w:t>
      </w:r>
      <w:r>
        <w:rPr>
          <w:rFonts w:hint="eastAsia" w:ascii="方正仿宋_GBK" w:hAnsi="宋体" w:eastAsia="方正仿宋_GBK"/>
          <w:sz w:val="24"/>
          <w:szCs w:val="24"/>
          <w:highlight w:val="none"/>
          <w:lang w:val="en-US" w:eastAsia="zh-CN"/>
        </w:rPr>
        <w:t>只能低于或等于</w:t>
      </w:r>
      <w:r>
        <w:rPr>
          <w:rFonts w:hint="eastAsia" w:ascii="方正仿宋_GBK" w:hAnsi="宋体" w:eastAsia="方正仿宋_GBK"/>
          <w:sz w:val="24"/>
          <w:szCs w:val="24"/>
          <w:highlight w:val="none"/>
        </w:rPr>
        <w:t>响应文件中的报价</w:t>
      </w:r>
      <w:r>
        <w:rPr>
          <w:rFonts w:hint="eastAsia" w:ascii="方正仿宋_GBK" w:hAnsi="宋体" w:eastAsia="方正仿宋_GBK"/>
          <w:sz w:val="24"/>
          <w:szCs w:val="24"/>
          <w:highlight w:val="none"/>
          <w:lang w:val="en-US" w:eastAsia="zh-CN"/>
        </w:rPr>
        <w:t>。若高于响应文件中的报价则以</w:t>
      </w:r>
      <w:r>
        <w:rPr>
          <w:rFonts w:hint="eastAsia" w:ascii="方正仿宋_GBK" w:hAnsi="宋体" w:eastAsia="方正仿宋_GBK"/>
          <w:sz w:val="24"/>
          <w:szCs w:val="24"/>
          <w:highlight w:val="none"/>
        </w:rPr>
        <w:t>供应商响应文件中的报价为准）。</w:t>
      </w:r>
      <w:r>
        <w:rPr>
          <w:rFonts w:ascii="方正仿宋_GBK" w:hAnsi="宋体" w:eastAsia="方正仿宋_GBK"/>
          <w:sz w:val="24"/>
          <w:szCs w:val="24"/>
          <w:highlight w:val="none"/>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的供应商，</w:t>
      </w:r>
      <w:r>
        <w:rPr>
          <w:rFonts w:hint="eastAsia" w:ascii="方正仿宋_GBK" w:hAnsi="宋体" w:eastAsia="方正仿宋_GBK"/>
          <w:sz w:val="24"/>
          <w:szCs w:val="24"/>
        </w:rPr>
        <w:t>视为放弃最后报价，以供应商响应文件中的报价为准。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（九）磋商小组采用综合评分法对提交最后报价的供应商的响应文件和最后报价（含有效书面承诺）进行综合评分。</w:t>
      </w:r>
      <w:r>
        <w:rPr>
          <w:rFonts w:hint="eastAsia" w:ascii="方正仿宋_GBK" w:hAnsi="宋体" w:eastAsia="方正仿宋_GBK" w:cs="宋体"/>
          <w:kern w:val="0"/>
          <w:sz w:val="24"/>
          <w:szCs w:val="24"/>
        </w:rPr>
        <w:t>综合评分法，是指响应</w:t>
      </w:r>
      <w:r>
        <w:rPr>
          <w:rFonts w:ascii="方正仿宋_GBK" w:hAnsi="宋体" w:eastAsia="方正仿宋_GBK" w:cs="宋体"/>
          <w:kern w:val="0"/>
          <w:sz w:val="24"/>
          <w:szCs w:val="24"/>
        </w:rPr>
        <w:t>文件满足</w:t>
      </w:r>
      <w:r>
        <w:rPr>
          <w:rFonts w:hint="eastAsia" w:ascii="方正仿宋_GBK" w:hAnsi="宋体" w:eastAsia="方正仿宋_GBK" w:cs="宋体"/>
          <w:kern w:val="0"/>
          <w:sz w:val="24"/>
          <w:szCs w:val="24"/>
        </w:rPr>
        <w:t>竞争性磋商</w:t>
      </w:r>
      <w:r>
        <w:rPr>
          <w:rFonts w:ascii="方正仿宋_GBK" w:hAnsi="宋体" w:eastAsia="方正仿宋_GBK" w:cs="宋体"/>
          <w:kern w:val="0"/>
          <w:sz w:val="24"/>
          <w:szCs w:val="24"/>
        </w:rPr>
        <w:t>文件全部实质性要求且按照评审因素的量化指标评审得分最高的供应商为</w:t>
      </w:r>
      <w:r>
        <w:rPr>
          <w:rFonts w:hint="eastAsia" w:ascii="方正仿宋_GBK" w:hAnsi="宋体" w:eastAsia="方正仿宋_GBK" w:cs="宋体"/>
          <w:kern w:val="0"/>
          <w:sz w:val="24"/>
          <w:szCs w:val="24"/>
        </w:rPr>
        <w:t>成交</w:t>
      </w:r>
      <w:r>
        <w:rPr>
          <w:rFonts w:ascii="方正仿宋_GBK" w:hAnsi="宋体" w:eastAsia="方正仿宋_GBK" w:cs="宋体"/>
          <w:kern w:val="0"/>
          <w:sz w:val="24"/>
          <w:szCs w:val="24"/>
        </w:rPr>
        <w:t>候选</w:t>
      </w:r>
      <w:r>
        <w:rPr>
          <w:rFonts w:hint="eastAsia" w:ascii="方正仿宋_GBK" w:hAnsi="宋体" w:eastAsia="方正仿宋_GBK" w:cs="宋体"/>
          <w:kern w:val="0"/>
          <w:sz w:val="24"/>
          <w:szCs w:val="24"/>
        </w:rPr>
        <w:t>供应商</w:t>
      </w:r>
      <w:r>
        <w:rPr>
          <w:rFonts w:ascii="方正仿宋_GBK" w:hAnsi="宋体" w:eastAsia="方正仿宋_GBK" w:cs="宋体"/>
          <w:kern w:val="0"/>
          <w:sz w:val="24"/>
          <w:szCs w:val="24"/>
        </w:rPr>
        <w:t>的</w:t>
      </w:r>
      <w:r>
        <w:rPr>
          <w:rFonts w:hint="eastAsia" w:ascii="方正仿宋_GBK" w:hAnsi="宋体" w:eastAsia="方正仿宋_GBK" w:cs="宋体"/>
          <w:kern w:val="0"/>
          <w:sz w:val="24"/>
          <w:szCs w:val="24"/>
        </w:rPr>
        <w:t>评审</w:t>
      </w:r>
      <w:r>
        <w:rPr>
          <w:rFonts w:ascii="方正仿宋_GBK" w:hAnsi="宋体" w:eastAsia="方正仿宋_GBK" w:cs="宋体"/>
          <w:kern w:val="0"/>
          <w:sz w:val="24"/>
          <w:szCs w:val="24"/>
        </w:rPr>
        <w:t>方法</w:t>
      </w:r>
      <w:r>
        <w:rPr>
          <w:rFonts w:hint="eastAsia" w:ascii="方正仿宋_GBK" w:hAnsi="宋体" w:eastAsia="方正仿宋_GBK" w:cs="宋体"/>
          <w:kern w:val="0"/>
          <w:sz w:val="24"/>
          <w:szCs w:val="24"/>
        </w:rPr>
        <w:t>。供应商总得分为价格、服务、商务等评定因素分别按照相应权重值计算分项得分后相加，满分为100分</w:t>
      </w:r>
      <w:r>
        <w:rPr>
          <w:rFonts w:hint="eastAsia" w:ascii="方正仿宋_GBK" w:hAnsi="宋体" w:eastAsia="方正仿宋_GBK"/>
          <w:sz w:val="24"/>
          <w:szCs w:val="24"/>
        </w:rPr>
        <w:t>。</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磋商小组各成员独立对响应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提示：服务部分</w:t>
      </w:r>
      <w:r>
        <w:rPr>
          <w:rFonts w:ascii="方正仿宋_GBK" w:hAnsi="宋体" w:eastAsia="方正仿宋_GBK"/>
          <w:sz w:val="24"/>
          <w:szCs w:val="24"/>
        </w:rPr>
        <w:t>得分为</w:t>
      </w:r>
      <w:r>
        <w:rPr>
          <w:rFonts w:hint="eastAsia" w:ascii="方正仿宋_GBK" w:hAnsi="宋体" w:eastAsia="方正仿宋_GBK"/>
          <w:sz w:val="24"/>
          <w:szCs w:val="24"/>
        </w:rPr>
        <w:t>0分</w:t>
      </w:r>
      <w:r>
        <w:rPr>
          <w:rFonts w:ascii="方正仿宋_GBK" w:hAnsi="宋体" w:eastAsia="方正仿宋_GBK"/>
          <w:sz w:val="24"/>
          <w:szCs w:val="24"/>
        </w:rPr>
        <w:t>的</w:t>
      </w:r>
      <w:r>
        <w:rPr>
          <w:rFonts w:hint="eastAsia" w:ascii="方正仿宋_GBK" w:hAnsi="宋体" w:eastAsia="方正仿宋_GBK"/>
          <w:sz w:val="24"/>
          <w:szCs w:val="24"/>
        </w:rPr>
        <w:t>供应商</w:t>
      </w:r>
      <w:r>
        <w:rPr>
          <w:rFonts w:hint="eastAsia" w:ascii="方正仿宋_GBK" w:hAnsi="宋体" w:eastAsia="方正仿宋_GBK"/>
          <w:sz w:val="24"/>
          <w:szCs w:val="24"/>
          <w:lang w:eastAsia="zh-CN"/>
        </w:rPr>
        <w:t>不能</w:t>
      </w:r>
      <w:r>
        <w:rPr>
          <w:rFonts w:ascii="方正仿宋_GBK" w:hAnsi="宋体" w:eastAsia="方正仿宋_GBK"/>
          <w:sz w:val="24"/>
          <w:szCs w:val="24"/>
        </w:rPr>
        <w:t>成为</w:t>
      </w:r>
      <w:r>
        <w:rPr>
          <w:rFonts w:hint="eastAsia" w:ascii="方正仿宋_GBK" w:hAnsi="宋体" w:eastAsia="方正仿宋_GBK"/>
          <w:sz w:val="24"/>
          <w:szCs w:val="24"/>
        </w:rPr>
        <w:t>成交供应商</w:t>
      </w:r>
      <w:r>
        <w:rPr>
          <w:rFonts w:ascii="方正仿宋_GBK" w:hAnsi="宋体" w:eastAsia="方正仿宋_GBK"/>
          <w:sz w:val="24"/>
          <w:szCs w:val="24"/>
        </w:rPr>
        <w:t>。</w:t>
      </w:r>
      <w:r>
        <w:rPr>
          <w:rFonts w:hint="eastAsia" w:ascii="方正仿宋_GBK" w:hAnsi="宋体" w:eastAsia="方正仿宋_GBK"/>
          <w:sz w:val="24"/>
          <w:szCs w:val="24"/>
        </w:rPr>
        <w:t>）</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59" w:name="_Toc106030889"/>
      <w:bookmarkStart w:id="60" w:name="_Toc76462334"/>
      <w:r>
        <w:rPr>
          <w:rFonts w:hint="eastAsia" w:ascii="方正仿宋_GBK" w:hAnsi="宋体" w:eastAsia="方正仿宋_GBK"/>
          <w:sz w:val="24"/>
        </w:rPr>
        <w:t>二、</w:t>
      </w:r>
      <w:bookmarkStart w:id="61" w:name="_Toc102227320"/>
      <w:bookmarkStart w:id="62" w:name="_Toc342913394"/>
      <w:r>
        <w:rPr>
          <w:rFonts w:hint="eastAsia" w:ascii="方正仿宋_GBK" w:hAnsi="宋体" w:eastAsia="方正仿宋_GBK"/>
          <w:sz w:val="24"/>
        </w:rPr>
        <w:t>评审标准</w:t>
      </w:r>
      <w:bookmarkEnd w:id="59"/>
      <w:bookmarkEnd w:id="60"/>
    </w:p>
    <w:tbl>
      <w:tblPr>
        <w:tblStyle w:val="18"/>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762"/>
        <w:gridCol w:w="700"/>
        <w:gridCol w:w="733"/>
        <w:gridCol w:w="517"/>
        <w:gridCol w:w="4967"/>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 w:type="dxa"/>
            <w:vAlign w:val="center"/>
          </w:tcPr>
          <w:p>
            <w:pPr>
              <w:ind w:firstLine="28"/>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序号</w:t>
            </w:r>
          </w:p>
        </w:tc>
        <w:tc>
          <w:tcPr>
            <w:tcW w:w="2195" w:type="dxa"/>
            <w:gridSpan w:val="3"/>
            <w:vAlign w:val="center"/>
          </w:tcPr>
          <w:p>
            <w:pPr>
              <w:ind w:firstLine="28"/>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评分因素及权值</w:t>
            </w:r>
          </w:p>
        </w:tc>
        <w:tc>
          <w:tcPr>
            <w:tcW w:w="517" w:type="dxa"/>
            <w:vAlign w:val="center"/>
          </w:tcPr>
          <w:p>
            <w:pPr>
              <w:ind w:firstLine="28"/>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分值</w:t>
            </w:r>
          </w:p>
        </w:tc>
        <w:tc>
          <w:tcPr>
            <w:tcW w:w="4967" w:type="dxa"/>
            <w:vAlign w:val="center"/>
          </w:tcPr>
          <w:p>
            <w:pPr>
              <w:ind w:firstLine="28"/>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评分标准</w:t>
            </w:r>
          </w:p>
        </w:tc>
        <w:tc>
          <w:tcPr>
            <w:tcW w:w="1603" w:type="dxa"/>
            <w:vAlign w:val="center"/>
          </w:tcPr>
          <w:p>
            <w:pPr>
              <w:pStyle w:val="19"/>
              <w:spacing w:before="0" w:after="0" w:line="240" w:lineRule="auto"/>
              <w:ind w:left="1540" w:hanging="420"/>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4" w:hRule="atLeast"/>
        </w:trPr>
        <w:tc>
          <w:tcPr>
            <w:tcW w:w="454" w:type="dxa"/>
            <w:vAlign w:val="center"/>
          </w:tcPr>
          <w:p>
            <w:pPr>
              <w:ind w:firstLine="28"/>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2195" w:type="dxa"/>
            <w:gridSpan w:val="3"/>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磋商报价</w:t>
            </w:r>
          </w:p>
          <w:p>
            <w:pPr>
              <w:wordWrap w:val="0"/>
              <w:snapToGrid w:val="0"/>
              <w:spacing w:line="0" w:lineRule="atLeast"/>
              <w:ind w:firstLine="240" w:firstLineChars="1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color w:val="000000"/>
                <w:sz w:val="24"/>
                <w:szCs w:val="24"/>
                <w:lang w:val="en-US" w:eastAsia="zh-CN"/>
              </w:rPr>
              <w:t>10</w:t>
            </w:r>
            <w:r>
              <w:rPr>
                <w:rFonts w:hint="eastAsia" w:ascii="微软雅黑" w:hAnsi="微软雅黑" w:eastAsia="微软雅黑" w:cs="微软雅黑"/>
                <w:color w:val="000000"/>
                <w:sz w:val="24"/>
                <w:szCs w:val="24"/>
              </w:rPr>
              <w:t>%）</w:t>
            </w:r>
          </w:p>
        </w:tc>
        <w:tc>
          <w:tcPr>
            <w:tcW w:w="517" w:type="dxa"/>
            <w:vAlign w:val="center"/>
          </w:tcPr>
          <w:p>
            <w:pPr>
              <w:wordWrap w:val="0"/>
              <w:snapToGrid w:val="0"/>
              <w:spacing w:line="0" w:lineRule="atLeast"/>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10</w:t>
            </w:r>
          </w:p>
        </w:tc>
        <w:tc>
          <w:tcPr>
            <w:tcW w:w="4967" w:type="dxa"/>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满足资格性、符合性要求且最后报价最低的供应商的价格为磋商基准价，其价格分为满分。其他供应商的价格分统一按照下列公式计算：</w:t>
            </w:r>
          </w:p>
          <w:p>
            <w:pPr>
              <w:wordWrap w:val="0"/>
              <w:snapToGrid w:val="0"/>
              <w:spacing w:line="0" w:lineRule="atLeast"/>
              <w:ind w:firstLine="240" w:firstLineChars="1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磋商报价得分=（磋商基准价/最后磋商报价）×价格权值×100</w:t>
            </w:r>
          </w:p>
        </w:tc>
        <w:tc>
          <w:tcPr>
            <w:tcW w:w="1603" w:type="dxa"/>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对小微企业的价格用扣除后的价格参与评审，详见“注：关于小微企业报价扣除比例说明”。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54" w:type="dxa"/>
            <w:vMerge w:val="restart"/>
            <w:vAlign w:val="center"/>
          </w:tcPr>
          <w:p>
            <w:pPr>
              <w:ind w:firstLine="28"/>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762" w:type="dxa"/>
            <w:vMerge w:val="restart"/>
            <w:vAlign w:val="center"/>
          </w:tcPr>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服务部分（</w:t>
            </w: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47%</w:t>
            </w: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w:t>
            </w:r>
          </w:p>
        </w:tc>
        <w:tc>
          <w:tcPr>
            <w:tcW w:w="700" w:type="dxa"/>
            <w:vMerge w:val="restart"/>
            <w:vAlign w:val="center"/>
          </w:tcPr>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val="en-US" w:eastAsia="zh-CN"/>
              </w:rPr>
            </w:pPr>
          </w:p>
          <w:p>
            <w:pPr>
              <w:wordWrap w:val="0"/>
              <w:snapToGrid w:val="0"/>
              <w:spacing w:line="0" w:lineRule="atLeast"/>
              <w:jc w:val="center"/>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sz w:val="24"/>
                <w:szCs w:val="24"/>
                <w:lang w:val="en-US" w:eastAsia="zh-CN"/>
              </w:rPr>
              <w:t>实施方案</w:t>
            </w:r>
          </w:p>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w:t>
            </w:r>
          </w:p>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47</w:t>
            </w:r>
            <w:r>
              <w:rPr>
                <w:rFonts w:hint="eastAsia" w:ascii="微软雅黑" w:hAnsi="微软雅黑" w:eastAsia="微软雅黑" w:cs="微软雅黑"/>
                <w:color w:val="000000"/>
                <w:sz w:val="24"/>
                <w:szCs w:val="24"/>
              </w:rPr>
              <w:t>%</w:t>
            </w:r>
          </w:p>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w:t>
            </w:r>
          </w:p>
        </w:tc>
        <w:tc>
          <w:tcPr>
            <w:tcW w:w="733" w:type="dxa"/>
            <w:vAlign w:val="center"/>
          </w:tcPr>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b w:val="0"/>
                <w:bCs w:val="0"/>
                <w:caps w:val="0"/>
                <w:sz w:val="24"/>
                <w:szCs w:val="24"/>
              </w:rPr>
              <w:t>秩序维护方案</w:t>
            </w:r>
            <w:r>
              <w:rPr>
                <w:rFonts w:hint="eastAsia" w:ascii="微软雅黑" w:hAnsi="微软雅黑" w:eastAsia="微软雅黑" w:cs="微软雅黑"/>
                <w:color w:val="000000"/>
                <w:sz w:val="24"/>
                <w:szCs w:val="24"/>
              </w:rPr>
              <w:t>（</w:t>
            </w:r>
          </w:p>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8</w:t>
            </w:r>
            <w:r>
              <w:rPr>
                <w:rFonts w:hint="eastAsia" w:ascii="微软雅黑" w:hAnsi="微软雅黑" w:eastAsia="微软雅黑" w:cs="微软雅黑"/>
                <w:color w:val="000000"/>
                <w:sz w:val="24"/>
                <w:szCs w:val="24"/>
              </w:rPr>
              <w:t>%</w:t>
            </w:r>
          </w:p>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w:t>
            </w:r>
          </w:p>
        </w:tc>
        <w:tc>
          <w:tcPr>
            <w:tcW w:w="517" w:type="dxa"/>
            <w:tcBorders>
              <w:bottom w:val="single" w:color="auto" w:sz="4" w:space="0"/>
            </w:tcBorders>
            <w:vAlign w:val="center"/>
          </w:tcPr>
          <w:p>
            <w:pPr>
              <w:wordWrap w:val="0"/>
              <w:snapToGrid w:val="0"/>
              <w:spacing w:line="0" w:lineRule="atLeast"/>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8</w:t>
            </w:r>
          </w:p>
        </w:tc>
        <w:tc>
          <w:tcPr>
            <w:tcW w:w="4967" w:type="dxa"/>
            <w:vAlign w:val="center"/>
          </w:tcPr>
          <w:p>
            <w:pPr>
              <w:wordWrap w:val="0"/>
              <w:snapToGrid w:val="0"/>
              <w:spacing w:line="0" w:lineRule="atLeast"/>
              <w:ind w:firstLine="480" w:firstLineChars="200"/>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1.有完整的秩序维护方案得2分；岗位职责明确、清晰，作业流程规范、完善，优加6分，良加3分，差的加0分；</w:t>
            </w:r>
          </w:p>
          <w:p>
            <w:pPr>
              <w:pStyle w:val="2"/>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color w:val="000000"/>
                <w:kern w:val="2"/>
                <w:sz w:val="24"/>
                <w:szCs w:val="24"/>
                <w:lang w:val="en-US" w:eastAsia="zh-CN" w:bidi="ar-SA"/>
              </w:rPr>
              <w:t>2.提供的方案与本项目实际不相符的本项得0分。</w:t>
            </w:r>
          </w:p>
        </w:tc>
        <w:tc>
          <w:tcPr>
            <w:tcW w:w="1603" w:type="dxa"/>
            <w:vMerge w:val="restart"/>
            <w:vAlign w:val="center"/>
          </w:tcPr>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评标委员会成员根据</w:t>
            </w:r>
            <w:r>
              <w:rPr>
                <w:rFonts w:hint="eastAsia" w:ascii="微软雅黑" w:hAnsi="微软雅黑" w:eastAsia="微软雅黑" w:cs="微软雅黑"/>
                <w:color w:val="000000"/>
                <w:sz w:val="24"/>
                <w:szCs w:val="24"/>
                <w:lang w:eastAsia="zh-CN"/>
              </w:rPr>
              <w:t>响应供应商</w:t>
            </w:r>
            <w:r>
              <w:rPr>
                <w:rFonts w:hint="eastAsia" w:ascii="微软雅黑" w:hAnsi="微软雅黑" w:eastAsia="微软雅黑" w:cs="微软雅黑"/>
                <w:color w:val="000000"/>
                <w:sz w:val="24"/>
                <w:szCs w:val="24"/>
              </w:rPr>
              <w:t>针对本项目制定的方案独立评分，其中：</w:t>
            </w: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1.“优”的标准：现场踏勘方案内容全面、符合本项目实际。</w:t>
            </w: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2.“良”的标准：次之于“优的标准”。</w:t>
            </w: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3.“差”的标准：次之于“</w:t>
            </w:r>
            <w:r>
              <w:rPr>
                <w:rFonts w:hint="eastAsia" w:ascii="微软雅黑" w:hAnsi="微软雅黑" w:eastAsia="微软雅黑" w:cs="微软雅黑"/>
                <w:color w:val="000000"/>
                <w:sz w:val="24"/>
                <w:szCs w:val="24"/>
                <w:lang w:val="en-US" w:eastAsia="zh-CN"/>
              </w:rPr>
              <w:t>良</w:t>
            </w:r>
            <w:r>
              <w:rPr>
                <w:rFonts w:hint="eastAsia" w:ascii="微软雅黑" w:hAnsi="微软雅黑" w:eastAsia="微软雅黑" w:cs="微软雅黑"/>
                <w:color w:val="000000"/>
                <w:sz w:val="24"/>
                <w:szCs w:val="24"/>
              </w:rPr>
              <w:t>的标准”。</w:t>
            </w: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1" w:hRule="atLeast"/>
        </w:trPr>
        <w:tc>
          <w:tcPr>
            <w:tcW w:w="454" w:type="dxa"/>
            <w:vMerge w:val="continue"/>
            <w:vAlign w:val="center"/>
          </w:tcPr>
          <w:p>
            <w:pPr>
              <w:ind w:firstLine="28"/>
              <w:jc w:val="center"/>
              <w:rPr>
                <w:rFonts w:hint="eastAsia" w:ascii="微软雅黑" w:hAnsi="微软雅黑" w:eastAsia="微软雅黑" w:cs="微软雅黑"/>
                <w:sz w:val="24"/>
                <w:szCs w:val="24"/>
              </w:rPr>
            </w:pPr>
          </w:p>
        </w:tc>
        <w:tc>
          <w:tcPr>
            <w:tcW w:w="762" w:type="dxa"/>
            <w:vMerge w:val="continue"/>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c>
          <w:tcPr>
            <w:tcW w:w="700" w:type="dxa"/>
            <w:vMerge w:val="continue"/>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c>
          <w:tcPr>
            <w:tcW w:w="733" w:type="dxa"/>
            <w:vAlign w:val="center"/>
          </w:tcPr>
          <w:p>
            <w:pPr>
              <w:wordWrap w:val="0"/>
              <w:snapToGrid w:val="0"/>
              <w:spacing w:line="0" w:lineRule="atLeast"/>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保洁服务方案</w:t>
            </w:r>
          </w:p>
          <w:p>
            <w:pPr>
              <w:wordWrap w:val="0"/>
              <w:snapToGrid w:val="0"/>
              <w:spacing w:line="0" w:lineRule="atLeast"/>
              <w:ind w:firstLine="240" w:firstLineChars="100"/>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w:t>
            </w:r>
          </w:p>
          <w:p>
            <w:pPr>
              <w:wordWrap w:val="0"/>
              <w:snapToGrid w:val="0"/>
              <w:spacing w:line="0" w:lineRule="atLeast"/>
              <w:ind w:firstLine="240" w:firstLineChars="100"/>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8%</w:t>
            </w:r>
          </w:p>
          <w:p>
            <w:pPr>
              <w:wordWrap w:val="0"/>
              <w:snapToGrid w:val="0"/>
              <w:spacing w:line="0" w:lineRule="atLeast"/>
              <w:ind w:firstLine="240" w:firstLineChars="100"/>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w:t>
            </w:r>
          </w:p>
        </w:tc>
        <w:tc>
          <w:tcPr>
            <w:tcW w:w="517" w:type="dxa"/>
            <w:tcBorders>
              <w:bottom w:val="single" w:color="auto" w:sz="4" w:space="0"/>
            </w:tcBorders>
            <w:vAlign w:val="center"/>
          </w:tcPr>
          <w:p>
            <w:pPr>
              <w:wordWrap w:val="0"/>
              <w:snapToGrid w:val="0"/>
              <w:spacing w:line="0" w:lineRule="atLeast"/>
              <w:ind w:firstLine="240" w:firstLineChars="100"/>
              <w:jc w:val="center"/>
              <w:rPr>
                <w:rFonts w:hint="eastAsia" w:ascii="微软雅黑" w:hAnsi="微软雅黑" w:eastAsia="微软雅黑" w:cs="微软雅黑"/>
                <w:color w:val="000000"/>
                <w:kern w:val="2"/>
                <w:sz w:val="24"/>
                <w:szCs w:val="24"/>
                <w:lang w:val="en-US" w:eastAsia="zh-CN" w:bidi="ar-SA"/>
              </w:rPr>
            </w:pPr>
          </w:p>
          <w:p>
            <w:pPr>
              <w:wordWrap w:val="0"/>
              <w:snapToGrid w:val="0"/>
              <w:spacing w:line="0" w:lineRule="atLeast"/>
              <w:ind w:firstLine="240" w:firstLineChars="100"/>
              <w:jc w:val="center"/>
              <w:rPr>
                <w:rFonts w:hint="eastAsia" w:ascii="微软雅黑" w:hAnsi="微软雅黑" w:eastAsia="微软雅黑" w:cs="微软雅黑"/>
                <w:color w:val="000000"/>
                <w:kern w:val="2"/>
                <w:sz w:val="24"/>
                <w:szCs w:val="24"/>
                <w:lang w:val="en-US" w:eastAsia="zh-CN" w:bidi="ar-SA"/>
              </w:rPr>
            </w:pPr>
          </w:p>
          <w:p>
            <w:pPr>
              <w:wordWrap w:val="0"/>
              <w:snapToGrid w:val="0"/>
              <w:spacing w:line="0" w:lineRule="atLeast"/>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8</w:t>
            </w:r>
          </w:p>
        </w:tc>
        <w:tc>
          <w:tcPr>
            <w:tcW w:w="4967" w:type="dxa"/>
            <w:vAlign w:val="center"/>
          </w:tcPr>
          <w:p>
            <w:pPr>
              <w:wordWrap w:val="0"/>
              <w:snapToGrid w:val="0"/>
              <w:spacing w:line="0" w:lineRule="atLeast"/>
              <w:ind w:firstLine="480" w:firstLineChars="200"/>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1.有完整的保洁服务方案得2分；岗位职责明确、清晰，作业流程规范、完善，优加6分，良加3分，差的加0分；</w:t>
            </w:r>
          </w:p>
          <w:p>
            <w:pPr>
              <w:wordWrap w:val="0"/>
              <w:snapToGrid w:val="0"/>
              <w:spacing w:line="0" w:lineRule="atLeast"/>
              <w:ind w:firstLine="480" w:firstLineChars="200"/>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2.提供的方案与本项目实际不相符的本项得0分。</w:t>
            </w:r>
          </w:p>
        </w:tc>
        <w:tc>
          <w:tcPr>
            <w:tcW w:w="1603" w:type="dxa"/>
            <w:vMerge w:val="continue"/>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454" w:type="dxa"/>
            <w:vMerge w:val="continue"/>
            <w:vAlign w:val="center"/>
          </w:tcPr>
          <w:p>
            <w:pPr>
              <w:ind w:firstLine="28"/>
              <w:jc w:val="center"/>
              <w:rPr>
                <w:rFonts w:hint="eastAsia" w:ascii="微软雅黑" w:hAnsi="微软雅黑" w:eastAsia="微软雅黑" w:cs="微软雅黑"/>
                <w:sz w:val="24"/>
                <w:szCs w:val="24"/>
              </w:rPr>
            </w:pPr>
          </w:p>
        </w:tc>
        <w:tc>
          <w:tcPr>
            <w:tcW w:w="762" w:type="dxa"/>
            <w:vMerge w:val="continue"/>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c>
          <w:tcPr>
            <w:tcW w:w="700" w:type="dxa"/>
            <w:vMerge w:val="continue"/>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c>
          <w:tcPr>
            <w:tcW w:w="733" w:type="dxa"/>
            <w:vAlign w:val="center"/>
          </w:tcPr>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b w:val="0"/>
                <w:bCs w:val="0"/>
                <w:caps w:val="0"/>
                <w:sz w:val="24"/>
                <w:szCs w:val="24"/>
              </w:rPr>
              <w:t>食堂服务方案</w:t>
            </w:r>
          </w:p>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w:t>
            </w:r>
          </w:p>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8</w:t>
            </w:r>
            <w:r>
              <w:rPr>
                <w:rFonts w:hint="eastAsia" w:ascii="微软雅黑" w:hAnsi="微软雅黑" w:eastAsia="微软雅黑" w:cs="微软雅黑"/>
                <w:color w:val="000000"/>
                <w:sz w:val="24"/>
                <w:szCs w:val="24"/>
              </w:rPr>
              <w:t>%</w:t>
            </w:r>
          </w:p>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w:t>
            </w:r>
          </w:p>
        </w:tc>
        <w:tc>
          <w:tcPr>
            <w:tcW w:w="517" w:type="dxa"/>
            <w:tcBorders>
              <w:bottom w:val="single" w:color="auto" w:sz="4" w:space="0"/>
            </w:tcBorders>
            <w:vAlign w:val="center"/>
          </w:tcPr>
          <w:p>
            <w:pPr>
              <w:wordWrap w:val="0"/>
              <w:snapToGrid w:val="0"/>
              <w:spacing w:line="0" w:lineRule="atLeast"/>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8</w:t>
            </w:r>
          </w:p>
        </w:tc>
        <w:tc>
          <w:tcPr>
            <w:tcW w:w="4967" w:type="dxa"/>
            <w:vAlign w:val="center"/>
          </w:tcPr>
          <w:p>
            <w:pPr>
              <w:wordWrap w:val="0"/>
              <w:snapToGrid w:val="0"/>
              <w:spacing w:line="0" w:lineRule="atLeast"/>
              <w:ind w:firstLine="480" w:firstLineChars="200"/>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1.有完整的食堂服务方案得2分；工作职责明确，工作流程规范，优加6分，良加3分，差加加0分；</w:t>
            </w:r>
          </w:p>
          <w:p>
            <w:pPr>
              <w:wordWrap w:val="0"/>
              <w:snapToGrid w:val="0"/>
              <w:spacing w:line="0" w:lineRule="atLeas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2"/>
                <w:sz w:val="24"/>
                <w:szCs w:val="24"/>
                <w:lang w:val="en-US" w:eastAsia="zh-CN" w:bidi="ar-SA"/>
              </w:rPr>
              <w:t>2.提供的方案与本项目实际不相符的本项得0分。</w:t>
            </w:r>
          </w:p>
        </w:tc>
        <w:tc>
          <w:tcPr>
            <w:tcW w:w="1603" w:type="dxa"/>
            <w:vMerge w:val="continue"/>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7" w:hRule="atLeast"/>
        </w:trPr>
        <w:tc>
          <w:tcPr>
            <w:tcW w:w="454" w:type="dxa"/>
            <w:vMerge w:val="continue"/>
            <w:vAlign w:val="center"/>
          </w:tcPr>
          <w:p>
            <w:pPr>
              <w:ind w:firstLine="28"/>
              <w:jc w:val="center"/>
              <w:rPr>
                <w:rFonts w:hint="eastAsia" w:ascii="微软雅黑" w:hAnsi="微软雅黑" w:eastAsia="微软雅黑" w:cs="微软雅黑"/>
                <w:sz w:val="24"/>
                <w:szCs w:val="24"/>
              </w:rPr>
            </w:pPr>
          </w:p>
        </w:tc>
        <w:tc>
          <w:tcPr>
            <w:tcW w:w="762" w:type="dxa"/>
            <w:vMerge w:val="continue"/>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c>
          <w:tcPr>
            <w:tcW w:w="700" w:type="dxa"/>
            <w:vMerge w:val="continue"/>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c>
          <w:tcPr>
            <w:tcW w:w="733" w:type="dxa"/>
            <w:vAlign w:val="center"/>
          </w:tcPr>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b w:val="0"/>
                <w:bCs w:val="0"/>
                <w:caps w:val="0"/>
                <w:sz w:val="24"/>
                <w:szCs w:val="24"/>
              </w:rPr>
              <w:t>质量管理考核方案</w:t>
            </w:r>
            <w:r>
              <w:rPr>
                <w:rFonts w:hint="eastAsia" w:ascii="微软雅黑" w:hAnsi="微软雅黑" w:eastAsia="微软雅黑" w:cs="微软雅黑"/>
                <w:color w:val="000000"/>
                <w:sz w:val="24"/>
                <w:szCs w:val="24"/>
              </w:rPr>
              <w:t>（</w:t>
            </w:r>
          </w:p>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8</w:t>
            </w:r>
            <w:r>
              <w:rPr>
                <w:rFonts w:hint="eastAsia" w:ascii="微软雅黑" w:hAnsi="微软雅黑" w:eastAsia="微软雅黑" w:cs="微软雅黑"/>
                <w:color w:val="000000"/>
                <w:sz w:val="24"/>
                <w:szCs w:val="24"/>
              </w:rPr>
              <w:t>%</w:t>
            </w:r>
          </w:p>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w:t>
            </w:r>
          </w:p>
        </w:tc>
        <w:tc>
          <w:tcPr>
            <w:tcW w:w="517" w:type="dxa"/>
            <w:tcBorders>
              <w:bottom w:val="single" w:color="auto" w:sz="4" w:space="0"/>
            </w:tcBorders>
            <w:vAlign w:val="center"/>
          </w:tcPr>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8</w:t>
            </w:r>
          </w:p>
        </w:tc>
        <w:tc>
          <w:tcPr>
            <w:tcW w:w="4967" w:type="dxa"/>
            <w:vAlign w:val="center"/>
          </w:tcPr>
          <w:p>
            <w:pPr>
              <w:wordWrap w:val="0"/>
              <w:snapToGrid w:val="0"/>
              <w:spacing w:line="0" w:lineRule="atLeast"/>
              <w:ind w:firstLine="480" w:firstLineChars="200"/>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1.有针对本项目的质量管理考核方案得2分；服务人员的考核评价机制合理。优加6分，良加3分，差的加0分；</w:t>
            </w:r>
          </w:p>
          <w:p>
            <w:pPr>
              <w:wordWrap w:val="0"/>
              <w:snapToGrid w:val="0"/>
              <w:spacing w:line="0" w:lineRule="atLeast"/>
              <w:ind w:firstLine="480" w:firstLineChars="200"/>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2.提供的方案与本项目实际不相符的本项得0分。</w:t>
            </w:r>
          </w:p>
        </w:tc>
        <w:tc>
          <w:tcPr>
            <w:tcW w:w="1603" w:type="dxa"/>
            <w:vMerge w:val="continue"/>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2" w:hRule="atLeast"/>
        </w:trPr>
        <w:tc>
          <w:tcPr>
            <w:tcW w:w="454" w:type="dxa"/>
            <w:vMerge w:val="continue"/>
            <w:tcBorders>
              <w:bottom w:val="single" w:color="auto" w:sz="4" w:space="0"/>
            </w:tcBorders>
            <w:vAlign w:val="center"/>
          </w:tcPr>
          <w:p>
            <w:pPr>
              <w:ind w:firstLine="28"/>
              <w:jc w:val="center"/>
              <w:rPr>
                <w:rFonts w:hint="eastAsia" w:ascii="微软雅黑" w:hAnsi="微软雅黑" w:eastAsia="微软雅黑" w:cs="微软雅黑"/>
                <w:sz w:val="24"/>
                <w:szCs w:val="24"/>
              </w:rPr>
            </w:pPr>
          </w:p>
        </w:tc>
        <w:tc>
          <w:tcPr>
            <w:tcW w:w="762" w:type="dxa"/>
            <w:vMerge w:val="continue"/>
            <w:tcBorders>
              <w:bottom w:val="single" w:color="auto" w:sz="4" w:space="0"/>
            </w:tcBorders>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c>
          <w:tcPr>
            <w:tcW w:w="700" w:type="dxa"/>
            <w:vMerge w:val="continue"/>
            <w:tcBorders>
              <w:bottom w:val="single" w:color="auto" w:sz="4" w:space="0"/>
            </w:tcBorders>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c>
          <w:tcPr>
            <w:tcW w:w="733" w:type="dxa"/>
            <w:tcBorders>
              <w:bottom w:val="single" w:color="auto" w:sz="4" w:space="0"/>
            </w:tcBorders>
            <w:vAlign w:val="center"/>
          </w:tcPr>
          <w:p>
            <w:pPr>
              <w:wordWrap w:val="0"/>
              <w:snapToGrid w:val="0"/>
              <w:spacing w:line="0" w:lineRule="atLeast"/>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拟投入装备（</w:t>
            </w:r>
          </w:p>
          <w:p>
            <w:pPr>
              <w:wordWrap w:val="0"/>
              <w:snapToGrid w:val="0"/>
              <w:spacing w:line="0" w:lineRule="atLeast"/>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8%</w:t>
            </w:r>
          </w:p>
          <w:p>
            <w:pPr>
              <w:wordWrap w:val="0"/>
              <w:snapToGrid w:val="0"/>
              <w:spacing w:line="0" w:lineRule="atLeast"/>
              <w:ind w:firstLine="480" w:firstLineChars="200"/>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w:t>
            </w:r>
          </w:p>
        </w:tc>
        <w:tc>
          <w:tcPr>
            <w:tcW w:w="517" w:type="dxa"/>
            <w:tcBorders>
              <w:bottom w:val="single" w:color="auto" w:sz="4" w:space="0"/>
            </w:tcBorders>
            <w:vAlign w:val="center"/>
          </w:tcPr>
          <w:p>
            <w:pPr>
              <w:wordWrap w:val="0"/>
              <w:snapToGrid w:val="0"/>
              <w:spacing w:line="0" w:lineRule="atLeast"/>
              <w:ind w:firstLine="480" w:firstLineChars="200"/>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68</w:t>
            </w:r>
          </w:p>
        </w:tc>
        <w:tc>
          <w:tcPr>
            <w:tcW w:w="4967" w:type="dxa"/>
            <w:tcBorders>
              <w:bottom w:val="single" w:color="auto" w:sz="4" w:space="0"/>
            </w:tcBorders>
            <w:vAlign w:val="center"/>
          </w:tcPr>
          <w:p>
            <w:pPr>
              <w:wordWrap w:val="0"/>
              <w:snapToGrid w:val="0"/>
              <w:spacing w:line="0" w:lineRule="atLeast"/>
              <w:ind w:firstLine="480" w:firstLineChars="200"/>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1.提供拟投入装备（需提供承诺书）得2分；提供装备，如对讲机、橡胶警棍、强光电筒、警用武装带及保洁设备等，根据提供的情况，优加6分，良加3分，差的加0分；</w:t>
            </w:r>
          </w:p>
          <w:p>
            <w:pPr>
              <w:wordWrap w:val="0"/>
              <w:snapToGrid w:val="0"/>
              <w:spacing w:line="0" w:lineRule="atLeast"/>
              <w:ind w:firstLine="480" w:firstLineChars="200"/>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2.提供的方案与本项目实际不相符的本项得0分。</w:t>
            </w:r>
          </w:p>
        </w:tc>
        <w:tc>
          <w:tcPr>
            <w:tcW w:w="1603" w:type="dxa"/>
            <w:vMerge w:val="continue"/>
            <w:tcBorders>
              <w:bottom w:val="single" w:color="auto" w:sz="4" w:space="0"/>
            </w:tcBorders>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454" w:type="dxa"/>
            <w:vMerge w:val="continue"/>
            <w:tcBorders>
              <w:bottom w:val="single" w:color="auto" w:sz="4" w:space="0"/>
            </w:tcBorders>
            <w:vAlign w:val="center"/>
          </w:tcPr>
          <w:p>
            <w:pPr>
              <w:ind w:firstLine="28"/>
              <w:jc w:val="center"/>
              <w:rPr>
                <w:rFonts w:hint="eastAsia" w:ascii="微软雅黑" w:hAnsi="微软雅黑" w:eastAsia="微软雅黑" w:cs="微软雅黑"/>
                <w:sz w:val="24"/>
                <w:szCs w:val="24"/>
              </w:rPr>
            </w:pPr>
          </w:p>
        </w:tc>
        <w:tc>
          <w:tcPr>
            <w:tcW w:w="762" w:type="dxa"/>
            <w:vMerge w:val="continue"/>
            <w:tcBorders>
              <w:bottom w:val="single" w:color="auto" w:sz="4" w:space="0"/>
            </w:tcBorders>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c>
          <w:tcPr>
            <w:tcW w:w="700" w:type="dxa"/>
            <w:vMerge w:val="continue"/>
            <w:tcBorders>
              <w:bottom w:val="single" w:color="auto" w:sz="4" w:space="0"/>
            </w:tcBorders>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c>
          <w:tcPr>
            <w:tcW w:w="733" w:type="dxa"/>
            <w:tcBorders>
              <w:bottom w:val="single" w:color="auto" w:sz="4" w:space="0"/>
            </w:tcBorders>
            <w:vAlign w:val="center"/>
          </w:tcPr>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2"/>
                <w:sz w:val="24"/>
                <w:szCs w:val="24"/>
                <w:lang w:val="en-US" w:eastAsia="zh-CN" w:bidi="ar-SA"/>
              </w:rPr>
              <w:t>应急处置方案</w:t>
            </w:r>
            <w:r>
              <w:rPr>
                <w:rFonts w:hint="eastAsia" w:ascii="微软雅黑" w:hAnsi="微软雅黑" w:eastAsia="微软雅黑" w:cs="微软雅黑"/>
                <w:color w:val="000000"/>
                <w:sz w:val="24"/>
                <w:szCs w:val="24"/>
              </w:rPr>
              <w:t>（</w:t>
            </w:r>
          </w:p>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7</w:t>
            </w:r>
            <w:r>
              <w:rPr>
                <w:rFonts w:hint="eastAsia" w:ascii="微软雅黑" w:hAnsi="微软雅黑" w:eastAsia="微软雅黑" w:cs="微软雅黑"/>
                <w:color w:val="000000"/>
                <w:sz w:val="24"/>
                <w:szCs w:val="24"/>
              </w:rPr>
              <w:t>%</w:t>
            </w:r>
          </w:p>
          <w:p>
            <w:pPr>
              <w:wordWrap w:val="0"/>
              <w:snapToGrid w:val="0"/>
              <w:spacing w:line="0" w:lineRule="atLeas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w:t>
            </w:r>
          </w:p>
        </w:tc>
        <w:tc>
          <w:tcPr>
            <w:tcW w:w="517" w:type="dxa"/>
            <w:tcBorders>
              <w:bottom w:val="single" w:color="auto" w:sz="4" w:space="0"/>
            </w:tcBorders>
            <w:vAlign w:val="center"/>
          </w:tcPr>
          <w:p>
            <w:pPr>
              <w:wordWrap w:val="0"/>
              <w:snapToGrid w:val="0"/>
              <w:spacing w:line="0" w:lineRule="atLeast"/>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7</w:t>
            </w:r>
          </w:p>
        </w:tc>
        <w:tc>
          <w:tcPr>
            <w:tcW w:w="4967" w:type="dxa"/>
            <w:tcBorders>
              <w:bottom w:val="single" w:color="auto" w:sz="4" w:space="0"/>
            </w:tcBorders>
            <w:vAlign w:val="center"/>
          </w:tcPr>
          <w:p>
            <w:pPr>
              <w:wordWrap w:val="0"/>
              <w:snapToGrid w:val="0"/>
              <w:spacing w:line="0" w:lineRule="atLeast"/>
              <w:ind w:firstLine="480" w:firstLineChars="200"/>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sz w:val="24"/>
                <w:szCs w:val="24"/>
                <w:shd w:val="clear" w:color="auto" w:fill="FFFFFF"/>
              </w:rPr>
              <w:t>1.有</w:t>
            </w:r>
            <w:r>
              <w:rPr>
                <w:rFonts w:hint="eastAsia" w:ascii="微软雅黑" w:hAnsi="微软雅黑" w:eastAsia="微软雅黑" w:cs="微软雅黑"/>
                <w:color w:val="000000"/>
                <w:kern w:val="2"/>
                <w:sz w:val="24"/>
                <w:szCs w:val="24"/>
                <w:lang w:val="en-US" w:eastAsia="zh-CN" w:bidi="ar-SA"/>
              </w:rPr>
              <w:t>应急处置方案得2分；有各类完整的应急处置方案、有针对性演练计划，好加5分，一般加3分，差的加0分；</w:t>
            </w:r>
          </w:p>
          <w:p>
            <w:pPr>
              <w:wordWrap w:val="0"/>
              <w:snapToGrid w:val="0"/>
              <w:spacing w:line="0" w:lineRule="atLeas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2"/>
                <w:sz w:val="24"/>
                <w:szCs w:val="24"/>
                <w:lang w:val="en-US" w:eastAsia="zh-CN" w:bidi="ar-SA"/>
              </w:rPr>
              <w:t>2.提供的方案与本项目实际不相符的本项得0分。</w:t>
            </w:r>
          </w:p>
        </w:tc>
        <w:tc>
          <w:tcPr>
            <w:tcW w:w="1603" w:type="dxa"/>
            <w:vMerge w:val="continue"/>
            <w:tcBorders>
              <w:bottom w:val="single" w:color="auto" w:sz="4" w:space="0"/>
            </w:tcBorders>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 w:type="dxa"/>
            <w:vMerge w:val="restart"/>
            <w:tcBorders>
              <w:top w:val="single" w:color="auto" w:sz="4" w:space="0"/>
              <w:left w:val="single" w:color="auto" w:sz="4" w:space="0"/>
              <w:right w:val="single" w:color="auto" w:sz="4" w:space="0"/>
            </w:tcBorders>
            <w:vAlign w:val="center"/>
          </w:tcPr>
          <w:p>
            <w:pPr>
              <w:wordWrap w:val="0"/>
              <w:snapToGrid w:val="0"/>
              <w:spacing w:line="0" w:lineRule="atLeast"/>
              <w:jc w:val="left"/>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3</w:t>
            </w:r>
          </w:p>
          <w:p>
            <w:pPr>
              <w:ind w:firstLine="28"/>
              <w:jc w:val="left"/>
              <w:rPr>
                <w:rFonts w:hint="eastAsia" w:ascii="微软雅黑" w:hAnsi="微软雅黑" w:eastAsia="微软雅黑" w:cs="微软雅黑"/>
                <w:sz w:val="24"/>
                <w:szCs w:val="24"/>
              </w:rPr>
            </w:pPr>
          </w:p>
        </w:tc>
        <w:tc>
          <w:tcPr>
            <w:tcW w:w="1462" w:type="dxa"/>
            <w:gridSpan w:val="2"/>
            <w:vMerge w:val="restart"/>
            <w:tcBorders>
              <w:top w:val="single" w:color="auto" w:sz="4" w:space="0"/>
              <w:left w:val="single" w:color="auto" w:sz="4" w:space="0"/>
              <w:right w:val="single" w:color="auto" w:sz="4" w:space="0"/>
            </w:tcBorders>
            <w:vAlign w:val="center"/>
          </w:tcPr>
          <w:p>
            <w:pPr>
              <w:wordWrap w:val="0"/>
              <w:snapToGrid w:val="0"/>
              <w:spacing w:line="0" w:lineRule="atLeast"/>
              <w:ind w:firstLine="240" w:firstLineChars="10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商务部分</w:t>
            </w:r>
          </w:p>
          <w:p>
            <w:pPr>
              <w:wordWrap w:val="0"/>
              <w:snapToGrid w:val="0"/>
              <w:spacing w:line="0" w:lineRule="atLeast"/>
              <w:ind w:firstLine="240" w:firstLineChars="100"/>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color w:val="000000"/>
                <w:sz w:val="24"/>
                <w:szCs w:val="24"/>
                <w:lang w:val="en-US" w:eastAsia="zh-CN"/>
              </w:rPr>
              <w:t>43</w:t>
            </w:r>
            <w:r>
              <w:rPr>
                <w:rFonts w:hint="eastAsia" w:ascii="微软雅黑" w:hAnsi="微软雅黑" w:eastAsia="微软雅黑" w:cs="微软雅黑"/>
                <w:color w:val="000000"/>
                <w:sz w:val="24"/>
                <w:szCs w:val="24"/>
              </w:rPr>
              <w:t>%）</w:t>
            </w:r>
          </w:p>
        </w:tc>
        <w:tc>
          <w:tcPr>
            <w:tcW w:w="733" w:type="dxa"/>
            <w:tcBorders>
              <w:top w:val="single" w:color="auto" w:sz="4" w:space="0"/>
              <w:left w:val="single" w:color="auto" w:sz="4" w:space="0"/>
              <w:bottom w:val="single" w:color="auto" w:sz="4" w:space="0"/>
              <w:right w:val="single" w:color="auto" w:sz="4" w:space="0"/>
            </w:tcBorders>
            <w:vAlign w:val="center"/>
          </w:tcPr>
          <w:p>
            <w:pPr>
              <w:wordWrap w:val="0"/>
              <w:snapToGrid w:val="0"/>
              <w:spacing w:line="0" w:lineRule="atLeast"/>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成本测算方案（</w:t>
            </w:r>
            <w:r>
              <w:rPr>
                <w:rFonts w:hint="eastAsia" w:ascii="微软雅黑" w:hAnsi="微软雅黑" w:eastAsia="微软雅黑" w:cs="微软雅黑"/>
                <w:sz w:val="24"/>
                <w:szCs w:val="24"/>
                <w:shd w:val="clear" w:color="auto" w:fill="FFFFFF"/>
              </w:rPr>
              <w:t>5%</w:t>
            </w:r>
            <w:r>
              <w:rPr>
                <w:rFonts w:hint="eastAsia" w:ascii="微软雅黑" w:hAnsi="微软雅黑" w:eastAsia="微软雅黑" w:cs="微软雅黑"/>
                <w:color w:val="000000"/>
                <w:sz w:val="24"/>
                <w:szCs w:val="24"/>
                <w:lang w:val="en-US" w:eastAsia="zh-CN"/>
              </w:rPr>
              <w:t>）</w:t>
            </w:r>
          </w:p>
        </w:tc>
        <w:tc>
          <w:tcPr>
            <w:tcW w:w="51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0" w:lineRule="atLeast"/>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5</w:t>
            </w:r>
          </w:p>
        </w:tc>
        <w:tc>
          <w:tcPr>
            <w:tcW w:w="4967" w:type="dxa"/>
            <w:tcBorders>
              <w:top w:val="single" w:color="auto" w:sz="4" w:space="0"/>
              <w:left w:val="single" w:color="auto" w:sz="4" w:space="0"/>
              <w:bottom w:val="single" w:color="auto" w:sz="4" w:space="0"/>
              <w:right w:val="single" w:color="auto" w:sz="4" w:space="0"/>
            </w:tcBorders>
            <w:vAlign w:val="top"/>
          </w:tcPr>
          <w:p>
            <w:pPr>
              <w:widowControl/>
              <w:wordWrap w:val="0"/>
              <w:topLinePunct/>
              <w:adjustRightInd w:val="0"/>
              <w:snapToGrid w:val="0"/>
              <w:spacing w:line="400" w:lineRule="atLeast"/>
              <w:rPr>
                <w:rFonts w:hint="eastAsia" w:ascii="微软雅黑" w:hAnsi="微软雅黑" w:eastAsia="微软雅黑" w:cs="微软雅黑"/>
                <w:sz w:val="24"/>
                <w:szCs w:val="24"/>
                <w:shd w:val="clear" w:color="auto" w:fill="FFFFFF"/>
              </w:rPr>
            </w:pPr>
            <w:r>
              <w:rPr>
                <w:rFonts w:hint="eastAsia" w:ascii="微软雅黑" w:hAnsi="微软雅黑" w:eastAsia="微软雅黑" w:cs="微软雅黑"/>
                <w:sz w:val="24"/>
                <w:szCs w:val="24"/>
                <w:shd w:val="clear" w:color="auto" w:fill="FFFFFF"/>
              </w:rPr>
              <w:t>1.有成本测算方案且成本测算方案符合本项目实际的得2分。</w:t>
            </w:r>
          </w:p>
          <w:p>
            <w:pPr>
              <w:widowControl/>
              <w:wordWrap w:val="0"/>
              <w:topLinePunct/>
              <w:adjustRightInd w:val="0"/>
              <w:snapToGrid w:val="0"/>
              <w:spacing w:line="400" w:lineRule="atLeast"/>
              <w:rPr>
                <w:rFonts w:hint="eastAsia" w:ascii="微软雅黑" w:hAnsi="微软雅黑" w:eastAsia="微软雅黑" w:cs="微软雅黑"/>
                <w:sz w:val="24"/>
                <w:szCs w:val="24"/>
                <w:shd w:val="clear" w:color="auto" w:fill="FFFFFF"/>
              </w:rPr>
            </w:pPr>
            <w:r>
              <w:rPr>
                <w:rFonts w:hint="eastAsia" w:ascii="微软雅黑" w:hAnsi="微软雅黑" w:eastAsia="微软雅黑" w:cs="微软雅黑"/>
                <w:sz w:val="24"/>
                <w:szCs w:val="24"/>
                <w:shd w:val="clear" w:color="auto" w:fill="FFFFFF"/>
              </w:rPr>
              <w:t>2.磋商小组成员根据</w:t>
            </w:r>
            <w:r>
              <w:rPr>
                <w:rFonts w:hint="eastAsia" w:ascii="微软雅黑" w:hAnsi="微软雅黑" w:eastAsia="微软雅黑" w:cs="微软雅黑"/>
                <w:sz w:val="24"/>
                <w:szCs w:val="24"/>
              </w:rPr>
              <w:t>响应供应商</w:t>
            </w:r>
            <w:r>
              <w:rPr>
                <w:rFonts w:hint="eastAsia" w:ascii="微软雅黑" w:hAnsi="微软雅黑" w:eastAsia="微软雅黑" w:cs="微软雅黑"/>
                <w:sz w:val="24"/>
                <w:szCs w:val="24"/>
                <w:shd w:val="clear" w:color="auto" w:fill="FFFFFF"/>
              </w:rPr>
              <w:t>制定的成本测算方案的全面性、合理性，并按照优劣程度适当再加分。加分标准为：优加3分、良加2分、一般加1分、差加0分。</w:t>
            </w:r>
          </w:p>
          <w:p>
            <w:pPr>
              <w:wordWrap w:val="0"/>
              <w:snapToGrid w:val="0"/>
              <w:spacing w:line="0" w:lineRule="atLeast"/>
              <w:ind w:firstLine="240" w:firstLineChars="100"/>
              <w:rPr>
                <w:rFonts w:hint="eastAsia" w:ascii="微软雅黑" w:hAnsi="微软雅黑" w:eastAsia="微软雅黑" w:cs="微软雅黑"/>
                <w:color w:val="000000"/>
                <w:sz w:val="24"/>
                <w:szCs w:val="24"/>
              </w:rPr>
            </w:pPr>
            <w:r>
              <w:rPr>
                <w:rFonts w:hint="eastAsia" w:ascii="微软雅黑" w:hAnsi="微软雅黑" w:eastAsia="微软雅黑" w:cs="微软雅黑"/>
                <w:sz w:val="24"/>
                <w:szCs w:val="24"/>
                <w:shd w:val="clear" w:color="auto" w:fill="FFFFFF"/>
              </w:rPr>
              <w:t>3.成本测算方案不符合本项目实际的，本项得0分。</w:t>
            </w:r>
          </w:p>
        </w:tc>
        <w:tc>
          <w:tcPr>
            <w:tcW w:w="1603" w:type="dxa"/>
            <w:tcBorders>
              <w:top w:val="single" w:color="auto" w:sz="4" w:space="0"/>
              <w:left w:val="single" w:color="auto" w:sz="4" w:space="0"/>
              <w:bottom w:val="single" w:color="auto" w:sz="4" w:space="0"/>
              <w:right w:val="single" w:color="auto" w:sz="4" w:space="0"/>
            </w:tcBorders>
            <w:vAlign w:val="top"/>
          </w:tcPr>
          <w:p>
            <w:pPr>
              <w:wordWrap w:val="0"/>
              <w:snapToGrid w:val="0"/>
              <w:spacing w:line="0" w:lineRule="atLeast"/>
              <w:ind w:firstLine="240" w:firstLineChars="1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评标委员会成员根据响应供应商针对本项目制定的成本测算方案独立评分。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 w:type="dxa"/>
            <w:vMerge w:val="continue"/>
            <w:tcBorders>
              <w:left w:val="single" w:color="auto" w:sz="4" w:space="0"/>
              <w:bottom w:val="single" w:color="auto" w:sz="4" w:space="0"/>
              <w:right w:val="single" w:color="auto" w:sz="4" w:space="0"/>
            </w:tcBorders>
            <w:vAlign w:val="center"/>
          </w:tcPr>
          <w:p>
            <w:pPr>
              <w:ind w:firstLine="28"/>
              <w:jc w:val="center"/>
              <w:rPr>
                <w:rFonts w:hint="eastAsia" w:ascii="微软雅黑" w:hAnsi="微软雅黑" w:eastAsia="微软雅黑" w:cs="微软雅黑"/>
                <w:sz w:val="24"/>
                <w:szCs w:val="24"/>
              </w:rPr>
            </w:pPr>
          </w:p>
        </w:tc>
        <w:tc>
          <w:tcPr>
            <w:tcW w:w="1462" w:type="dxa"/>
            <w:gridSpan w:val="2"/>
            <w:vMerge w:val="continue"/>
            <w:tcBorders>
              <w:left w:val="single" w:color="auto" w:sz="4" w:space="0"/>
              <w:bottom w:val="single" w:color="auto" w:sz="4" w:space="0"/>
              <w:right w:val="single" w:color="auto" w:sz="4" w:space="0"/>
            </w:tcBorders>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lang w:val="en-US" w:eastAsia="zh-CN"/>
              </w:rPr>
            </w:pPr>
          </w:p>
        </w:tc>
        <w:tc>
          <w:tcPr>
            <w:tcW w:w="733" w:type="dxa"/>
            <w:tcBorders>
              <w:top w:val="single" w:color="auto" w:sz="4" w:space="0"/>
              <w:left w:val="single" w:color="auto" w:sz="4" w:space="0"/>
              <w:bottom w:val="single" w:color="auto" w:sz="4" w:space="0"/>
              <w:right w:val="single" w:color="auto" w:sz="4" w:space="0"/>
            </w:tcBorders>
            <w:vAlign w:val="center"/>
          </w:tcPr>
          <w:p>
            <w:pPr>
              <w:widowControl/>
              <w:topLinePunct/>
              <w:adjustRightInd w:val="0"/>
              <w:snapToGrid w:val="0"/>
              <w:spacing w:line="400" w:lineRule="atLeast"/>
              <w:jc w:val="center"/>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rPr>
              <w:t>企业</w:t>
            </w:r>
            <w:r>
              <w:rPr>
                <w:rFonts w:hint="eastAsia" w:ascii="微软雅黑" w:hAnsi="微软雅黑" w:eastAsia="微软雅黑" w:cs="微软雅黑"/>
                <w:sz w:val="24"/>
                <w:szCs w:val="24"/>
                <w:lang w:val="en-US" w:eastAsia="zh-CN"/>
              </w:rPr>
              <w:t>实力</w:t>
            </w:r>
            <w:r>
              <w:rPr>
                <w:rFonts w:hint="eastAsia" w:ascii="微软雅黑" w:hAnsi="微软雅黑" w:eastAsia="微软雅黑" w:cs="微软雅黑"/>
                <w:sz w:val="24"/>
                <w:szCs w:val="24"/>
              </w:rPr>
              <w:t>（4%）</w:t>
            </w:r>
          </w:p>
        </w:tc>
        <w:tc>
          <w:tcPr>
            <w:tcW w:w="517" w:type="dxa"/>
            <w:tcBorders>
              <w:top w:val="single" w:color="auto" w:sz="4" w:space="0"/>
              <w:left w:val="single" w:color="auto" w:sz="4" w:space="0"/>
              <w:bottom w:val="single" w:color="auto" w:sz="4" w:space="0"/>
              <w:right w:val="single" w:color="auto" w:sz="4" w:space="0"/>
            </w:tcBorders>
            <w:vAlign w:val="center"/>
          </w:tcPr>
          <w:p>
            <w:pPr>
              <w:widowControl/>
              <w:topLinePunct/>
              <w:adjustRightInd w:val="0"/>
              <w:snapToGrid w:val="0"/>
              <w:spacing w:line="400" w:lineRule="atLeast"/>
              <w:jc w:val="center"/>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rPr>
              <w:t>4</w:t>
            </w:r>
          </w:p>
        </w:tc>
        <w:tc>
          <w:tcPr>
            <w:tcW w:w="4967"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tabs>
                <w:tab w:val="left" w:pos="312"/>
              </w:tabs>
              <w:wordWrap w:val="0"/>
              <w:topLinePunct/>
              <w:adjustRightInd w:val="0"/>
              <w:snapToGrid w:val="0"/>
              <w:spacing w:line="400" w:lineRule="atLeast"/>
              <w:ind w:left="5" w:leftChars="0" w:hanging="5" w:firstLineChars="0"/>
              <w:rPr>
                <w:rFonts w:hint="eastAsia" w:ascii="微软雅黑" w:hAnsi="微软雅黑" w:eastAsia="微软雅黑" w:cs="微软雅黑"/>
                <w:sz w:val="24"/>
                <w:szCs w:val="24"/>
                <w:shd w:val="clear" w:color="auto" w:fill="FFFFFF"/>
              </w:rPr>
            </w:pPr>
            <w:r>
              <w:rPr>
                <w:rFonts w:hint="eastAsia" w:ascii="微软雅黑" w:hAnsi="微软雅黑" w:eastAsia="微软雅黑" w:cs="微软雅黑"/>
                <w:sz w:val="24"/>
                <w:szCs w:val="24"/>
                <w:shd w:val="clear" w:color="auto" w:fill="FFFFFF"/>
              </w:rPr>
              <w:t>响应供应商具有行政主管部门颁发的自行招用保安员单位备案证的得2分。</w:t>
            </w:r>
          </w:p>
          <w:p>
            <w:pPr>
              <w:widowControl/>
              <w:wordWrap w:val="0"/>
              <w:topLinePunct/>
              <w:adjustRightInd w:val="0"/>
              <w:snapToGrid w:val="0"/>
              <w:spacing w:line="400" w:lineRule="atLeas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shd w:val="clear" w:color="auto" w:fill="FFFFFF"/>
              </w:rPr>
              <w:t>2.响应供应商取得行政主管部门颁发的“劳务派遣经营许可证”得2分，没有不得分。</w:t>
            </w:r>
          </w:p>
        </w:tc>
        <w:tc>
          <w:tcPr>
            <w:tcW w:w="1603" w:type="dxa"/>
            <w:tcBorders>
              <w:top w:val="single" w:color="auto" w:sz="4" w:space="0"/>
              <w:left w:val="single" w:color="auto" w:sz="4" w:space="0"/>
              <w:bottom w:val="single" w:color="auto" w:sz="4" w:space="0"/>
              <w:right w:val="single" w:color="auto" w:sz="4" w:space="0"/>
            </w:tcBorders>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 w:type="dxa"/>
            <w:vMerge w:val="continue"/>
            <w:tcBorders>
              <w:left w:val="single" w:color="auto" w:sz="4" w:space="0"/>
              <w:bottom w:val="single" w:color="auto" w:sz="4" w:space="0"/>
              <w:right w:val="single" w:color="auto" w:sz="4" w:space="0"/>
            </w:tcBorders>
            <w:vAlign w:val="center"/>
          </w:tcPr>
          <w:p>
            <w:pPr>
              <w:ind w:firstLine="28"/>
              <w:jc w:val="center"/>
              <w:rPr>
                <w:rFonts w:hint="eastAsia" w:ascii="微软雅黑" w:hAnsi="微软雅黑" w:eastAsia="微软雅黑" w:cs="微软雅黑"/>
                <w:sz w:val="24"/>
                <w:szCs w:val="24"/>
              </w:rPr>
            </w:pPr>
          </w:p>
        </w:tc>
        <w:tc>
          <w:tcPr>
            <w:tcW w:w="1462" w:type="dxa"/>
            <w:gridSpan w:val="2"/>
            <w:vMerge w:val="continue"/>
            <w:tcBorders>
              <w:left w:val="single" w:color="auto" w:sz="4" w:space="0"/>
              <w:bottom w:val="single" w:color="auto" w:sz="4" w:space="0"/>
              <w:right w:val="single" w:color="auto" w:sz="4" w:space="0"/>
            </w:tcBorders>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lang w:val="en-US" w:eastAsia="zh-CN"/>
              </w:rPr>
            </w:pPr>
          </w:p>
        </w:tc>
        <w:tc>
          <w:tcPr>
            <w:tcW w:w="733" w:type="dxa"/>
            <w:tcBorders>
              <w:top w:val="single" w:color="auto" w:sz="4" w:space="0"/>
              <w:left w:val="single" w:color="auto" w:sz="4" w:space="0"/>
              <w:bottom w:val="single" w:color="auto" w:sz="4" w:space="0"/>
              <w:right w:val="single" w:color="auto" w:sz="4" w:space="0"/>
            </w:tcBorders>
            <w:vAlign w:val="center"/>
          </w:tcPr>
          <w:p>
            <w:pPr>
              <w:wordWrap w:val="0"/>
              <w:snapToGrid w:val="0"/>
              <w:spacing w:line="0" w:lineRule="atLeast"/>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人员配备（21%）</w:t>
            </w:r>
          </w:p>
        </w:tc>
        <w:tc>
          <w:tcPr>
            <w:tcW w:w="51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0" w:lineRule="atLeast"/>
              <w:jc w:val="both"/>
              <w:rPr>
                <w:rFonts w:hint="default"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21</w:t>
            </w:r>
          </w:p>
        </w:tc>
        <w:tc>
          <w:tcPr>
            <w:tcW w:w="496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0" w:lineRule="atLeast"/>
              <w:ind w:firstLine="480" w:firstLineChars="200"/>
              <w:jc w:val="left"/>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1.有人员配备方案且符合本项目实际的得2分。</w:t>
            </w:r>
          </w:p>
          <w:p>
            <w:pPr>
              <w:wordWrap w:val="0"/>
              <w:snapToGrid w:val="0"/>
              <w:spacing w:line="0" w:lineRule="atLeast"/>
              <w:ind w:firstLine="480" w:firstLineChars="200"/>
              <w:jc w:val="left"/>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2.磋商小组成员根据响应供应商制定的人员配备方案的全面性、合理性，并按照优劣程度适当再加分。加分标准为：优加3分、良加2分、一般加1分、差加0分。</w:t>
            </w:r>
          </w:p>
          <w:p>
            <w:pPr>
              <w:wordWrap w:val="0"/>
              <w:snapToGrid w:val="0"/>
              <w:spacing w:line="0" w:lineRule="atLeast"/>
              <w:ind w:firstLine="480" w:firstLineChars="200"/>
              <w:jc w:val="left"/>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3.拟派本项目保安员中至少1人具有行业主管部门颁的保安员证书和建（构）筑物消防员或消防设施操作员职业资格证书得2分，同时具有退役证（或退伍证）、人社局颁发的保安员职业资格等级证书(三级/高级工及以上）的加3分。本项最多得5分。</w:t>
            </w:r>
          </w:p>
          <w:p>
            <w:pPr>
              <w:wordWrap w:val="0"/>
              <w:snapToGrid w:val="0"/>
              <w:spacing w:line="0" w:lineRule="atLeast"/>
              <w:ind w:firstLine="480" w:firstLineChars="200"/>
              <w:jc w:val="left"/>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4.拟派本项目餐饮人员至少1人具有中式烹调师职业技能等级证书的得1分，职业技能等级为三级/高级技能及以上的加2分；拟派本项目餐饮人员至少1人具有省级（直辖市）职业技能鉴定中心颁发的公共营养师职业资格证书的得1分，职业资格等级为三级/高级技能及以上的加2分；拟派本项目餐饮人员至少1人具有人社局颁发的中级及以上餐厅服务员的得2分。本项最多得8分。</w:t>
            </w:r>
          </w:p>
          <w:p>
            <w:pPr>
              <w:wordWrap w:val="0"/>
              <w:snapToGrid w:val="0"/>
              <w:spacing w:line="0" w:lineRule="atLeast"/>
              <w:ind w:firstLine="480" w:firstLineChars="200"/>
              <w:jc w:val="left"/>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5.拟派本项目保洁人员具有人社局或在人社局备案的第三方鉴定机构颁发的中级及以上保洁员职业资格或职业技能等级证书和省级（直辖市）有害生物防制协会颁发的消毒员培训证书，提供1人得1.5分，最多得3分。</w:t>
            </w:r>
          </w:p>
        </w:tc>
        <w:tc>
          <w:tcPr>
            <w:tcW w:w="1603" w:type="dxa"/>
            <w:tcBorders>
              <w:top w:val="single" w:color="auto" w:sz="4" w:space="0"/>
              <w:left w:val="single" w:color="auto" w:sz="4" w:space="0"/>
              <w:bottom w:val="single" w:color="auto" w:sz="4" w:space="0"/>
              <w:right w:val="single" w:color="auto" w:sz="4" w:space="0"/>
            </w:tcBorders>
            <w:vAlign w:val="center"/>
          </w:tcPr>
          <w:p>
            <w:pPr>
              <w:wordWrap w:val="0"/>
              <w:snapToGrid w:val="0"/>
              <w:spacing w:line="0" w:lineRule="atLeast"/>
              <w:ind w:firstLine="480" w:firstLineChars="200"/>
              <w:jc w:val="left"/>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由响应供应商承诺中标后提供相关证明材料（证明材料是指：资格证书等材料，所有证明材料均须在有效期内），否则视为验收不合格。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 w:type="dxa"/>
            <w:vMerge w:val="continue"/>
            <w:tcBorders>
              <w:left w:val="single" w:color="auto" w:sz="4" w:space="0"/>
              <w:bottom w:val="single" w:color="auto" w:sz="4" w:space="0"/>
              <w:right w:val="single" w:color="auto" w:sz="4" w:space="0"/>
            </w:tcBorders>
            <w:vAlign w:val="center"/>
          </w:tcPr>
          <w:p>
            <w:pPr>
              <w:ind w:firstLine="28"/>
              <w:jc w:val="center"/>
              <w:rPr>
                <w:rFonts w:hint="eastAsia" w:ascii="微软雅黑" w:hAnsi="微软雅黑" w:eastAsia="微软雅黑" w:cs="微软雅黑"/>
                <w:sz w:val="24"/>
                <w:szCs w:val="24"/>
              </w:rPr>
            </w:pPr>
          </w:p>
        </w:tc>
        <w:tc>
          <w:tcPr>
            <w:tcW w:w="1462" w:type="dxa"/>
            <w:gridSpan w:val="2"/>
            <w:vMerge w:val="continue"/>
            <w:tcBorders>
              <w:left w:val="single" w:color="auto" w:sz="4" w:space="0"/>
              <w:bottom w:val="single" w:color="auto" w:sz="4" w:space="0"/>
              <w:right w:val="single" w:color="auto" w:sz="4" w:space="0"/>
            </w:tcBorders>
            <w:vAlign w:val="center"/>
          </w:tcPr>
          <w:p>
            <w:pPr>
              <w:wordWrap w:val="0"/>
              <w:snapToGrid w:val="0"/>
              <w:spacing w:line="0" w:lineRule="atLeast"/>
              <w:ind w:firstLine="240" w:firstLineChars="100"/>
              <w:rPr>
                <w:rFonts w:hint="eastAsia" w:ascii="微软雅黑" w:hAnsi="微软雅黑" w:eastAsia="微软雅黑" w:cs="微软雅黑"/>
                <w:color w:val="000000"/>
                <w:sz w:val="24"/>
                <w:szCs w:val="24"/>
                <w:lang w:val="en-US" w:eastAsia="zh-CN"/>
              </w:rPr>
            </w:pPr>
          </w:p>
        </w:tc>
        <w:tc>
          <w:tcPr>
            <w:tcW w:w="733" w:type="dxa"/>
            <w:tcBorders>
              <w:top w:val="single" w:color="auto" w:sz="4" w:space="0"/>
              <w:left w:val="single" w:color="auto" w:sz="4" w:space="0"/>
              <w:bottom w:val="single" w:color="auto" w:sz="4" w:space="0"/>
              <w:right w:val="single" w:color="auto" w:sz="4" w:space="0"/>
            </w:tcBorders>
            <w:vAlign w:val="center"/>
          </w:tcPr>
          <w:p>
            <w:pPr>
              <w:wordWrap w:val="0"/>
              <w:snapToGrid w:val="0"/>
              <w:spacing w:line="0" w:lineRule="atLeast"/>
              <w:jc w:val="center"/>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业绩（13%）</w:t>
            </w:r>
          </w:p>
        </w:tc>
        <w:tc>
          <w:tcPr>
            <w:tcW w:w="51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0" w:lineRule="atLeast"/>
              <w:jc w:val="both"/>
              <w:rPr>
                <w:rFonts w:hint="default"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13</w:t>
            </w:r>
          </w:p>
        </w:tc>
        <w:tc>
          <w:tcPr>
            <w:tcW w:w="4967" w:type="dxa"/>
            <w:tcBorders>
              <w:top w:val="single" w:color="auto" w:sz="4" w:space="0"/>
              <w:left w:val="single" w:color="auto" w:sz="4" w:space="0"/>
              <w:bottom w:val="single" w:color="auto" w:sz="4" w:space="0"/>
              <w:right w:val="single" w:color="auto" w:sz="4" w:space="0"/>
            </w:tcBorders>
            <w:vAlign w:val="center"/>
          </w:tcPr>
          <w:p>
            <w:pPr>
              <w:wordWrap w:val="0"/>
              <w:snapToGrid w:val="0"/>
              <w:spacing w:line="0" w:lineRule="atLeast"/>
              <w:ind w:firstLine="480" w:firstLineChars="200"/>
              <w:jc w:val="left"/>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2019年1月至今，响应供应商具有具有类似服务项目业绩，有1个得1分，最多得13分。</w:t>
            </w:r>
          </w:p>
        </w:tc>
        <w:tc>
          <w:tcPr>
            <w:tcW w:w="1603" w:type="dxa"/>
            <w:tcBorders>
              <w:top w:val="single" w:color="auto" w:sz="4" w:space="0"/>
              <w:left w:val="single" w:color="auto" w:sz="4" w:space="0"/>
              <w:bottom w:val="single" w:color="auto" w:sz="4" w:space="0"/>
              <w:right w:val="single" w:color="auto" w:sz="4" w:space="0"/>
            </w:tcBorders>
            <w:vAlign w:val="center"/>
          </w:tcPr>
          <w:p>
            <w:pPr>
              <w:wordWrap w:val="0"/>
              <w:snapToGrid w:val="0"/>
              <w:spacing w:line="0" w:lineRule="atLeast"/>
              <w:ind w:firstLine="480" w:firstLineChars="200"/>
              <w:jc w:val="left"/>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kern w:val="2"/>
                <w:sz w:val="24"/>
                <w:szCs w:val="24"/>
                <w:lang w:val="en-US" w:eastAsia="zh-CN" w:bidi="ar-SA"/>
              </w:rPr>
              <w:t>提供与业主单位签订的合同复印件，原件备查。转包、分包不计分。</w:t>
            </w:r>
          </w:p>
        </w:tc>
      </w:tr>
    </w:tbl>
    <w:p>
      <w:pPr>
        <w:pStyle w:val="3"/>
        <w:adjustRightInd w:val="0"/>
        <w:snapToGrid w:val="0"/>
        <w:spacing w:before="0" w:after="0" w:line="400" w:lineRule="exact"/>
        <w:ind w:firstLine="482" w:firstLineChars="200"/>
        <w:rPr>
          <w:rFonts w:hint="eastAsia" w:ascii="方正仿宋_GBK" w:hAnsi="宋体" w:eastAsia="方正仿宋_GBK"/>
          <w:sz w:val="24"/>
        </w:rPr>
      </w:pPr>
      <w:bookmarkStart w:id="63" w:name="_Toc76462335"/>
      <w:bookmarkStart w:id="64" w:name="_Toc106030890"/>
      <w:r>
        <w:rPr>
          <w:rFonts w:hint="eastAsia" w:ascii="方正仿宋_GBK" w:hAnsi="宋体" w:eastAsia="方正仿宋_GBK"/>
          <w:sz w:val="24"/>
        </w:rPr>
        <w:t>三、无效响应</w:t>
      </w:r>
      <w:bookmarkEnd w:id="63"/>
      <w:bookmarkEnd w:id="64"/>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供应商发生以下条款情况之一者，视为无效响应，其响应文件将被拒绝：</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（一）供应商不符合规定的资格条件的；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（二）供应商的法定代表人（或其授权代表）或自然人未参加磋商；</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（三）供应商所提交的响应文件不按“第七篇响应文件编制要求”要求签署或盖章；</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（四）供应商的最后报价超过采购预算或最高限价的；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（五）法定代表人为同一个人的两个及两个以上法人，母公司、全资子公司及其控股公司，在同一包采购中同时参与磋商；</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（六）单位负责人为同一人或者存在直接控股、管理关系的不同供应商，参加同一合同项下的政府采购活动的；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（七）</w:t>
      </w:r>
      <w:r>
        <w:rPr>
          <w:rFonts w:ascii="方正仿宋_GBK" w:hAnsi="宋体" w:eastAsia="方正仿宋_GBK"/>
          <w:sz w:val="24"/>
          <w:szCs w:val="24"/>
        </w:rPr>
        <w:t>为采购项目提供整体设计、规范编制或者项目管理、监理、检测等服务的供应商，再参加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（八）供应商磋商有效期不满足竞争性磋商文件要求的；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（九）供应商响应文件内容有与国家现行法律法规相违背的内容，或附有采购人无法接受的条件；</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（十）法律、法规和竞争性磋商文件规定的其他无效情形。</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65" w:name="_Toc106030891"/>
      <w:bookmarkStart w:id="66" w:name="_Toc76462336"/>
      <w:r>
        <w:rPr>
          <w:rFonts w:hint="eastAsia" w:ascii="方正仿宋_GBK" w:hAnsi="宋体" w:eastAsia="方正仿宋_GBK"/>
          <w:sz w:val="24"/>
        </w:rPr>
        <w:t>四、</w:t>
      </w:r>
      <w:bookmarkEnd w:id="61"/>
      <w:bookmarkEnd w:id="62"/>
      <w:r>
        <w:rPr>
          <w:rFonts w:hint="eastAsia" w:ascii="方正仿宋_GBK" w:hAnsi="宋体" w:eastAsia="方正仿宋_GBK"/>
          <w:sz w:val="24"/>
        </w:rPr>
        <w:t>采购终止</w:t>
      </w:r>
      <w:bookmarkEnd w:id="65"/>
      <w:bookmarkEnd w:id="66"/>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出现下列情形之一的，采购人或者采购代理机构应当终止竞争性磋商采购活动，发布项目终止公告并说明原因，重新开展采购活动：</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（一）因情况变化，不再符合规定的竞争性磋商采购方式适用情形的；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（三）在采购过程中符合要求的供应商或者报价未超过采购预算的供应商不足3家的，但《政府采购竞争性磋商采购方式管理暂行办法》第二十一条第三款规定的情形除外。</w:t>
      </w:r>
    </w:p>
    <w:p>
      <w:pPr>
        <w:spacing w:line="400" w:lineRule="exact"/>
        <w:ind w:firstLine="480" w:firstLineChars="200"/>
        <w:rPr>
          <w:rFonts w:ascii="宋体" w:hAnsi="宋体"/>
          <w:sz w:val="24"/>
          <w:szCs w:val="24"/>
        </w:rPr>
        <w:sectPr>
          <w:pgSz w:w="11907" w:h="16840"/>
          <w:pgMar w:top="1134" w:right="1191" w:bottom="1134" w:left="1304" w:header="964" w:footer="992" w:gutter="0"/>
          <w:pgNumType w:fmt="numberInDash"/>
          <w:cols w:space="720" w:num="1"/>
          <w:docGrid w:linePitch="312" w:charSpace="0"/>
        </w:sectPr>
      </w:pPr>
    </w:p>
    <w:p>
      <w:pPr>
        <w:pStyle w:val="3"/>
        <w:pageBreakBefore/>
        <w:spacing w:before="0" w:after="0" w:line="360" w:lineRule="auto"/>
        <w:jc w:val="center"/>
        <w:rPr>
          <w:rFonts w:hint="eastAsia" w:ascii="方正小标宋_GBK" w:hAnsi="宋体" w:eastAsia="方正小标宋_GBK"/>
          <w:b w:val="0"/>
          <w:bCs/>
          <w:sz w:val="36"/>
          <w:szCs w:val="30"/>
        </w:rPr>
      </w:pPr>
      <w:bookmarkStart w:id="67" w:name="_Toc76462337"/>
      <w:bookmarkStart w:id="68" w:name="_Toc102227313"/>
      <w:bookmarkStart w:id="69" w:name="_Toc106030892"/>
      <w:r>
        <w:rPr>
          <w:rFonts w:hint="eastAsia" w:ascii="方正小标宋_GBK" w:hAnsi="宋体" w:eastAsia="方正小标宋_GBK"/>
          <w:b w:val="0"/>
          <w:bCs/>
          <w:sz w:val="36"/>
          <w:szCs w:val="30"/>
        </w:rPr>
        <w:t>第五篇  供应商须知</w:t>
      </w:r>
      <w:bookmarkEnd w:id="67"/>
      <w:bookmarkEnd w:id="68"/>
      <w:bookmarkEnd w:id="69"/>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70" w:name="_Toc106030893"/>
      <w:bookmarkStart w:id="71" w:name="_Toc342913389"/>
      <w:bookmarkStart w:id="72" w:name="_Toc76462338"/>
      <w:r>
        <w:rPr>
          <w:rFonts w:hint="eastAsia" w:ascii="方正仿宋_GBK" w:hAnsi="宋体" w:eastAsia="方正仿宋_GBK"/>
          <w:sz w:val="24"/>
        </w:rPr>
        <w:t>一、磋商费用</w:t>
      </w:r>
      <w:bookmarkEnd w:id="70"/>
      <w:bookmarkEnd w:id="71"/>
      <w:bookmarkEnd w:id="72"/>
    </w:p>
    <w:p>
      <w:pPr>
        <w:pStyle w:val="2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参与</w:t>
      </w:r>
      <w:r>
        <w:rPr>
          <w:rFonts w:hint="eastAsia" w:ascii="方正仿宋_GBK" w:eastAsia="方正仿宋_GBK"/>
          <w:sz w:val="24"/>
          <w:szCs w:val="24"/>
        </w:rPr>
        <w:t>磋商</w:t>
      </w:r>
      <w:r>
        <w:rPr>
          <w:rFonts w:hint="eastAsia" w:ascii="方正仿宋_GBK" w:hAnsi="宋体" w:eastAsia="方正仿宋_GBK"/>
          <w:sz w:val="24"/>
          <w:szCs w:val="24"/>
        </w:rPr>
        <w:t>的供应商应承担其编制响应文件与递交响应文件所涉及的一切费用，不论</w:t>
      </w:r>
      <w:r>
        <w:rPr>
          <w:rFonts w:hint="eastAsia" w:ascii="方正仿宋_GBK" w:eastAsia="方正仿宋_GBK"/>
          <w:sz w:val="24"/>
          <w:szCs w:val="24"/>
        </w:rPr>
        <w:t>磋商</w:t>
      </w:r>
      <w:r>
        <w:rPr>
          <w:rFonts w:hint="eastAsia" w:ascii="方正仿宋_GBK" w:hAnsi="宋体" w:eastAsia="方正仿宋_GBK"/>
          <w:sz w:val="24"/>
          <w:szCs w:val="24"/>
        </w:rPr>
        <w:t>结果如何，采购人和采购代理机构在任何情况下无义务也无责任承担这些费用。</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73" w:name="_Toc76462339"/>
      <w:bookmarkStart w:id="74" w:name="_Toc106030894"/>
      <w:bookmarkStart w:id="75" w:name="_Toc342913391"/>
      <w:r>
        <w:rPr>
          <w:rFonts w:hint="eastAsia" w:ascii="方正仿宋_GBK" w:hAnsi="宋体" w:eastAsia="方正仿宋_GBK"/>
          <w:sz w:val="24"/>
        </w:rPr>
        <w:t>二、竞争性磋商文件</w:t>
      </w:r>
      <w:bookmarkEnd w:id="73"/>
      <w:bookmarkEnd w:id="74"/>
      <w:bookmarkEnd w:id="75"/>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（一）竞争性磋商文件由采购邀请书、项目服务需求、供应商须知、项目商务需求、磋商程序及方法、评审标准、无效响应和采购终止、供应商须知</w:t>
      </w:r>
      <w:r>
        <w:rPr>
          <w:rFonts w:hint="eastAsia" w:ascii="方正仿宋_GBK" w:hAnsi="宋体" w:eastAsia="方正仿宋_GBK"/>
          <w:b/>
          <w:sz w:val="24"/>
          <w:szCs w:val="24"/>
        </w:rPr>
        <w:t>、</w:t>
      </w:r>
      <w:r>
        <w:rPr>
          <w:rFonts w:hint="eastAsia" w:ascii="方正仿宋_GBK" w:hAnsi="宋体" w:eastAsia="方正仿宋_GBK"/>
          <w:sz w:val="24"/>
          <w:szCs w:val="24"/>
        </w:rPr>
        <w:t>政府采购合同</w:t>
      </w:r>
      <w:r>
        <w:rPr>
          <w:rFonts w:hint="eastAsia" w:ascii="方正仿宋_GBK" w:hAnsi="宋体" w:eastAsia="方正仿宋_GBK"/>
          <w:b/>
          <w:sz w:val="24"/>
          <w:szCs w:val="24"/>
        </w:rPr>
        <w:t>、</w:t>
      </w:r>
      <w:r>
        <w:rPr>
          <w:rFonts w:hint="eastAsia" w:ascii="方正仿宋_GBK" w:hAnsi="宋体" w:eastAsia="方正仿宋_GBK"/>
          <w:sz w:val="24"/>
          <w:szCs w:val="24"/>
        </w:rPr>
        <w:t>响应文件编制要求七部分组成。</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（二）采购人（或采购代理机构）所作的一切有效的书面通知</w:t>
      </w:r>
      <w:r>
        <w:rPr>
          <w:rFonts w:hint="eastAsia" w:ascii="方正仿宋_GBK" w:hAnsi="宋体" w:eastAsia="方正仿宋_GBK"/>
          <w:sz w:val="24"/>
          <w:szCs w:val="24"/>
          <w:lang w:eastAsia="zh-CN"/>
        </w:rPr>
        <w:t>或公告形式的通知</w:t>
      </w:r>
      <w:r>
        <w:rPr>
          <w:rFonts w:hint="eastAsia" w:ascii="方正仿宋_GBK" w:hAnsi="宋体" w:eastAsia="方正仿宋_GBK"/>
          <w:sz w:val="24"/>
          <w:szCs w:val="24"/>
        </w:rPr>
        <w:t>、修改及补充，都是竞争性磋商文件不可分割的部分。</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（三）竞争性磋商文件的解释</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如对竞争性磋商文件有疑问，必须以书面形式在提交响应文件截止时间3个工作日前向采购代理机构要求澄清，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76" w:name="_Toc318159160"/>
      <w:bookmarkStart w:id="77" w:name="_Toc318166429"/>
      <w:bookmarkStart w:id="78" w:name="_Toc318159780"/>
      <w:bookmarkStart w:id="79" w:name="_Toc318159349"/>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（四）本竞争性磋商文件中，磋商小组根据与供应商进行磋商可能实质性变动的内容为竞争性磋商文件第二、三、六篇全部内容。</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（五）评审的依据为竞争性磋商文件和响应文件（含有效的书面承诺）。磋商小组判断响应文件对竞争性磋商文件的响应，仅基于响应文件本身而不靠外部证据。</w:t>
      </w:r>
    </w:p>
    <w:bookmarkEnd w:id="76"/>
    <w:bookmarkEnd w:id="77"/>
    <w:bookmarkEnd w:id="78"/>
    <w:bookmarkEnd w:id="79"/>
    <w:p>
      <w:pPr>
        <w:pStyle w:val="3"/>
        <w:adjustRightInd w:val="0"/>
        <w:snapToGrid w:val="0"/>
        <w:spacing w:before="0" w:after="0" w:line="400" w:lineRule="exact"/>
        <w:ind w:firstLine="482" w:firstLineChars="200"/>
        <w:rPr>
          <w:rFonts w:hint="eastAsia" w:ascii="方正仿宋_GBK" w:hAnsi="宋体" w:eastAsia="方正仿宋_GBK"/>
          <w:sz w:val="24"/>
        </w:rPr>
      </w:pPr>
      <w:bookmarkStart w:id="80" w:name="_Toc76462340"/>
      <w:bookmarkStart w:id="81" w:name="_Toc106030895"/>
      <w:bookmarkStart w:id="82" w:name="_Toc342913392"/>
      <w:bookmarkStart w:id="83" w:name="_Toc102227318"/>
      <w:bookmarkStart w:id="84" w:name="_Toc179714297"/>
      <w:r>
        <w:rPr>
          <w:rFonts w:hint="eastAsia" w:ascii="方正仿宋_GBK" w:hAnsi="宋体" w:eastAsia="方正仿宋_GBK"/>
          <w:sz w:val="24"/>
        </w:rPr>
        <w:t>三、磋商要求</w:t>
      </w:r>
      <w:bookmarkEnd w:id="80"/>
      <w:bookmarkEnd w:id="81"/>
      <w:bookmarkEnd w:id="82"/>
      <w:bookmarkEnd w:id="83"/>
      <w:bookmarkEnd w:id="84"/>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2.响应文件组成</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（二）联合体</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本项目不接受联合体响应</w:t>
      </w:r>
      <w:r>
        <w:rPr>
          <w:rFonts w:ascii="方正仿宋_GBK" w:hAnsi="宋体" w:eastAsia="方正仿宋_GBK"/>
          <w:sz w:val="24"/>
          <w:szCs w:val="24"/>
        </w:rPr>
        <w:t>。</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（三）磋商有效期：响应文件及有关承诺文件有效期为提交响应文件截止时间起90天。</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（四）修正错误</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1.若供应商所递交的响应文件或最后报价中的价格出现大写金额和小写金额不一致的错误，以大写金额修正为准。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（五）提交响应文件的份数和签署</w:t>
      </w:r>
    </w:p>
    <w:p>
      <w:pPr>
        <w:snapToGrid w:val="0"/>
        <w:spacing w:line="40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1.响应文件一式四份，其中正本一份，副本二份，电子文档一份（电子文档为PDF格式和非PDF格式各一份，且内容应与纸质文件正本一致，如不一致以纸质文件正本为准。推荐采用光盘或U盘为电子文档载体</w:t>
      </w:r>
      <w:r>
        <w:rPr>
          <w:rFonts w:hint="eastAsia" w:ascii="方正仿宋_GBK" w:hAnsi="宋体" w:eastAsia="方正仿宋_GBK"/>
          <w:sz w:val="24"/>
          <w:szCs w:val="24"/>
          <w:highlight w:val="none"/>
          <w:lang w:eastAsia="zh-CN"/>
        </w:rPr>
        <w:t>。</w:t>
      </w:r>
      <w:r>
        <w:rPr>
          <w:rFonts w:eastAsia="方正仿宋_GBK"/>
          <w:b/>
          <w:bCs/>
          <w:sz w:val="24"/>
          <w:highlight w:val="none"/>
        </w:rPr>
        <w:t>电子文档内容不能包含“实施方案”，否则“实施方案”作0分处理</w:t>
      </w:r>
      <w:r>
        <w:rPr>
          <w:rFonts w:eastAsia="方正仿宋_GBK"/>
          <w:bCs/>
          <w:sz w:val="24"/>
          <w:highlight w:val="none"/>
        </w:rPr>
        <w:t>）</w:t>
      </w:r>
      <w:r>
        <w:rPr>
          <w:rFonts w:hint="eastAsia" w:ascii="方正仿宋_GBK" w:hAnsi="宋体" w:eastAsia="方正仿宋_GBK"/>
          <w:sz w:val="24"/>
          <w:szCs w:val="24"/>
          <w:highlight w:val="none"/>
        </w:rPr>
        <w:t>；副本可为正本的复印件，应与正本一致，如出现不一致情况以正本为准。</w:t>
      </w:r>
      <w:r>
        <w:rPr>
          <w:rFonts w:eastAsia="方正仿宋_GBK"/>
          <w:bCs/>
          <w:sz w:val="24"/>
          <w:highlight w:val="none"/>
        </w:rPr>
        <w:t>“实施方案”一式</w:t>
      </w:r>
      <w:r>
        <w:rPr>
          <w:rFonts w:hint="eastAsia" w:eastAsia="方正仿宋_GBK"/>
          <w:bCs/>
          <w:sz w:val="24"/>
          <w:highlight w:val="none"/>
          <w:lang w:val="en-US" w:eastAsia="zh-CN"/>
        </w:rPr>
        <w:t>3</w:t>
      </w:r>
      <w:r>
        <w:rPr>
          <w:rFonts w:eastAsia="方正仿宋_GBK"/>
          <w:bCs/>
          <w:sz w:val="24"/>
          <w:highlight w:val="none"/>
        </w:rPr>
        <w:t>份（不分正副本）</w:t>
      </w:r>
    </w:p>
    <w:p>
      <w:pPr>
        <w:snapToGrid w:val="0"/>
        <w:spacing w:line="400" w:lineRule="exact"/>
        <w:ind w:firstLine="480" w:firstLineChars="200"/>
        <w:rPr>
          <w:rFonts w:hint="eastAsia" w:ascii="方正仿宋_GBK" w:hAnsi="宋体" w:eastAsia="方正仿宋_GBK"/>
          <w:sz w:val="24"/>
          <w:highlight w:val="none"/>
        </w:rPr>
      </w:pPr>
      <w:r>
        <w:rPr>
          <w:rFonts w:hint="eastAsia" w:ascii="方正仿宋_GBK" w:hAnsi="宋体" w:eastAsia="方正仿宋_GBK"/>
          <w:sz w:val="24"/>
          <w:szCs w:val="24"/>
          <w:highlight w:val="none"/>
        </w:rPr>
        <w:t>2.</w:t>
      </w:r>
      <w:r>
        <w:rPr>
          <w:rFonts w:hint="eastAsia" w:ascii="方正仿宋_GBK" w:hAnsi="宋体" w:eastAsia="方正仿宋_GBK"/>
          <w:sz w:val="24"/>
          <w:highlight w:val="none"/>
        </w:rPr>
        <w:t>响应文件按竞争性磋商文件“第七篇响应文件编制要求”要求签署或盖章。</w:t>
      </w:r>
    </w:p>
    <w:p>
      <w:pPr>
        <w:pStyle w:val="2"/>
        <w:ind w:firstLine="480" w:firstLineChars="200"/>
        <w:rPr>
          <w:rFonts w:hint="eastAsia" w:eastAsia="方正仿宋_GBK"/>
          <w:sz w:val="24"/>
          <w:highlight w:val="none"/>
        </w:rPr>
      </w:pPr>
      <w:r>
        <w:rPr>
          <w:rFonts w:hint="eastAsia" w:ascii="方正仿宋_GBK" w:hAnsi="宋体" w:eastAsia="方正仿宋_GBK"/>
          <w:sz w:val="24"/>
          <w:highlight w:val="none"/>
          <w:lang w:val="en-US" w:eastAsia="zh-CN"/>
        </w:rPr>
        <w:t>3.</w:t>
      </w:r>
      <w:r>
        <w:rPr>
          <w:rFonts w:hint="eastAsia" w:eastAsia="方正仿宋_GBK"/>
          <w:sz w:val="24"/>
          <w:highlight w:val="none"/>
        </w:rPr>
        <w:t>本项目“实施方案”采用暗标评审，</w:t>
      </w:r>
      <w:r>
        <w:rPr>
          <w:rFonts w:hint="eastAsia" w:eastAsia="方正仿宋_GBK"/>
          <w:kern w:val="0"/>
          <w:sz w:val="24"/>
          <w:szCs w:val="24"/>
          <w:highlight w:val="none"/>
        </w:rPr>
        <w:t>投标文件</w:t>
      </w:r>
      <w:r>
        <w:rPr>
          <w:rFonts w:eastAsia="方正仿宋_GBK"/>
          <w:kern w:val="0"/>
          <w:sz w:val="24"/>
          <w:szCs w:val="24"/>
          <w:highlight w:val="none"/>
        </w:rPr>
        <w:t>“实施方案”</w:t>
      </w:r>
      <w:r>
        <w:rPr>
          <w:rFonts w:hint="eastAsia" w:eastAsia="方正仿宋_GBK"/>
          <w:kern w:val="0"/>
          <w:sz w:val="24"/>
          <w:szCs w:val="24"/>
          <w:highlight w:val="none"/>
        </w:rPr>
        <w:t>不得更改招标文件规定的具体方案名称</w:t>
      </w:r>
      <w:r>
        <w:rPr>
          <w:rFonts w:hint="eastAsia" w:eastAsia="方正仿宋_GBK"/>
          <w:kern w:val="0"/>
          <w:sz w:val="24"/>
          <w:szCs w:val="24"/>
          <w:highlight w:val="none"/>
          <w:lang w:eastAsia="zh-CN"/>
        </w:rPr>
        <w:t>，</w:t>
      </w:r>
      <w:r>
        <w:rPr>
          <w:rFonts w:hint="eastAsia" w:eastAsia="方正仿宋_GBK"/>
          <w:sz w:val="24"/>
          <w:highlight w:val="none"/>
        </w:rPr>
        <w:t>整个“实施方案”均不得出现可识别</w:t>
      </w:r>
      <w:r>
        <w:rPr>
          <w:rFonts w:hint="eastAsia" w:eastAsia="方正仿宋_GBK"/>
          <w:sz w:val="24"/>
          <w:highlight w:val="none"/>
          <w:lang w:eastAsia="zh-CN"/>
        </w:rPr>
        <w:t>响应供应商</w:t>
      </w:r>
      <w:r>
        <w:rPr>
          <w:rFonts w:hint="eastAsia" w:eastAsia="方正仿宋_GBK"/>
          <w:sz w:val="24"/>
          <w:highlight w:val="none"/>
        </w:rPr>
        <w:t>身份的任何字符、徽标（包括文字、符号、图案、标识、标志、人员姓名、企业名称、以往工程名称、</w:t>
      </w:r>
      <w:r>
        <w:rPr>
          <w:rFonts w:hint="eastAsia" w:eastAsia="方正仿宋_GBK"/>
          <w:sz w:val="24"/>
          <w:highlight w:val="none"/>
          <w:lang w:eastAsia="zh-CN"/>
        </w:rPr>
        <w:t>响应供应商</w:t>
      </w:r>
      <w:r>
        <w:rPr>
          <w:rFonts w:hint="eastAsia" w:eastAsia="方正仿宋_GBK"/>
          <w:sz w:val="24"/>
          <w:highlight w:val="none"/>
        </w:rPr>
        <w:t>独有的标准名称或编号等），也不得出现其他具有标识性作用的符号、图案或对文字进行加粗、加黑、倾斜、加下划线等修饰，须标注页码但不得编制目录、不得使用图片、</w:t>
      </w:r>
      <w:r>
        <w:rPr>
          <w:rFonts w:hint="eastAsia" w:eastAsia="方正仿宋_GBK"/>
          <w:sz w:val="24"/>
          <w:highlight w:val="none"/>
          <w:lang w:eastAsia="zh-CN"/>
        </w:rPr>
        <w:t>表格，</w:t>
      </w:r>
      <w:r>
        <w:rPr>
          <w:rFonts w:hint="eastAsia" w:eastAsia="方正仿宋_GBK"/>
          <w:sz w:val="24"/>
          <w:highlight w:val="none"/>
        </w:rPr>
        <w:t>不得出现与本项目无关的内容、须采用</w:t>
      </w:r>
      <w:r>
        <w:rPr>
          <w:rFonts w:hint="eastAsia" w:eastAsia="方正仿宋_GBK"/>
          <w:sz w:val="24"/>
          <w:highlight w:val="none"/>
          <w:lang w:val="en-US" w:eastAsia="zh-CN"/>
        </w:rPr>
        <w:t>单</w:t>
      </w:r>
      <w:r>
        <w:rPr>
          <w:rFonts w:hint="eastAsia" w:eastAsia="方正仿宋_GBK"/>
          <w:sz w:val="24"/>
          <w:highlight w:val="none"/>
        </w:rPr>
        <w:t>面打印、不得有重页、漏页、残页、倒页、横页、</w:t>
      </w:r>
      <w:r>
        <w:rPr>
          <w:rFonts w:hint="eastAsia" w:eastAsia="方正仿宋_GBK"/>
          <w:sz w:val="24"/>
          <w:highlight w:val="none"/>
          <w:lang w:eastAsia="zh-CN"/>
        </w:rPr>
        <w:t>章节不得重复或缺少、</w:t>
      </w:r>
      <w:r>
        <w:rPr>
          <w:rFonts w:hint="eastAsia" w:eastAsia="方正仿宋_GBK"/>
          <w:sz w:val="24"/>
          <w:highlight w:val="none"/>
        </w:rPr>
        <w:t>同一</w:t>
      </w:r>
      <w:r>
        <w:rPr>
          <w:rFonts w:hint="eastAsia" w:eastAsia="方正仿宋_GBK"/>
          <w:sz w:val="24"/>
          <w:highlight w:val="none"/>
          <w:lang w:eastAsia="zh-CN"/>
        </w:rPr>
        <w:t>层级</w:t>
      </w:r>
      <w:r>
        <w:rPr>
          <w:rFonts w:hint="eastAsia" w:eastAsia="方正仿宋_GBK"/>
          <w:sz w:val="24"/>
          <w:highlight w:val="none"/>
        </w:rPr>
        <w:t>内的序号不得有缺少或重复、不得使用塑料夹条、薄膜外皮等饰物，否则“实施方案”作0分处理。</w:t>
      </w:r>
    </w:p>
    <w:p>
      <w:pPr>
        <w:snapToGrid w:val="0"/>
        <w:spacing w:line="500" w:lineRule="exact"/>
        <w:ind w:firstLine="480" w:firstLineChars="200"/>
        <w:rPr>
          <w:rFonts w:eastAsia="方正仿宋_GBK"/>
          <w:sz w:val="24"/>
          <w:highlight w:val="none"/>
        </w:rPr>
      </w:pPr>
      <w:r>
        <w:rPr>
          <w:rFonts w:hint="eastAsia" w:eastAsia="方正仿宋_GBK"/>
          <w:sz w:val="24"/>
          <w:highlight w:val="none"/>
          <w:lang w:val="en-US" w:eastAsia="zh-CN"/>
        </w:rPr>
        <w:t>4</w:t>
      </w:r>
      <w:r>
        <w:rPr>
          <w:rFonts w:eastAsia="方正仿宋_GBK"/>
          <w:sz w:val="24"/>
          <w:highlight w:val="none"/>
        </w:rPr>
        <w:t>.装订</w:t>
      </w:r>
    </w:p>
    <w:p>
      <w:pPr>
        <w:snapToGrid w:val="0"/>
        <w:spacing w:line="500" w:lineRule="exact"/>
        <w:ind w:firstLine="480" w:firstLineChars="200"/>
        <w:rPr>
          <w:rFonts w:eastAsia="方正仿宋_GBK"/>
          <w:sz w:val="24"/>
          <w:highlight w:val="none"/>
        </w:rPr>
      </w:pPr>
      <w:r>
        <w:rPr>
          <w:rFonts w:hint="eastAsia" w:eastAsia="方正仿宋_GBK"/>
          <w:sz w:val="24"/>
          <w:highlight w:val="none"/>
          <w:lang w:val="en-US" w:eastAsia="zh-CN"/>
        </w:rPr>
        <w:t>4</w:t>
      </w:r>
      <w:r>
        <w:rPr>
          <w:rFonts w:hint="eastAsia" w:eastAsia="方正仿宋_GBK"/>
          <w:sz w:val="24"/>
          <w:highlight w:val="none"/>
        </w:rPr>
        <w:t>.1</w:t>
      </w:r>
      <w:r>
        <w:rPr>
          <w:rFonts w:hint="eastAsia" w:eastAsia="方正仿宋_GBK"/>
          <w:sz w:val="24"/>
          <w:highlight w:val="none"/>
          <w:lang w:val="en-US" w:eastAsia="zh-CN"/>
        </w:rPr>
        <w:t>响应文件</w:t>
      </w:r>
      <w:r>
        <w:rPr>
          <w:rFonts w:eastAsia="方正仿宋_GBK"/>
          <w:sz w:val="24"/>
          <w:highlight w:val="none"/>
        </w:rPr>
        <w:t>的装订要求</w:t>
      </w:r>
    </w:p>
    <w:p>
      <w:pPr>
        <w:snapToGrid w:val="0"/>
        <w:spacing w:line="500" w:lineRule="exact"/>
        <w:ind w:firstLine="480" w:firstLineChars="200"/>
        <w:rPr>
          <w:rFonts w:eastAsia="方正仿宋_GBK"/>
          <w:sz w:val="24"/>
          <w:highlight w:val="none"/>
        </w:rPr>
      </w:pPr>
      <w:r>
        <w:rPr>
          <w:rFonts w:eastAsia="方正仿宋_GBK"/>
          <w:sz w:val="24"/>
          <w:highlight w:val="none"/>
        </w:rPr>
        <w:t>应按照第七章规定内容和格式使用不可拆卸的胶装方式装订成册，装订必须牢固，标注“正本”、“副本”字样，编制目录，并逐页标注页码。</w:t>
      </w:r>
    </w:p>
    <w:p>
      <w:pPr>
        <w:pStyle w:val="2"/>
        <w:ind w:firstLine="480" w:firstLineChars="200"/>
        <w:rPr>
          <w:rFonts w:hint="eastAsia" w:eastAsia="方正仿宋_GBK"/>
          <w:sz w:val="24"/>
          <w:highlight w:val="none"/>
          <w:lang w:val="en-US" w:eastAsia="zh-CN"/>
        </w:rPr>
      </w:pPr>
      <w:r>
        <w:rPr>
          <w:rFonts w:hint="eastAsia" w:eastAsia="方正仿宋_GBK"/>
          <w:sz w:val="24"/>
          <w:highlight w:val="none"/>
          <w:lang w:val="en-US" w:eastAsia="zh-CN"/>
        </w:rPr>
        <w:t>4</w:t>
      </w:r>
      <w:r>
        <w:rPr>
          <w:rFonts w:hint="eastAsia" w:eastAsia="方正仿宋_GBK"/>
          <w:sz w:val="24"/>
          <w:highlight w:val="none"/>
        </w:rPr>
        <w:t>.</w:t>
      </w:r>
      <w:r>
        <w:rPr>
          <w:rFonts w:hint="eastAsia" w:eastAsia="方正仿宋_GBK"/>
          <w:sz w:val="24"/>
          <w:highlight w:val="none"/>
          <w:lang w:val="en-US" w:eastAsia="zh-CN"/>
        </w:rPr>
        <w:t>2实施方案编制要求（违反下列任何一项的，其《实施方案》作0分处理）</w:t>
      </w:r>
    </w:p>
    <w:p>
      <w:pPr>
        <w:pStyle w:val="2"/>
        <w:ind w:firstLine="480" w:firstLineChars="200"/>
        <w:rPr>
          <w:rFonts w:hint="eastAsia" w:eastAsia="方正仿宋_GBK"/>
          <w:sz w:val="24"/>
          <w:highlight w:val="none"/>
          <w:lang w:val="en-US" w:eastAsia="zh-CN"/>
        </w:rPr>
      </w:pPr>
      <w:r>
        <w:rPr>
          <w:rFonts w:hint="eastAsia" w:eastAsia="方正仿宋_GBK"/>
          <w:sz w:val="24"/>
          <w:highlight w:val="none"/>
          <w:lang w:val="en-US" w:eastAsia="zh-CN"/>
        </w:rPr>
        <w:t>4.2.1正文文字部分纸张采用A4白纸，四号仿宋字体；不允许使用彩色打印。</w:t>
      </w:r>
    </w:p>
    <w:p>
      <w:pPr>
        <w:pStyle w:val="2"/>
        <w:ind w:firstLine="480" w:firstLineChars="200"/>
        <w:rPr>
          <w:rFonts w:hint="eastAsia" w:eastAsia="方正仿宋_GBK"/>
          <w:sz w:val="24"/>
          <w:highlight w:val="none"/>
          <w:lang w:val="en-US" w:eastAsia="zh-CN"/>
        </w:rPr>
      </w:pPr>
      <w:r>
        <w:rPr>
          <w:rFonts w:hint="eastAsia" w:eastAsia="方正仿宋_GBK"/>
          <w:sz w:val="24"/>
          <w:highlight w:val="none"/>
          <w:lang w:val="en-US" w:eastAsia="zh-CN"/>
        </w:rPr>
        <w:t>4.2.2不允许出现页眉，页脚仅允许采用阿拉伯数字居中标注页码，四号仿宋字体，从正文开始编制页码，页码应当连续，不得跳页或重复。</w:t>
      </w:r>
    </w:p>
    <w:p>
      <w:pPr>
        <w:pStyle w:val="2"/>
        <w:ind w:firstLine="480" w:firstLineChars="200"/>
        <w:rPr>
          <w:rFonts w:hint="eastAsia" w:eastAsia="方正仿宋_GBK"/>
          <w:sz w:val="24"/>
          <w:highlight w:val="none"/>
          <w:lang w:val="en-US" w:eastAsia="zh-CN"/>
        </w:rPr>
      </w:pPr>
      <w:r>
        <w:rPr>
          <w:rFonts w:hint="eastAsia" w:eastAsia="方正仿宋_GBK"/>
          <w:sz w:val="24"/>
          <w:highlight w:val="none"/>
          <w:lang w:val="en-US" w:eastAsia="zh-CN"/>
        </w:rPr>
        <w:t>4.2.3所用纸张不得有花纹(包括暗纹)。</w:t>
      </w:r>
    </w:p>
    <w:p>
      <w:pPr>
        <w:pStyle w:val="2"/>
        <w:ind w:firstLine="480" w:firstLineChars="200"/>
        <w:rPr>
          <w:rFonts w:hint="eastAsia" w:ascii="Times New Roman" w:hAnsi="Times New Roman" w:eastAsia="方正仿宋_GBK" w:cs="Times New Roman"/>
          <w:kern w:val="0"/>
          <w:sz w:val="24"/>
          <w:szCs w:val="24"/>
          <w:highlight w:val="none"/>
          <w:lang w:val="en-US" w:eastAsia="zh-CN" w:bidi="ar-SA"/>
        </w:rPr>
      </w:pPr>
      <w:r>
        <w:rPr>
          <w:rFonts w:hint="eastAsia" w:eastAsia="方正仿宋_GBK"/>
          <w:sz w:val="24"/>
          <w:highlight w:val="none"/>
          <w:lang w:val="en-US" w:eastAsia="zh-CN"/>
        </w:rPr>
        <w:t>4.2.4内容采用单面打印，不得超过200页</w:t>
      </w:r>
      <w:r>
        <w:rPr>
          <w:rFonts w:hint="eastAsia" w:ascii="Times New Roman" w:hAnsi="Times New Roman" w:eastAsia="方正仿宋_GBK" w:cs="Times New Roman"/>
          <w:kern w:val="0"/>
          <w:sz w:val="24"/>
          <w:szCs w:val="24"/>
          <w:highlight w:val="none"/>
          <w:lang w:val="en-US" w:eastAsia="zh-CN" w:bidi="ar-SA"/>
        </w:rPr>
        <w:t>。</w:t>
      </w:r>
    </w:p>
    <w:p>
      <w:pPr>
        <w:snapToGrid w:val="0"/>
        <w:spacing w:line="40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（六）响应文件的递交</w:t>
      </w:r>
    </w:p>
    <w:p>
      <w:pPr>
        <w:pStyle w:val="6"/>
        <w:spacing w:line="400" w:lineRule="exact"/>
        <w:ind w:firstLine="480" w:firstLineChars="200"/>
        <w:rPr>
          <w:rFonts w:hint="eastAsia" w:ascii="方正仿宋_GBK" w:hAnsi="宋体" w:eastAsia="方正仿宋_GBK"/>
          <w:sz w:val="24"/>
          <w:highlight w:val="none"/>
        </w:rPr>
      </w:pPr>
      <w:r>
        <w:rPr>
          <w:rFonts w:hint="eastAsia" w:ascii="方正仿宋_GBK" w:hAnsi="宋体" w:eastAsia="方正仿宋_GBK"/>
          <w:sz w:val="24"/>
          <w:highlight w:val="none"/>
        </w:rPr>
        <w:t>响应文件的正本、副本</w:t>
      </w:r>
      <w:r>
        <w:rPr>
          <w:rFonts w:hint="eastAsia" w:ascii="方正仿宋_GBK" w:hAnsi="宋体" w:eastAsia="方正仿宋_GBK"/>
          <w:sz w:val="24"/>
          <w:highlight w:val="none"/>
          <w:lang w:eastAsia="zh-CN"/>
        </w:rPr>
        <w:t>、</w:t>
      </w:r>
      <w:r>
        <w:rPr>
          <w:rFonts w:hint="eastAsia" w:ascii="方正仿宋_GBK" w:hAnsi="宋体" w:eastAsia="方正仿宋_GBK"/>
          <w:sz w:val="24"/>
          <w:highlight w:val="none"/>
          <w:lang w:val="en-US" w:eastAsia="zh-CN"/>
        </w:rPr>
        <w:t>实施方案</w:t>
      </w:r>
      <w:r>
        <w:rPr>
          <w:rFonts w:hint="eastAsia" w:ascii="方正仿宋_GBK" w:hAnsi="宋体" w:eastAsia="方正仿宋_GBK"/>
          <w:sz w:val="24"/>
          <w:highlight w:val="none"/>
        </w:rPr>
        <w:t>以及电子文档均应密封送达磋商地点，应在封套上注明磋商项目名称、供应商名称。若正本、副本以及电子文档分别进行密封的，还应在封套上注明“正本”、“副本”、“电子文档”</w:t>
      </w:r>
      <w:r>
        <w:rPr>
          <w:rFonts w:hint="eastAsia" w:ascii="方正仿宋_GBK" w:hAnsi="宋体" w:eastAsia="方正仿宋_GBK"/>
          <w:sz w:val="24"/>
          <w:highlight w:val="none"/>
          <w:lang w:eastAsia="zh-CN"/>
        </w:rPr>
        <w:t>“</w:t>
      </w:r>
      <w:r>
        <w:rPr>
          <w:rFonts w:hint="eastAsia" w:ascii="方正仿宋_GBK" w:hAnsi="宋体" w:eastAsia="方正仿宋_GBK"/>
          <w:sz w:val="24"/>
          <w:highlight w:val="none"/>
          <w:lang w:val="en-US" w:eastAsia="zh-CN"/>
        </w:rPr>
        <w:t>实施方案</w:t>
      </w:r>
      <w:r>
        <w:rPr>
          <w:rFonts w:hint="eastAsia" w:ascii="方正仿宋_GBK" w:hAnsi="宋体" w:eastAsia="方正仿宋_GBK"/>
          <w:sz w:val="24"/>
          <w:highlight w:val="none"/>
          <w:lang w:eastAsia="zh-CN"/>
        </w:rPr>
        <w:t>”</w:t>
      </w:r>
      <w:r>
        <w:rPr>
          <w:rFonts w:hint="eastAsia" w:ascii="方正仿宋_GBK" w:hAnsi="宋体" w:eastAsia="方正仿宋_GBK"/>
          <w:sz w:val="24"/>
          <w:highlight w:val="none"/>
        </w:rPr>
        <w:t>字样。</w:t>
      </w:r>
    </w:p>
    <w:p>
      <w:pPr>
        <w:snapToGrid w:val="0"/>
        <w:spacing w:line="40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（七）供应商参与人员</w:t>
      </w:r>
    </w:p>
    <w:p>
      <w:pPr>
        <w:snapToGrid w:val="0"/>
        <w:spacing w:line="40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各个供应商应当派1-2名代表参与磋商，至少1人应为法定代表人（或其授权代表）或自然人（供应商为自然人）。</w:t>
      </w:r>
    </w:p>
    <w:p>
      <w:pPr>
        <w:pStyle w:val="3"/>
        <w:adjustRightInd w:val="0"/>
        <w:snapToGrid w:val="0"/>
        <w:spacing w:before="0" w:after="0" w:line="400" w:lineRule="exact"/>
        <w:ind w:firstLine="482" w:firstLineChars="200"/>
        <w:rPr>
          <w:rFonts w:hint="eastAsia" w:ascii="方正仿宋_GBK" w:hAnsi="宋体" w:eastAsia="方正仿宋_GBK"/>
          <w:sz w:val="24"/>
          <w:highlight w:val="none"/>
        </w:rPr>
      </w:pPr>
      <w:bookmarkStart w:id="85" w:name="_Toc76462341"/>
      <w:bookmarkStart w:id="86" w:name="_Toc106030896"/>
      <w:r>
        <w:rPr>
          <w:rFonts w:hint="eastAsia" w:ascii="方正仿宋_GBK" w:hAnsi="宋体" w:eastAsia="方正仿宋_GBK"/>
          <w:sz w:val="24"/>
          <w:highlight w:val="none"/>
        </w:rPr>
        <w:t>四、成交供应商的确认和变更</w:t>
      </w:r>
      <w:bookmarkEnd w:id="85"/>
      <w:bookmarkEnd w:id="86"/>
    </w:p>
    <w:p>
      <w:pPr>
        <w:snapToGrid w:val="0"/>
        <w:spacing w:line="400" w:lineRule="exact"/>
        <w:ind w:firstLine="480" w:firstLineChars="200"/>
        <w:outlineLvl w:val="2"/>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（一）成交供应商的确认</w:t>
      </w:r>
    </w:p>
    <w:p>
      <w:pPr>
        <w:snapToGrid w:val="0"/>
        <w:spacing w:line="400" w:lineRule="exact"/>
        <w:ind w:firstLine="480" w:firstLineChars="200"/>
        <w:rPr>
          <w:rFonts w:hint="eastAsia" w:ascii="方正仿宋_GBK" w:hAnsi="宋体" w:eastAsia="方正仿宋_GBK"/>
          <w:sz w:val="24"/>
          <w:szCs w:val="24"/>
          <w:highlight w:val="none"/>
        </w:rPr>
      </w:pPr>
      <w:r>
        <w:rPr>
          <w:rFonts w:ascii="方正仿宋_GBK" w:hAnsi="宋体" w:eastAsia="方正仿宋_GBK"/>
          <w:sz w:val="24"/>
          <w:szCs w:val="24"/>
          <w:highlight w:val="none"/>
        </w:rPr>
        <w:t>采购代理机构应当在评审结束后2个工作日内将评审报告送采购人确认。采购人应当在收到评审报告后5个工作日内</w:t>
      </w:r>
      <w:r>
        <w:rPr>
          <w:rFonts w:hint="eastAsia" w:ascii="方正仿宋_GBK" w:hAnsi="宋体" w:eastAsia="方正仿宋_GBK"/>
          <w:sz w:val="24"/>
          <w:szCs w:val="24"/>
          <w:highlight w:val="none"/>
        </w:rPr>
        <w:t>，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400" w:lineRule="exact"/>
        <w:ind w:firstLine="480" w:firstLineChars="200"/>
        <w:outlineLvl w:val="2"/>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（二）成交供应商的变更</w:t>
      </w:r>
    </w:p>
    <w:p>
      <w:pPr>
        <w:snapToGrid w:val="0"/>
        <w:spacing w:line="400" w:lineRule="exact"/>
        <w:ind w:firstLine="480" w:firstLineChars="200"/>
        <w:rPr>
          <w:rFonts w:hint="eastAsia" w:ascii="方正仿宋_GBK" w:hAnsi="宋体" w:eastAsia="方正仿宋_GBK"/>
          <w:sz w:val="24"/>
          <w:szCs w:val="24"/>
          <w:highlight w:val="none"/>
        </w:rPr>
      </w:pPr>
      <w:r>
        <w:rPr>
          <w:rFonts w:hint="eastAsia" w:ascii="方正仿宋_GBK" w:eastAsia="方正仿宋_GBK"/>
          <w:sz w:val="24"/>
          <w:highlight w:val="none"/>
        </w:rPr>
        <w:t>成交供应商拒绝与采购人签订合同的，采购人可以按照评标报告推荐的成交候选供应商顺序，确定排名下一位的候选人为成交供应商，也可以重新开展政府采购活动。</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87" w:name="_Toc102227321"/>
      <w:bookmarkStart w:id="88" w:name="_Toc342913395"/>
      <w:bookmarkStart w:id="89" w:name="_Toc106030897"/>
      <w:bookmarkStart w:id="90" w:name="_Toc76462342"/>
      <w:r>
        <w:rPr>
          <w:rFonts w:hint="eastAsia" w:ascii="方正仿宋_GBK" w:hAnsi="宋体" w:eastAsia="方正仿宋_GBK"/>
          <w:sz w:val="24"/>
        </w:rPr>
        <w:t>五、成交通知</w:t>
      </w:r>
      <w:bookmarkEnd w:id="87"/>
      <w:bookmarkEnd w:id="88"/>
      <w:bookmarkEnd w:id="89"/>
      <w:bookmarkEnd w:id="90"/>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（一）成交供应商确定后，采购代理机构将在重庆市政府采购网（</w:t>
      </w:r>
      <w:r>
        <w:rPr>
          <w:rFonts w:hint="eastAsia" w:ascii="方正仿宋_GBK" w:hAnsi="宋体" w:eastAsia="方正仿宋_GBK"/>
          <w:sz w:val="24"/>
          <w:szCs w:val="24"/>
        </w:rPr>
        <w:fldChar w:fldCharType="begin"/>
      </w:r>
      <w:r>
        <w:rPr>
          <w:rFonts w:hint="eastAsia" w:ascii="方正仿宋_GBK" w:hAnsi="宋体" w:eastAsia="方正仿宋_GBK"/>
          <w:sz w:val="24"/>
          <w:szCs w:val="24"/>
        </w:rPr>
        <w:instrText xml:space="preserve"> HYPERLINK "http://www.cqgp.gov.cn" </w:instrText>
      </w:r>
      <w:r>
        <w:rPr>
          <w:rFonts w:hint="eastAsia" w:ascii="方正仿宋_GBK" w:hAnsi="宋体" w:eastAsia="方正仿宋_GBK"/>
          <w:sz w:val="24"/>
          <w:szCs w:val="24"/>
        </w:rPr>
        <w:fldChar w:fldCharType="separate"/>
      </w:r>
      <w:r>
        <w:rPr>
          <w:rFonts w:hint="eastAsia" w:ascii="方正仿宋_GBK" w:hAnsi="宋体" w:eastAsia="方正仿宋_GBK"/>
          <w:sz w:val="24"/>
          <w:szCs w:val="24"/>
        </w:rPr>
        <w:t>www.ccgp-chongqing.gov.cn</w:t>
      </w:r>
      <w:r>
        <w:rPr>
          <w:rFonts w:hint="eastAsia" w:ascii="方正仿宋_GBK" w:hAnsi="宋体" w:eastAsia="方正仿宋_GBK"/>
          <w:sz w:val="24"/>
          <w:szCs w:val="24"/>
        </w:rPr>
        <w:fldChar w:fldCharType="end"/>
      </w:r>
      <w:r>
        <w:rPr>
          <w:rFonts w:hint="eastAsia" w:ascii="方正仿宋_GBK" w:hAnsi="宋体" w:eastAsia="方正仿宋_GBK"/>
          <w:sz w:val="24"/>
          <w:szCs w:val="24"/>
        </w:rPr>
        <w:t>）上发布成交结果公告。</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（二）结果公告发出同时，采购代理机构将以书面形式发出《成交通知书》。《成交通知书》一经发出即发生法律效力。</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（三）《成交通知书》将作为签订合同的依据。</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91" w:name="_Toc106030898"/>
      <w:bookmarkStart w:id="92" w:name="_Toc76462343"/>
      <w:r>
        <w:rPr>
          <w:rFonts w:hint="eastAsia" w:ascii="方正仿宋_GBK" w:hAnsi="宋体" w:eastAsia="方正仿宋_GBK"/>
          <w:sz w:val="24"/>
        </w:rPr>
        <w:t>六、关于质疑和投诉</w:t>
      </w:r>
      <w:bookmarkEnd w:id="91"/>
      <w:bookmarkEnd w:id="92"/>
    </w:p>
    <w:p>
      <w:pPr>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（一）质疑</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供应商认为采购文件、采购过程和成交结果使自己的权益收到伤害的，可</w:t>
      </w:r>
      <w:r>
        <w:rPr>
          <w:rFonts w:hint="eastAsia" w:ascii="方正仿宋_GBK" w:hAnsi="宋体" w:eastAsia="方正仿宋_GBK"/>
          <w:sz w:val="24"/>
          <w:szCs w:val="24"/>
          <w:lang w:eastAsia="zh-CN"/>
        </w:rPr>
        <w:t>向</w:t>
      </w:r>
      <w:r>
        <w:rPr>
          <w:rFonts w:hint="eastAsia" w:ascii="方正仿宋_GBK" w:hAnsi="宋体" w:eastAsia="方正仿宋_GBK"/>
          <w:sz w:val="24"/>
          <w:szCs w:val="24"/>
        </w:rPr>
        <w:t>采购代理机构以书面形式提出质疑。</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提出质疑的应当是参与所质疑项目采购活动的供应商。 </w:t>
      </w:r>
    </w:p>
    <w:p>
      <w:pPr>
        <w:spacing w:line="400" w:lineRule="exact"/>
        <w:ind w:right="12" w:firstLine="480"/>
        <w:outlineLvl w:val="2"/>
        <w:rPr>
          <w:rFonts w:ascii="方正仿宋_GBK" w:hAnsi="仿宋" w:eastAsia="方正仿宋_GBK" w:cs="仿宋"/>
          <w:sz w:val="24"/>
        </w:rPr>
      </w:pPr>
      <w:r>
        <w:rPr>
          <w:rFonts w:hint="eastAsia" w:ascii="方正仿宋_GBK" w:hAnsi="仿宋" w:eastAsia="方正仿宋_GBK" w:cs="仿宋"/>
          <w:sz w:val="24"/>
        </w:rPr>
        <w:t>1.质疑时限、内容</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供应商认为采购文件、采购过程、成交结果使自己的权益受到损害的，可以在知道或者应知其权益受到损害之日起7个工作日内，以书面形式向采购人、采购代理机构提出质疑。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1.2供应商提出质疑应当提交质疑函和必要的证明材料，质疑函应当包括下列内容：</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1.2.1供应商的姓名或者名称、地址、邮编、联系人及联系电话；</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1.2.2质疑项目的名称、项目号以及采购执行编号；</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1.2.3具体、明确的质疑事项和与质疑事项相关的请求；</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1.2.4事实依据；</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1.2.5必要的法律依据；</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1.2.6提出质疑的日期；</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1.2.7营业执照（或事业单位法人证书，或个体工商户营业执照或有效的自然人身份证明）复印件；</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1.2.8法定代表人授权委托书原件、法定代表人身份证复印件和其授权代表的身份证复印件（供应商为自然人的提供自然人身份证复印件）；</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outlineLvl w:val="2"/>
        <w:rPr>
          <w:rFonts w:ascii="方正仿宋_GBK" w:hAnsi="仿宋" w:eastAsia="方正仿宋_GBK" w:cs="仿宋"/>
          <w:sz w:val="24"/>
        </w:rPr>
      </w:pPr>
      <w:r>
        <w:rPr>
          <w:rFonts w:hint="eastAsia" w:ascii="方正仿宋_GBK" w:hAnsi="仿宋" w:eastAsia="方正仿宋_GBK" w:cs="仿宋"/>
          <w:sz w:val="24"/>
        </w:rPr>
        <w:t>2.质疑答复</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采购人、采购代理机构应当在收到供应商的书面质疑后七个工作日内作出答复，并以书面形式通知质疑供应商和其他有关供应商。</w:t>
      </w:r>
    </w:p>
    <w:p>
      <w:pPr>
        <w:spacing w:line="400" w:lineRule="exact"/>
        <w:ind w:right="12" w:firstLine="480"/>
        <w:outlineLvl w:val="2"/>
        <w:rPr>
          <w:rFonts w:ascii="方正仿宋_GBK" w:hAnsi="仿宋" w:eastAsia="方正仿宋_GBK" w:cs="仿宋"/>
          <w:sz w:val="24"/>
        </w:rPr>
      </w:pPr>
      <w:r>
        <w:rPr>
          <w:rFonts w:hint="eastAsia" w:ascii="方正仿宋_GBK" w:hAnsi="仿宋" w:eastAsia="方正仿宋_GBK" w:cs="仿宋"/>
          <w:sz w:val="24"/>
        </w:rPr>
        <w:t>3.其他</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3.1供应商应按照《政府采购质疑和投诉办法》（财政部令第94号）及相关法律法规要求，在法定质疑期内一次性提出针对同一采购程序环节的质疑。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3.2质疑函范本可在财政部门户网站和中国政府采购网下载。</w:t>
      </w:r>
    </w:p>
    <w:p>
      <w:pPr>
        <w:spacing w:line="400" w:lineRule="exact"/>
        <w:ind w:right="12" w:firstLine="480"/>
        <w:outlineLvl w:val="2"/>
        <w:rPr>
          <w:rFonts w:ascii="方正仿宋_GBK" w:hAnsi="仿宋" w:eastAsia="方正仿宋_GBK" w:cs="仿宋"/>
          <w:sz w:val="24"/>
        </w:rPr>
      </w:pPr>
      <w:r>
        <w:rPr>
          <w:rFonts w:hint="eastAsia" w:ascii="方正仿宋_GBK" w:hAnsi="仿宋" w:eastAsia="方正仿宋_GBK" w:cs="仿宋"/>
          <w:sz w:val="24"/>
        </w:rPr>
        <w:t>（二）投诉</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1.供应商对采购人、采购代理机构的答复不满意，或者采购人、采购代理机构未在规定时间内作出答复的，可以在答复期满后15个工作日内按照相关法律法规向财政部门提起投诉。</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2.供应商应按照《政府采购质疑和投诉办法》（财政部令第94号）及相关法律法规要求递交投诉书和必要的证明材料。投诉书范本可在财政部门户网站和中国政府采购网下载。</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480" w:firstLineChars="200"/>
        <w:rPr>
          <w:rFonts w:hint="eastAsia" w:ascii="方正仿宋_GBK" w:hAnsi="宋体" w:eastAsia="方正仿宋_GBK"/>
          <w:sz w:val="24"/>
          <w:szCs w:val="24"/>
        </w:rPr>
      </w:pPr>
      <w:r>
        <w:rPr>
          <w:rFonts w:hint="eastAsia" w:ascii="方正仿宋_GBK" w:hAnsi="仿宋" w:eastAsia="方正仿宋_GBK" w:cs="仿宋"/>
          <w:sz w:val="24"/>
        </w:rPr>
        <w:t>4.在确定受理投诉后，财政部门自受理投诉之日起30个工作日内（需要检验、检测、鉴定、专家评审以及需要投诉人补正材料的，所需时间不计算在投诉处理期限内）对投诉事项做出处理决定。</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93" w:name="_Toc76462344"/>
      <w:bookmarkStart w:id="94" w:name="_Toc106030899"/>
      <w:r>
        <w:rPr>
          <w:rFonts w:hint="eastAsia" w:ascii="方正仿宋_GBK" w:hAnsi="宋体" w:eastAsia="方正仿宋_GBK"/>
          <w:sz w:val="24"/>
        </w:rPr>
        <w:t>七、</w:t>
      </w:r>
      <w:bookmarkStart w:id="95" w:name="_Toc102227322"/>
      <w:bookmarkStart w:id="96" w:name="_Toc342913396"/>
      <w:bookmarkStart w:id="97" w:name="_Toc76462346"/>
      <w:bookmarkStart w:id="98" w:name="_Toc106030901"/>
      <w:bookmarkStart w:id="99" w:name="_Toc12789059"/>
      <w:bookmarkStart w:id="100" w:name="_Toc11641055"/>
      <w:bookmarkEnd w:id="93"/>
      <w:bookmarkEnd w:id="94"/>
      <w:r>
        <w:rPr>
          <w:rFonts w:hint="eastAsia" w:ascii="方正仿宋_GBK" w:hAnsi="宋体" w:eastAsia="方正仿宋_GBK"/>
          <w:sz w:val="24"/>
        </w:rPr>
        <w:t>签订</w:t>
      </w:r>
      <w:bookmarkEnd w:id="95"/>
      <w:r>
        <w:rPr>
          <w:rFonts w:hint="eastAsia" w:ascii="方正仿宋_GBK" w:hAnsi="宋体" w:eastAsia="方正仿宋_GBK"/>
          <w:sz w:val="24"/>
        </w:rPr>
        <w:t>合同</w:t>
      </w:r>
      <w:bookmarkEnd w:id="96"/>
      <w:bookmarkEnd w:id="97"/>
      <w:bookmarkEnd w:id="98"/>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方正仿宋_GBK" w:eastAsia="方正仿宋_GBK"/>
          <w:sz w:val="24"/>
        </w:rPr>
        <w:t>采购人原则上应在成交通知书发出之日起二十日内和成交供应商签订政府采购合同，无正当理由不得拒绝或拖延合同签订</w:t>
      </w:r>
      <w:r>
        <w:rPr>
          <w:rFonts w:hint="eastAsia" w:ascii="方正仿宋_GBK" w:hAnsi="宋体" w:eastAsia="方正仿宋_GBK"/>
          <w:sz w:val="24"/>
          <w:szCs w:val="24"/>
        </w:rPr>
        <w:t>。所签订的合同不得对竞争性磋商文件和供应商的响应文件作实质性修改。其他未尽事宜由采购人和成交供应商在采购合同中详细约定。</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rPr>
        <w:t>采购人应当自合同签订之日起7个工作日内，在“政府采购业务管理系统”进行合同登记备案；2个工作日内按相关管理要求在重庆市政府采购网上公告政府采购合同，但政府采购合同中涉及国家秘密、商业秘密的内容除外。未按要求公告及备案的，应当及时进行补充公告及备案。</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（三）竞争性磋商文件、供应商的响应文件及澄清文件等，均为签订政府采购合同的依据。</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（四）合同生效条款由供需双方约定，法律、行政法规规定应当办理批准、登记等手续后生效的合同，依照其规定。</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（五）合同原则上应按照《重庆市政府采购合同》签订，相关单位要求适用合同通用格式版本的，应按其要求另行签订其他合同。</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（六）采购人要求成交供应商提供履约保证金的，应当在竞争性磋商文件中予以约定。成交供应商履约完毕后，采购人根据采购文件规定无息退还其履约保证金。</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101" w:name="_Toc106030902"/>
      <w:r>
        <w:rPr>
          <w:rFonts w:hint="eastAsia" w:ascii="方正仿宋_GBK" w:hAnsi="宋体" w:eastAsia="方正仿宋_GBK"/>
          <w:sz w:val="24"/>
          <w:lang w:eastAsia="zh-CN"/>
        </w:rPr>
        <w:t>八</w:t>
      </w:r>
      <w:r>
        <w:rPr>
          <w:rFonts w:hint="eastAsia" w:ascii="方正仿宋_GBK" w:hAnsi="宋体" w:eastAsia="方正仿宋_GBK"/>
          <w:sz w:val="24"/>
        </w:rPr>
        <w:t>、项目验收</w:t>
      </w:r>
      <w:bookmarkEnd w:id="101"/>
    </w:p>
    <w:p>
      <w:pPr>
        <w:spacing w:line="400" w:lineRule="exact"/>
        <w:ind w:firstLine="480" w:firstLineChars="200"/>
        <w:rPr>
          <w:rFonts w:hint="eastAsia" w:ascii="方正仿宋_GBK" w:hAnsi="宋体" w:eastAsia="方正仿宋_GBK"/>
          <w:sz w:val="24"/>
          <w:szCs w:val="24"/>
        </w:rPr>
      </w:pPr>
      <w:r>
        <w:rPr>
          <w:rFonts w:hint="eastAsia" w:ascii="方正仿宋_GBK" w:hAnsi="方正仿宋_GBK" w:eastAsia="方正仿宋_GBK"/>
          <w:sz w:val="24"/>
        </w:rPr>
        <w:t>合同执行完毕，采购人原则上应在7个工作日内组织履约情况验收，不得无故拖延或附加额外条件。</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102" w:name="_Toc106030903"/>
      <w:bookmarkStart w:id="103" w:name="_Toc76462347"/>
      <w:bookmarkStart w:id="104" w:name="_Toc14780"/>
      <w:r>
        <w:rPr>
          <w:rFonts w:hint="eastAsia" w:ascii="方正仿宋_GBK" w:hAnsi="宋体" w:eastAsia="方正仿宋_GBK"/>
          <w:sz w:val="24"/>
          <w:lang w:eastAsia="zh-CN"/>
        </w:rPr>
        <w:t>九</w:t>
      </w:r>
      <w:r>
        <w:rPr>
          <w:rFonts w:hint="eastAsia" w:ascii="方正仿宋_GBK" w:hAnsi="宋体" w:eastAsia="方正仿宋_GBK"/>
          <w:sz w:val="24"/>
        </w:rPr>
        <w:t>、政府采购信用融资</w:t>
      </w:r>
      <w:bookmarkEnd w:id="102"/>
      <w:bookmarkEnd w:id="103"/>
      <w:bookmarkEnd w:id="104"/>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3"/>
        <w:spacing w:before="0" w:after="0" w:line="360" w:lineRule="auto"/>
        <w:jc w:val="center"/>
        <w:rPr>
          <w:rFonts w:hint="eastAsia" w:ascii="方正小标宋_GBK" w:hAnsi="宋体" w:eastAsia="方正小标宋_GBK"/>
          <w:b w:val="0"/>
          <w:sz w:val="36"/>
          <w:szCs w:val="30"/>
        </w:rPr>
      </w:pPr>
      <w:r>
        <w:rPr>
          <w:rFonts w:ascii="宋体" w:hAnsi="宋体" w:eastAsia="宋体"/>
          <w:sz w:val="36"/>
          <w:szCs w:val="30"/>
        </w:rPr>
        <w:br w:type="page"/>
      </w:r>
      <w:bookmarkStart w:id="105" w:name="_Toc76462348"/>
      <w:bookmarkStart w:id="106" w:name="_Toc106030904"/>
      <w:r>
        <w:rPr>
          <w:rFonts w:hint="eastAsia" w:ascii="方正小标宋_GBK" w:hAnsi="宋体" w:eastAsia="方正小标宋_GBK"/>
          <w:b w:val="0"/>
          <w:sz w:val="36"/>
          <w:szCs w:val="30"/>
        </w:rPr>
        <w:t xml:space="preserve">第六篇  </w:t>
      </w:r>
      <w:bookmarkEnd w:id="99"/>
      <w:bookmarkEnd w:id="100"/>
      <w:r>
        <w:rPr>
          <w:rFonts w:hint="eastAsia" w:ascii="方正小标宋_GBK" w:hAnsi="宋体" w:eastAsia="方正小标宋_GBK"/>
          <w:b w:val="0"/>
          <w:sz w:val="36"/>
          <w:szCs w:val="30"/>
        </w:rPr>
        <w:t>政府采购合同</w:t>
      </w:r>
      <w:bookmarkEnd w:id="105"/>
      <w:bookmarkEnd w:id="106"/>
    </w:p>
    <w:p>
      <w:pPr>
        <w:spacing w:line="500" w:lineRule="exact"/>
        <w:jc w:val="center"/>
        <w:rPr>
          <w:rFonts w:hint="eastAsia" w:ascii="方正仿宋_GBK" w:eastAsia="方正仿宋_GBK"/>
          <w:b/>
          <w:sz w:val="44"/>
        </w:rPr>
      </w:pPr>
      <w:r>
        <w:rPr>
          <w:rFonts w:hint="eastAsia" w:ascii="方正仿宋_GBK" w:eastAsia="方正仿宋_GBK"/>
          <w:b/>
          <w:sz w:val="44"/>
        </w:rPr>
        <w:t>重庆市政府采购合同</w:t>
      </w:r>
    </w:p>
    <w:p>
      <w:pPr>
        <w:spacing w:line="500" w:lineRule="exact"/>
        <w:jc w:val="center"/>
        <w:rPr>
          <w:rFonts w:hint="eastAsia" w:ascii="方正仿宋_GBK" w:eastAsia="方正仿宋_GBK"/>
        </w:rPr>
      </w:pPr>
      <w:r>
        <w:rPr>
          <w:rFonts w:hint="eastAsia" w:ascii="方正仿宋_GBK" w:eastAsia="方正仿宋_GBK"/>
        </w:rPr>
        <w:t>（项目号：     ）</w:t>
      </w:r>
    </w:p>
    <w:p>
      <w:pPr>
        <w:spacing w:line="500" w:lineRule="exact"/>
        <w:rPr>
          <w:rFonts w:hint="eastAsia" w:ascii="方正仿宋_GBK" w:eastAsia="方正仿宋_GBK"/>
          <w:sz w:val="24"/>
        </w:rPr>
      </w:pPr>
      <w:r>
        <w:rPr>
          <w:rFonts w:hint="eastAsia" w:ascii="方正仿宋_GBK" w:eastAsia="方正仿宋_GBK"/>
          <w:sz w:val="24"/>
        </w:rPr>
        <w:t>甲方（需方）：___________________________      计价单位：____________</w:t>
      </w:r>
    </w:p>
    <w:p>
      <w:pPr>
        <w:spacing w:line="500" w:lineRule="exact"/>
        <w:rPr>
          <w:rFonts w:hint="eastAsia" w:ascii="方正仿宋_GBK" w:eastAsia="方正仿宋_GBK"/>
          <w:sz w:val="24"/>
        </w:rPr>
      </w:pPr>
      <w:r>
        <w:rPr>
          <w:rFonts w:hint="eastAsia" w:ascii="方正仿宋_GBK" w:eastAsia="方正仿宋_GBK"/>
          <w:sz w:val="24"/>
        </w:rPr>
        <w:t>乙方（供方）：___________________________      计量单位：_____________</w:t>
      </w:r>
    </w:p>
    <w:p>
      <w:pPr>
        <w:spacing w:line="500" w:lineRule="exact"/>
        <w:rPr>
          <w:rFonts w:hint="eastAsia" w:ascii="方正仿宋_GBK" w:eastAsia="方正仿宋_GBK"/>
          <w:sz w:val="24"/>
        </w:rPr>
      </w:pPr>
    </w:p>
    <w:p>
      <w:pPr>
        <w:spacing w:line="500" w:lineRule="exact"/>
        <w:rPr>
          <w:rFonts w:hint="eastAsia" w:ascii="方正仿宋_GBK" w:eastAsia="方正仿宋_GBK"/>
          <w:sz w:val="24"/>
        </w:rPr>
      </w:pPr>
      <w:r>
        <w:rPr>
          <w:rFonts w:hint="eastAsia" w:ascii="方正仿宋_GBK" w:eastAsia="方正仿宋_GBK"/>
          <w:sz w:val="24"/>
        </w:rPr>
        <w:t>经双方协商一致，达成以下购销合同：</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hint="eastAsia" w:ascii="方正仿宋_GBK" w:eastAsia="方正仿宋_GBK"/>
                <w:sz w:val="21"/>
                <w:szCs w:val="21"/>
              </w:rPr>
            </w:pPr>
            <w:r>
              <w:rPr>
                <w:rFonts w:hint="eastAsia" w:ascii="方正仿宋_GBK" w:eastAsia="方正仿宋_GBK"/>
                <w:sz w:val="21"/>
                <w:szCs w:val="21"/>
              </w:rPr>
              <w:t>磋商项目名称</w:t>
            </w:r>
          </w:p>
        </w:tc>
        <w:tc>
          <w:tcPr>
            <w:tcW w:w="984" w:type="dxa"/>
            <w:vAlign w:val="center"/>
          </w:tcPr>
          <w:p>
            <w:pPr>
              <w:spacing w:line="240" w:lineRule="atLeast"/>
              <w:jc w:val="center"/>
              <w:rPr>
                <w:rFonts w:hint="eastAsia" w:ascii="方正仿宋_GBK" w:eastAsia="方正仿宋_GBK"/>
                <w:sz w:val="21"/>
                <w:szCs w:val="21"/>
              </w:rPr>
            </w:pPr>
            <w:r>
              <w:rPr>
                <w:rFonts w:hint="eastAsia" w:ascii="方正仿宋_GBK" w:eastAsia="方正仿宋_GBK"/>
                <w:sz w:val="21"/>
                <w:szCs w:val="21"/>
              </w:rPr>
              <w:t>数量</w:t>
            </w:r>
          </w:p>
        </w:tc>
        <w:tc>
          <w:tcPr>
            <w:tcW w:w="1298" w:type="dxa"/>
            <w:gridSpan w:val="2"/>
            <w:vAlign w:val="center"/>
          </w:tcPr>
          <w:p>
            <w:pPr>
              <w:spacing w:line="240" w:lineRule="atLeast"/>
              <w:jc w:val="center"/>
              <w:rPr>
                <w:rFonts w:hint="eastAsia" w:ascii="方正仿宋_GBK" w:eastAsia="方正仿宋_GBK"/>
                <w:sz w:val="21"/>
                <w:szCs w:val="21"/>
              </w:rPr>
            </w:pPr>
            <w:r>
              <w:rPr>
                <w:rFonts w:hint="eastAsia" w:ascii="方正仿宋_GBK" w:eastAsia="方正仿宋_GBK"/>
                <w:sz w:val="21"/>
                <w:szCs w:val="21"/>
              </w:rPr>
              <w:t>综合单价</w:t>
            </w:r>
          </w:p>
        </w:tc>
        <w:tc>
          <w:tcPr>
            <w:tcW w:w="1134" w:type="dxa"/>
            <w:vAlign w:val="center"/>
          </w:tcPr>
          <w:p>
            <w:pPr>
              <w:spacing w:line="240" w:lineRule="atLeast"/>
              <w:jc w:val="center"/>
              <w:rPr>
                <w:rFonts w:hint="eastAsia" w:ascii="方正仿宋_GBK" w:eastAsia="方正仿宋_GBK"/>
                <w:sz w:val="21"/>
                <w:szCs w:val="21"/>
              </w:rPr>
            </w:pPr>
            <w:r>
              <w:rPr>
                <w:rFonts w:hint="eastAsia" w:ascii="方正仿宋_GBK" w:eastAsia="方正仿宋_GBK"/>
                <w:sz w:val="21"/>
                <w:szCs w:val="21"/>
              </w:rPr>
              <w:t>总价</w:t>
            </w:r>
          </w:p>
        </w:tc>
        <w:tc>
          <w:tcPr>
            <w:tcW w:w="1559" w:type="dxa"/>
            <w:vAlign w:val="center"/>
          </w:tcPr>
          <w:p>
            <w:pPr>
              <w:spacing w:line="240" w:lineRule="atLeast"/>
              <w:jc w:val="center"/>
              <w:rPr>
                <w:rFonts w:hint="eastAsia" w:ascii="方正仿宋_GBK" w:eastAsia="方正仿宋_GBK"/>
                <w:sz w:val="21"/>
                <w:szCs w:val="21"/>
              </w:rPr>
            </w:pPr>
            <w:r>
              <w:rPr>
                <w:rFonts w:hint="eastAsia" w:ascii="方正仿宋_GBK" w:eastAsia="方正仿宋_GBK"/>
                <w:sz w:val="21"/>
                <w:szCs w:val="21"/>
              </w:rPr>
              <w:t>服务时间</w:t>
            </w:r>
          </w:p>
        </w:tc>
        <w:tc>
          <w:tcPr>
            <w:tcW w:w="1567" w:type="dxa"/>
            <w:vAlign w:val="center"/>
          </w:tcPr>
          <w:p>
            <w:pPr>
              <w:spacing w:line="240" w:lineRule="atLeast"/>
              <w:jc w:val="center"/>
              <w:rPr>
                <w:rFonts w:hint="eastAsia" w:ascii="方正仿宋_GBK" w:eastAsia="方正仿宋_GBK"/>
                <w:sz w:val="21"/>
                <w:szCs w:val="21"/>
              </w:rPr>
            </w:pPr>
            <w:r>
              <w:rPr>
                <w:rFonts w:hint="eastAsia" w:ascii="方正仿宋_GBK" w:eastAsia="方正仿宋_GBK"/>
                <w:sz w:val="21"/>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hint="eastAsia" w:ascii="方正仿宋_GBK" w:eastAsia="方正仿宋_GBK"/>
                <w:sz w:val="21"/>
                <w:szCs w:val="21"/>
              </w:rPr>
            </w:pPr>
          </w:p>
        </w:tc>
        <w:tc>
          <w:tcPr>
            <w:tcW w:w="984" w:type="dxa"/>
            <w:vAlign w:val="center"/>
          </w:tcPr>
          <w:p>
            <w:pPr>
              <w:spacing w:line="240" w:lineRule="atLeast"/>
              <w:jc w:val="center"/>
              <w:rPr>
                <w:rFonts w:hint="eastAsia" w:ascii="方正仿宋_GBK" w:eastAsia="方正仿宋_GBK"/>
                <w:sz w:val="21"/>
                <w:szCs w:val="21"/>
              </w:rPr>
            </w:pPr>
          </w:p>
        </w:tc>
        <w:tc>
          <w:tcPr>
            <w:tcW w:w="1298" w:type="dxa"/>
            <w:gridSpan w:val="2"/>
            <w:vAlign w:val="center"/>
          </w:tcPr>
          <w:p>
            <w:pPr>
              <w:spacing w:line="240" w:lineRule="atLeast"/>
              <w:jc w:val="center"/>
              <w:rPr>
                <w:rFonts w:hint="eastAsia" w:ascii="方正仿宋_GBK" w:eastAsia="方正仿宋_GBK"/>
                <w:sz w:val="21"/>
                <w:szCs w:val="21"/>
              </w:rPr>
            </w:pPr>
          </w:p>
        </w:tc>
        <w:tc>
          <w:tcPr>
            <w:tcW w:w="1134" w:type="dxa"/>
            <w:vAlign w:val="center"/>
          </w:tcPr>
          <w:p>
            <w:pPr>
              <w:spacing w:line="240" w:lineRule="atLeast"/>
              <w:jc w:val="center"/>
              <w:rPr>
                <w:rFonts w:hint="eastAsia" w:ascii="方正仿宋_GBK" w:eastAsia="方正仿宋_GBK"/>
                <w:sz w:val="21"/>
                <w:szCs w:val="21"/>
              </w:rPr>
            </w:pPr>
          </w:p>
        </w:tc>
        <w:tc>
          <w:tcPr>
            <w:tcW w:w="1559" w:type="dxa"/>
            <w:vAlign w:val="center"/>
          </w:tcPr>
          <w:p>
            <w:pPr>
              <w:spacing w:line="240" w:lineRule="atLeast"/>
              <w:jc w:val="center"/>
              <w:rPr>
                <w:rFonts w:hint="eastAsia" w:ascii="方正仿宋_GBK" w:eastAsia="方正仿宋_GBK"/>
                <w:sz w:val="21"/>
                <w:szCs w:val="21"/>
              </w:rPr>
            </w:pPr>
          </w:p>
        </w:tc>
        <w:tc>
          <w:tcPr>
            <w:tcW w:w="1567" w:type="dxa"/>
            <w:vAlign w:val="center"/>
          </w:tcPr>
          <w:p>
            <w:pPr>
              <w:spacing w:line="240" w:lineRule="atLeast"/>
              <w:jc w:val="center"/>
              <w:rPr>
                <w:rFonts w:hint="eastAsia"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hint="eastAsia" w:ascii="方正仿宋_GBK" w:eastAsia="方正仿宋_GBK"/>
                <w:sz w:val="21"/>
                <w:szCs w:val="21"/>
              </w:rPr>
            </w:pPr>
          </w:p>
        </w:tc>
        <w:tc>
          <w:tcPr>
            <w:tcW w:w="984" w:type="dxa"/>
            <w:vAlign w:val="center"/>
          </w:tcPr>
          <w:p>
            <w:pPr>
              <w:spacing w:line="240" w:lineRule="atLeast"/>
              <w:jc w:val="center"/>
              <w:rPr>
                <w:rFonts w:hint="eastAsia" w:ascii="方正仿宋_GBK" w:eastAsia="方正仿宋_GBK"/>
                <w:sz w:val="21"/>
                <w:szCs w:val="21"/>
              </w:rPr>
            </w:pPr>
          </w:p>
        </w:tc>
        <w:tc>
          <w:tcPr>
            <w:tcW w:w="1298" w:type="dxa"/>
            <w:gridSpan w:val="2"/>
            <w:vAlign w:val="center"/>
          </w:tcPr>
          <w:p>
            <w:pPr>
              <w:spacing w:line="240" w:lineRule="atLeast"/>
              <w:jc w:val="center"/>
              <w:rPr>
                <w:rFonts w:hint="eastAsia" w:ascii="方正仿宋_GBK" w:eastAsia="方正仿宋_GBK"/>
                <w:sz w:val="21"/>
                <w:szCs w:val="21"/>
              </w:rPr>
            </w:pPr>
          </w:p>
        </w:tc>
        <w:tc>
          <w:tcPr>
            <w:tcW w:w="1134" w:type="dxa"/>
            <w:vAlign w:val="center"/>
          </w:tcPr>
          <w:p>
            <w:pPr>
              <w:spacing w:line="240" w:lineRule="atLeast"/>
              <w:jc w:val="center"/>
              <w:rPr>
                <w:rFonts w:hint="eastAsia" w:ascii="方正仿宋_GBK" w:eastAsia="方正仿宋_GBK"/>
                <w:sz w:val="21"/>
                <w:szCs w:val="21"/>
              </w:rPr>
            </w:pPr>
          </w:p>
        </w:tc>
        <w:tc>
          <w:tcPr>
            <w:tcW w:w="1559" w:type="dxa"/>
            <w:vAlign w:val="center"/>
          </w:tcPr>
          <w:p>
            <w:pPr>
              <w:spacing w:line="240" w:lineRule="atLeast"/>
              <w:jc w:val="center"/>
              <w:rPr>
                <w:rFonts w:hint="eastAsia" w:ascii="方正仿宋_GBK" w:eastAsia="方正仿宋_GBK"/>
                <w:sz w:val="21"/>
                <w:szCs w:val="21"/>
              </w:rPr>
            </w:pPr>
          </w:p>
        </w:tc>
        <w:tc>
          <w:tcPr>
            <w:tcW w:w="1567" w:type="dxa"/>
            <w:vAlign w:val="center"/>
          </w:tcPr>
          <w:p>
            <w:pPr>
              <w:spacing w:line="240" w:lineRule="atLeast"/>
              <w:jc w:val="center"/>
              <w:rPr>
                <w:rFonts w:hint="eastAsia"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hint="eastAsia" w:ascii="方正仿宋_GBK" w:eastAsia="方正仿宋_GBK"/>
                <w:sz w:val="21"/>
                <w:szCs w:val="21"/>
              </w:rPr>
            </w:pPr>
            <w:r>
              <w:rPr>
                <w:rFonts w:hint="eastAsia" w:ascii="方正仿宋_GBK" w:eastAsia="方正仿宋_GBK"/>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hint="eastAsia" w:ascii="方正仿宋_GBK" w:eastAsia="方正仿宋_GBK"/>
                <w:sz w:val="21"/>
                <w:szCs w:val="21"/>
              </w:rPr>
            </w:pPr>
            <w:r>
              <w:rPr>
                <w:rFonts w:hint="eastAsia" w:ascii="方正仿宋_GBK" w:eastAsia="方正仿宋_GBK"/>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776" w:hRule="atLeast"/>
        </w:trPr>
        <w:tc>
          <w:tcPr>
            <w:tcW w:w="9613" w:type="dxa"/>
            <w:gridSpan w:val="7"/>
            <w:vAlign w:val="top"/>
          </w:tcPr>
          <w:p>
            <w:pPr>
              <w:spacing w:line="240" w:lineRule="atLeast"/>
              <w:rPr>
                <w:rFonts w:hint="eastAsia" w:ascii="方正仿宋_GBK" w:eastAsia="方正仿宋_GBK"/>
                <w:sz w:val="21"/>
                <w:szCs w:val="21"/>
              </w:rPr>
            </w:pPr>
            <w:r>
              <w:rPr>
                <w:rFonts w:hint="eastAsia" w:ascii="方正仿宋_GBK" w:eastAsia="方正仿宋_GBK"/>
                <w:sz w:val="21"/>
                <w:szCs w:val="21"/>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9628" w:type="dxa"/>
            <w:gridSpan w:val="8"/>
            <w:vAlign w:val="top"/>
          </w:tcPr>
          <w:p>
            <w:pPr>
              <w:spacing w:line="240" w:lineRule="atLeast"/>
              <w:rPr>
                <w:rFonts w:hint="eastAsia" w:ascii="方正仿宋_GBK" w:eastAsia="方正仿宋_GBK"/>
                <w:sz w:val="21"/>
                <w:szCs w:val="21"/>
              </w:rPr>
            </w:pPr>
            <w:r>
              <w:rPr>
                <w:rFonts w:hint="eastAsia" w:ascii="方正仿宋_GBK" w:eastAsia="方正仿宋_GBK"/>
                <w:sz w:val="21"/>
                <w:szCs w:val="21"/>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9628" w:type="dxa"/>
            <w:gridSpan w:val="8"/>
            <w:vAlign w:val="top"/>
          </w:tcPr>
          <w:p>
            <w:pPr>
              <w:spacing w:line="240" w:lineRule="atLeast"/>
              <w:rPr>
                <w:rFonts w:hint="eastAsia" w:ascii="方正仿宋_GBK" w:eastAsia="方正仿宋_GBK"/>
                <w:sz w:val="21"/>
                <w:szCs w:val="21"/>
              </w:rPr>
            </w:pPr>
            <w:r>
              <w:rPr>
                <w:rFonts w:hint="eastAsia" w:ascii="方正仿宋_GBK" w:eastAsia="方正仿宋_GBK"/>
                <w:sz w:val="21"/>
                <w:szCs w:val="21"/>
              </w:rPr>
              <w:t>三、付款方式：</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9628" w:type="dxa"/>
            <w:gridSpan w:val="8"/>
            <w:vAlign w:val="top"/>
          </w:tcPr>
          <w:p>
            <w:pPr>
              <w:rPr>
                <w:rFonts w:hint="eastAsia" w:ascii="方正仿宋_GBK" w:eastAsia="方正仿宋_GBK"/>
                <w:sz w:val="21"/>
                <w:szCs w:val="21"/>
              </w:rPr>
            </w:pPr>
            <w:r>
              <w:rPr>
                <w:rFonts w:hint="eastAsia" w:ascii="方正仿宋_GBK" w:eastAsia="方正仿宋_GBK"/>
                <w:sz w:val="21"/>
                <w:szCs w:val="21"/>
              </w:rPr>
              <w:t>X、履约保证金</w:t>
            </w:r>
            <w:r>
              <w:rPr>
                <w:rFonts w:ascii="方正仿宋_GBK"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8"/>
            <w:vAlign w:val="top"/>
          </w:tcPr>
          <w:p>
            <w:pPr>
              <w:spacing w:line="240" w:lineRule="atLeast"/>
              <w:rPr>
                <w:rFonts w:hint="eastAsia" w:ascii="方正仿宋_GBK" w:eastAsia="方正仿宋_GBK"/>
                <w:sz w:val="21"/>
                <w:szCs w:val="21"/>
              </w:rPr>
            </w:pPr>
            <w:r>
              <w:rPr>
                <w:rFonts w:hint="eastAsia" w:ascii="方正仿宋_GBK" w:eastAsia="方正仿宋_GBK"/>
                <w:sz w:val="21"/>
                <w:szCs w:val="21"/>
              </w:rPr>
              <w:t>四、违约责任：</w:t>
            </w:r>
          </w:p>
          <w:p>
            <w:pPr>
              <w:spacing w:line="240" w:lineRule="atLeast"/>
              <w:rPr>
                <w:rFonts w:hint="eastAsia" w:ascii="方正仿宋_GBK" w:eastAsia="方正仿宋_GBK"/>
                <w:sz w:val="21"/>
                <w:szCs w:val="21"/>
              </w:rPr>
            </w:pPr>
            <w:r>
              <w:rPr>
                <w:rFonts w:hint="eastAsia" w:ascii="方正仿宋_GBK" w:eastAsia="方正仿宋_GBK"/>
                <w:sz w:val="21"/>
                <w:szCs w:val="21"/>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8"/>
            <w:vAlign w:val="top"/>
          </w:tcPr>
          <w:p>
            <w:pPr>
              <w:spacing w:line="240" w:lineRule="atLeast"/>
              <w:rPr>
                <w:rFonts w:hint="eastAsia" w:ascii="方正仿宋_GBK" w:eastAsia="方正仿宋_GBK"/>
                <w:sz w:val="21"/>
                <w:szCs w:val="21"/>
              </w:rPr>
            </w:pPr>
            <w:r>
              <w:rPr>
                <w:rFonts w:hint="eastAsia" w:ascii="方正仿宋_GBK" w:eastAsia="方正仿宋_GBK"/>
                <w:sz w:val="21"/>
                <w:szCs w:val="21"/>
              </w:rPr>
              <w:t>五、其他约定事项：</w:t>
            </w:r>
          </w:p>
          <w:p>
            <w:pPr>
              <w:spacing w:line="240" w:lineRule="atLeast"/>
              <w:rPr>
                <w:rFonts w:hint="eastAsia" w:ascii="方正仿宋_GBK" w:eastAsia="方正仿宋_GBK"/>
                <w:sz w:val="21"/>
                <w:szCs w:val="21"/>
              </w:rPr>
            </w:pPr>
            <w:r>
              <w:rPr>
                <w:rFonts w:hint="eastAsia" w:ascii="方正仿宋_GBK" w:eastAsia="方正仿宋_GBK"/>
                <w:sz w:val="21"/>
                <w:szCs w:val="21"/>
              </w:rPr>
              <w:t>1.采购文件及其澄清文件、响应文件和承诺是本合同不可分割的部分。</w:t>
            </w:r>
          </w:p>
          <w:p>
            <w:pPr>
              <w:spacing w:line="240" w:lineRule="atLeast"/>
              <w:rPr>
                <w:rFonts w:hint="eastAsia" w:ascii="方正仿宋_GBK" w:eastAsia="方正仿宋_GBK"/>
                <w:sz w:val="21"/>
                <w:szCs w:val="21"/>
              </w:rPr>
            </w:pPr>
            <w:r>
              <w:rPr>
                <w:rFonts w:hint="eastAsia" w:ascii="方正仿宋_GBK" w:eastAsia="方正仿宋_GBK"/>
                <w:sz w:val="21"/>
                <w:szCs w:val="21"/>
              </w:rPr>
              <w:t>2.本合同如发生争议由双方协商解决，协商不成向需方所在人民法院提请诉讼。</w:t>
            </w:r>
          </w:p>
          <w:p>
            <w:pPr>
              <w:spacing w:line="240" w:lineRule="atLeast"/>
              <w:rPr>
                <w:rFonts w:hint="eastAsia" w:ascii="方正仿宋_GBK" w:eastAsia="方正仿宋_GBK"/>
                <w:sz w:val="21"/>
                <w:szCs w:val="21"/>
              </w:rPr>
            </w:pPr>
            <w:r>
              <w:rPr>
                <w:rFonts w:hint="eastAsia" w:ascii="方正仿宋_GBK" w:eastAsia="方正仿宋_GBK"/>
                <w:sz w:val="21"/>
                <w:szCs w:val="21"/>
              </w:rPr>
              <w:t>3.本合同一式__份， 需方__份，供方__份，具同等法律效力。</w:t>
            </w:r>
          </w:p>
          <w:p>
            <w:pPr>
              <w:spacing w:line="240" w:lineRule="atLeast"/>
              <w:rPr>
                <w:rFonts w:hint="eastAsia" w:ascii="方正仿宋_GBK" w:eastAsia="方正仿宋_GBK"/>
                <w:sz w:val="21"/>
                <w:szCs w:val="21"/>
              </w:rPr>
            </w:pPr>
            <w:r>
              <w:rPr>
                <w:rFonts w:hint="eastAsia" w:ascii="方正仿宋_GBK" w:eastAsia="方正仿宋_GBK"/>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gridSpan w:val="3"/>
            <w:vAlign w:val="top"/>
          </w:tcPr>
          <w:p>
            <w:pPr>
              <w:spacing w:line="240" w:lineRule="atLeast"/>
              <w:rPr>
                <w:rFonts w:hint="eastAsia" w:ascii="方正仿宋_GBK" w:eastAsia="方正仿宋_GBK"/>
                <w:sz w:val="21"/>
                <w:szCs w:val="21"/>
              </w:rPr>
            </w:pPr>
            <w:r>
              <w:rPr>
                <w:rFonts w:hint="eastAsia" w:ascii="方正仿宋_GBK" w:eastAsia="方正仿宋_GBK"/>
                <w:sz w:val="21"/>
                <w:szCs w:val="21"/>
              </w:rPr>
              <w:t>需方：</w:t>
            </w:r>
          </w:p>
          <w:p>
            <w:pPr>
              <w:spacing w:line="240" w:lineRule="atLeast"/>
              <w:rPr>
                <w:rFonts w:hint="eastAsia" w:ascii="方正仿宋_GBK" w:eastAsia="方正仿宋_GBK"/>
                <w:sz w:val="21"/>
                <w:szCs w:val="21"/>
              </w:rPr>
            </w:pPr>
            <w:r>
              <w:rPr>
                <w:rFonts w:hint="eastAsia" w:ascii="方正仿宋_GBK" w:eastAsia="方正仿宋_GBK"/>
                <w:sz w:val="21"/>
                <w:szCs w:val="21"/>
              </w:rPr>
              <w:t>地址：</w:t>
            </w:r>
          </w:p>
          <w:p>
            <w:pPr>
              <w:spacing w:line="240" w:lineRule="atLeast"/>
              <w:rPr>
                <w:rFonts w:hint="eastAsia" w:ascii="方正仿宋_GBK" w:eastAsia="方正仿宋_GBK"/>
                <w:sz w:val="21"/>
                <w:szCs w:val="21"/>
              </w:rPr>
            </w:pPr>
            <w:r>
              <w:rPr>
                <w:rFonts w:hint="eastAsia" w:ascii="方正仿宋_GBK" w:eastAsia="方正仿宋_GBK"/>
                <w:sz w:val="21"/>
                <w:szCs w:val="21"/>
              </w:rPr>
              <w:t>联系电话：</w:t>
            </w:r>
          </w:p>
          <w:p>
            <w:pPr>
              <w:spacing w:line="240" w:lineRule="atLeast"/>
              <w:rPr>
                <w:rFonts w:hint="eastAsia" w:ascii="方正仿宋_GBK" w:eastAsia="方正仿宋_GBK"/>
                <w:sz w:val="21"/>
                <w:szCs w:val="21"/>
              </w:rPr>
            </w:pPr>
            <w:r>
              <w:rPr>
                <w:rFonts w:hint="eastAsia" w:ascii="方正仿宋_GBK" w:eastAsia="方正仿宋_GBK"/>
                <w:sz w:val="21"/>
                <w:szCs w:val="21"/>
              </w:rPr>
              <w:t>授权代表：</w:t>
            </w:r>
          </w:p>
        </w:tc>
        <w:tc>
          <w:tcPr>
            <w:tcW w:w="4984" w:type="dxa"/>
            <w:gridSpan w:val="5"/>
            <w:vAlign w:val="top"/>
          </w:tcPr>
          <w:p>
            <w:pPr>
              <w:spacing w:line="240" w:lineRule="atLeast"/>
              <w:rPr>
                <w:rFonts w:hint="eastAsia" w:ascii="方正仿宋_GBK" w:eastAsia="方正仿宋_GBK"/>
                <w:sz w:val="21"/>
                <w:szCs w:val="21"/>
              </w:rPr>
            </w:pPr>
            <w:r>
              <w:rPr>
                <w:rFonts w:hint="eastAsia" w:ascii="方正仿宋_GBK" w:eastAsia="方正仿宋_GBK"/>
                <w:sz w:val="21"/>
                <w:szCs w:val="21"/>
              </w:rPr>
              <w:t>供方：</w:t>
            </w:r>
          </w:p>
          <w:p>
            <w:pPr>
              <w:spacing w:line="240" w:lineRule="atLeast"/>
              <w:rPr>
                <w:rFonts w:hint="eastAsia" w:ascii="方正仿宋_GBK" w:eastAsia="方正仿宋_GBK"/>
                <w:sz w:val="21"/>
                <w:szCs w:val="21"/>
              </w:rPr>
            </w:pPr>
            <w:r>
              <w:rPr>
                <w:rFonts w:hint="eastAsia" w:ascii="方正仿宋_GBK" w:eastAsia="方正仿宋_GBK"/>
                <w:sz w:val="21"/>
                <w:szCs w:val="21"/>
              </w:rPr>
              <w:t>地址：</w:t>
            </w:r>
          </w:p>
          <w:p>
            <w:pPr>
              <w:spacing w:line="240" w:lineRule="atLeast"/>
              <w:rPr>
                <w:rFonts w:hint="eastAsia" w:ascii="方正仿宋_GBK" w:eastAsia="方正仿宋_GBK"/>
                <w:sz w:val="21"/>
                <w:szCs w:val="21"/>
              </w:rPr>
            </w:pPr>
            <w:r>
              <w:rPr>
                <w:rFonts w:hint="eastAsia" w:ascii="方正仿宋_GBK" w:eastAsia="方正仿宋_GBK"/>
                <w:sz w:val="21"/>
                <w:szCs w:val="21"/>
              </w:rPr>
              <w:t>电话：</w:t>
            </w:r>
          </w:p>
          <w:p>
            <w:pPr>
              <w:spacing w:line="240" w:lineRule="atLeast"/>
              <w:rPr>
                <w:rFonts w:hint="eastAsia" w:ascii="方正仿宋_GBK" w:eastAsia="方正仿宋_GBK"/>
                <w:sz w:val="21"/>
                <w:szCs w:val="21"/>
              </w:rPr>
            </w:pPr>
            <w:r>
              <w:rPr>
                <w:rFonts w:hint="eastAsia" w:ascii="方正仿宋_GBK" w:eastAsia="方正仿宋_GBK"/>
                <w:sz w:val="21"/>
                <w:szCs w:val="21"/>
              </w:rPr>
              <w:t>传真：</w:t>
            </w:r>
          </w:p>
          <w:p>
            <w:pPr>
              <w:spacing w:line="240" w:lineRule="atLeast"/>
              <w:rPr>
                <w:rFonts w:hint="eastAsia" w:ascii="方正仿宋_GBK" w:eastAsia="方正仿宋_GBK"/>
                <w:sz w:val="21"/>
                <w:szCs w:val="21"/>
              </w:rPr>
            </w:pPr>
            <w:r>
              <w:rPr>
                <w:rFonts w:hint="eastAsia" w:ascii="方正仿宋_GBK" w:eastAsia="方正仿宋_GBK"/>
                <w:sz w:val="21"/>
                <w:szCs w:val="21"/>
              </w:rPr>
              <w:t>开户银行：</w:t>
            </w:r>
          </w:p>
          <w:p>
            <w:pPr>
              <w:spacing w:line="240" w:lineRule="atLeast"/>
              <w:rPr>
                <w:rFonts w:hint="eastAsia" w:ascii="方正仿宋_GBK" w:eastAsia="方正仿宋_GBK"/>
                <w:sz w:val="21"/>
                <w:szCs w:val="21"/>
              </w:rPr>
            </w:pPr>
            <w:r>
              <w:rPr>
                <w:rFonts w:hint="eastAsia" w:ascii="方正仿宋_GBK" w:eastAsia="方正仿宋_GBK"/>
                <w:sz w:val="21"/>
                <w:szCs w:val="21"/>
              </w:rPr>
              <w:t>账号：</w:t>
            </w:r>
          </w:p>
          <w:p>
            <w:pPr>
              <w:spacing w:line="240" w:lineRule="atLeast"/>
              <w:rPr>
                <w:rFonts w:hint="eastAsia" w:ascii="方正仿宋_GBK" w:eastAsia="方正仿宋_GBK"/>
                <w:sz w:val="21"/>
                <w:szCs w:val="21"/>
              </w:rPr>
            </w:pPr>
            <w:r>
              <w:rPr>
                <w:rFonts w:hint="eastAsia" w:ascii="方正仿宋_GBK" w:eastAsia="方正仿宋_GBK"/>
                <w:sz w:val="21"/>
                <w:szCs w:val="21"/>
              </w:rPr>
              <w:t>授权代表：</w:t>
            </w:r>
          </w:p>
          <w:p>
            <w:pPr>
              <w:widowControl/>
              <w:spacing w:line="240" w:lineRule="atLeast"/>
              <w:jc w:val="left"/>
              <w:rPr>
                <w:rFonts w:hint="eastAsia" w:ascii="方正仿宋_GBK" w:eastAsia="方正仿宋_GBK"/>
                <w:sz w:val="21"/>
                <w:szCs w:val="21"/>
              </w:rPr>
            </w:pPr>
            <w:r>
              <w:rPr>
                <w:rFonts w:hint="eastAsia" w:ascii="方正仿宋_GBK" w:eastAsia="方正仿宋_GBK"/>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8"/>
            <w:vAlign w:val="top"/>
          </w:tcPr>
          <w:p>
            <w:pPr>
              <w:spacing w:line="240" w:lineRule="atLeast"/>
              <w:rPr>
                <w:rFonts w:hint="eastAsia" w:ascii="方正仿宋_GBK" w:eastAsia="方正仿宋_GBK"/>
                <w:sz w:val="21"/>
                <w:szCs w:val="21"/>
              </w:rPr>
            </w:pPr>
            <w:r>
              <w:rPr>
                <w:rFonts w:hint="eastAsia" w:ascii="方正仿宋_GBK" w:eastAsia="方正仿宋_GBK"/>
                <w:sz w:val="21"/>
                <w:szCs w:val="21"/>
              </w:rPr>
              <w:t>备注：</w:t>
            </w:r>
          </w:p>
          <w:p>
            <w:pPr>
              <w:spacing w:line="240" w:lineRule="atLeast"/>
              <w:rPr>
                <w:rFonts w:hint="eastAsia" w:ascii="方正仿宋_GBK" w:eastAsia="方正仿宋_GBK"/>
                <w:sz w:val="21"/>
                <w:szCs w:val="21"/>
              </w:rPr>
            </w:pPr>
          </w:p>
          <w:p>
            <w:pPr>
              <w:spacing w:line="240" w:lineRule="atLeast"/>
              <w:rPr>
                <w:rFonts w:hint="eastAsia" w:ascii="方正仿宋_GBK" w:eastAsia="方正仿宋_GBK"/>
                <w:sz w:val="21"/>
                <w:szCs w:val="21"/>
              </w:rPr>
            </w:pPr>
          </w:p>
        </w:tc>
      </w:tr>
    </w:tbl>
    <w:p>
      <w:pPr>
        <w:rPr>
          <w:rFonts w:hint="eastAsia" w:ascii="方正仿宋_GBK" w:eastAsia="方正仿宋_GBK"/>
          <w:sz w:val="24"/>
        </w:rPr>
      </w:pPr>
      <w:r>
        <w:rPr>
          <w:rFonts w:hint="eastAsia" w:ascii="方正仿宋_GBK" w:eastAsia="方正仿宋_GBK"/>
          <w:sz w:val="24"/>
        </w:rPr>
        <w:t>签约时间：           年   月   日      签约地点：</w:t>
      </w:r>
    </w:p>
    <w:p>
      <w:pPr>
        <w:tabs>
          <w:tab w:val="left" w:pos="9000"/>
        </w:tabs>
        <w:spacing w:line="276" w:lineRule="auto"/>
        <w:jc w:val="center"/>
        <w:rPr>
          <w:rFonts w:hint="eastAsia" w:ascii="方正仿宋_GBK" w:eastAsia="方正仿宋_GBK"/>
          <w:sz w:val="21"/>
          <w:szCs w:val="21"/>
        </w:rPr>
        <w:sectPr>
          <w:footerReference r:id="rId10" w:type="default"/>
          <w:footerReference r:id="rId11" w:type="even"/>
          <w:pgSz w:w="11907" w:h="16840"/>
          <w:pgMar w:top="1134" w:right="1191" w:bottom="1134" w:left="1304" w:header="964" w:footer="992" w:gutter="0"/>
          <w:pgNumType w:fmt="numberInDash"/>
          <w:cols w:space="720" w:num="1"/>
          <w:docGrid w:linePitch="312" w:charSpace="0"/>
        </w:sectPr>
      </w:pPr>
    </w:p>
    <w:p>
      <w:pPr>
        <w:pStyle w:val="3"/>
        <w:spacing w:before="0" w:after="0" w:line="360" w:lineRule="auto"/>
        <w:jc w:val="center"/>
        <w:rPr>
          <w:rFonts w:hint="eastAsia" w:ascii="方正小标宋_GBK" w:hAnsi="宋体" w:eastAsia="方正小标宋_GBK"/>
          <w:b w:val="0"/>
          <w:sz w:val="36"/>
          <w:szCs w:val="30"/>
        </w:rPr>
      </w:pPr>
      <w:bookmarkStart w:id="107" w:name="_Hlt41879464"/>
      <w:bookmarkEnd w:id="107"/>
      <w:bookmarkStart w:id="108" w:name="_Toc106030905"/>
      <w:bookmarkStart w:id="109" w:name="_Toc76462349"/>
      <w:r>
        <w:rPr>
          <w:rFonts w:hint="eastAsia" w:ascii="方正小标宋_GBK" w:hAnsi="宋体" w:eastAsia="方正小标宋_GBK"/>
          <w:b w:val="0"/>
          <w:sz w:val="36"/>
          <w:szCs w:val="30"/>
        </w:rPr>
        <w:t>第七篇  响应文件编制要求</w:t>
      </w:r>
      <w:bookmarkEnd w:id="108"/>
      <w:bookmarkEnd w:id="109"/>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一、经济部分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（一）竞争性磋商报价函</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szCs w:val="24"/>
          <w:lang w:val="en-US" w:eastAsia="zh-CN"/>
        </w:rPr>
        <w:t>报价一览表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（三）</w:t>
      </w:r>
      <w:r>
        <w:rPr>
          <w:rFonts w:hint="eastAsia" w:ascii="方正仿宋_GBK" w:hAnsi="宋体" w:eastAsia="方正仿宋_GBK"/>
          <w:sz w:val="24"/>
          <w:szCs w:val="24"/>
        </w:rPr>
        <w:t>明细报价表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二、服务部分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（一）服务响应偏离表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（二）其他资料（格式自定）</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三、商务部分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（一）商务响应偏离表</w:t>
      </w:r>
    </w:p>
    <w:p>
      <w:pPr>
        <w:pStyle w:val="2"/>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（二）成本测算方案</w:t>
      </w:r>
    </w:p>
    <w:p>
      <w:pPr>
        <w:pStyle w:val="2"/>
        <w:ind w:firstLine="480" w:firstLineChars="200"/>
        <w:rPr>
          <w:rFonts w:hint="default"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（三）企业实力</w:t>
      </w:r>
    </w:p>
    <w:p>
      <w:pPr>
        <w:pStyle w:val="2"/>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（四）人员配备</w:t>
      </w:r>
    </w:p>
    <w:p>
      <w:pPr>
        <w:pStyle w:val="2"/>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（五）业绩</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四、资格条件及其他</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（二）法定代表人身份证明书（格式）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（三）法定代表人授权委托书（格式）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（四）基本资格条件承诺函（格式）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（五）落实政府采购政策需满足的资格要求</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（六）</w:t>
      </w:r>
      <w:r>
        <w:rPr>
          <w:rFonts w:hint="eastAsia" w:ascii="方正仿宋_GBK" w:hAnsi="宋体" w:eastAsia="方正仿宋_GBK"/>
          <w:sz w:val="24"/>
          <w:szCs w:val="24"/>
        </w:rPr>
        <w:t>特定资格条件证书或证明文件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五、其他资料</w:t>
      </w:r>
    </w:p>
    <w:p>
      <w:pPr>
        <w:spacing w:line="400" w:lineRule="exact"/>
        <w:ind w:firstLine="480" w:firstLineChars="200"/>
        <w:rPr>
          <w:rFonts w:hint="eastAsia" w:ascii="方正仿宋_GBK" w:hAnsi="宋体" w:eastAsia="方正仿宋_GBK"/>
          <w:b/>
          <w:sz w:val="24"/>
          <w:szCs w:val="24"/>
        </w:rPr>
      </w:pPr>
      <w:r>
        <w:rPr>
          <w:rFonts w:hint="eastAsia" w:ascii="方正仿宋_GBK" w:hAnsi="宋体" w:eastAsia="方正仿宋_GBK"/>
          <w:sz w:val="24"/>
          <w:szCs w:val="24"/>
        </w:rPr>
        <w:t>（一）中小企业声明函、监狱企业证明文件、残疾人福利性单位声明函</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（二）其他与项目有关的资料</w:t>
      </w:r>
    </w:p>
    <w:p>
      <w:pPr>
        <w:pStyle w:val="2"/>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六、实施方案（单独封装，包括但不限于）</w:t>
      </w:r>
    </w:p>
    <w:p>
      <w:pPr>
        <w:pStyle w:val="2"/>
        <w:ind w:firstLine="480" w:firstLineChars="200"/>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“秩序维护方案”“保洁服务方案”“食堂服务方案”“质量管理考核方案”</w:t>
      </w:r>
    </w:p>
    <w:p>
      <w:pPr>
        <w:pStyle w:val="2"/>
        <w:ind w:firstLine="480" w:firstLineChars="200"/>
        <w:rPr>
          <w:rFonts w:hint="eastAsia" w:ascii="方正仿宋_GBK" w:hAnsi="宋体" w:eastAsia="方正仿宋_GBK" w:cs="Times New Roman"/>
          <w:kern w:val="2"/>
          <w:sz w:val="24"/>
          <w:szCs w:val="24"/>
          <w:lang w:val="en-US" w:eastAsia="zh-CN" w:bidi="ar-SA"/>
        </w:rPr>
        <w:sectPr>
          <w:pgSz w:w="11907" w:h="16840"/>
          <w:pgMar w:top="1134" w:right="1191" w:bottom="1134" w:left="1304" w:header="851" w:footer="992" w:gutter="0"/>
          <w:pgNumType w:fmt="numberInDash"/>
          <w:cols w:space="720" w:num="1"/>
          <w:docGrid w:linePitch="380" w:charSpace="-5735"/>
        </w:sectPr>
      </w:pPr>
      <w:r>
        <w:rPr>
          <w:rFonts w:hint="eastAsia" w:ascii="微软雅黑" w:hAnsi="微软雅黑" w:eastAsia="微软雅黑" w:cs="微软雅黑"/>
          <w:kern w:val="2"/>
          <w:sz w:val="24"/>
          <w:szCs w:val="24"/>
          <w:lang w:val="en-US" w:eastAsia="zh-CN" w:bidi="ar-SA"/>
        </w:rPr>
        <w:t>“拟投入装备”“应急处置方案”</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110" w:name="_Toc76462350"/>
      <w:bookmarkStart w:id="111" w:name="_Toc106030906"/>
      <w:bookmarkStart w:id="112" w:name="_Toc313008356"/>
      <w:bookmarkStart w:id="113" w:name="_Toc342913419"/>
      <w:bookmarkStart w:id="114" w:name="_Toc313888360"/>
      <w:bookmarkStart w:id="115" w:name="_Toc283382454"/>
      <w:bookmarkStart w:id="116" w:name="_Toc12789073"/>
      <w:r>
        <w:rPr>
          <w:rFonts w:hint="eastAsia" w:ascii="方正仿宋_GBK" w:hAnsi="宋体" w:eastAsia="方正仿宋_GBK"/>
          <w:sz w:val="24"/>
        </w:rPr>
        <w:t>一、经济部分</w:t>
      </w:r>
      <w:bookmarkEnd w:id="110"/>
      <w:bookmarkEnd w:id="111"/>
      <w:bookmarkEnd w:id="112"/>
      <w:bookmarkEnd w:id="113"/>
      <w:bookmarkEnd w:id="114"/>
    </w:p>
    <w:bookmarkEnd w:id="115"/>
    <w:bookmarkEnd w:id="116"/>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（一）竞争性磋商报价函</w:t>
      </w:r>
    </w:p>
    <w:p>
      <w:pPr>
        <w:jc w:val="center"/>
        <w:rPr>
          <w:rFonts w:hint="eastAsia" w:ascii="方正仿宋_GBK" w:eastAsia="方正仿宋_GBK"/>
          <w:b/>
          <w:szCs w:val="28"/>
        </w:rPr>
      </w:pPr>
      <w:r>
        <w:rPr>
          <w:rFonts w:hint="eastAsia" w:ascii="方正仿宋_GBK" w:eastAsia="方正仿宋_GBK"/>
          <w:b/>
          <w:szCs w:val="28"/>
        </w:rPr>
        <w:t>竞争性磋商报价函</w:t>
      </w:r>
    </w:p>
    <w:p>
      <w:pPr>
        <w:tabs>
          <w:tab w:val="left" w:pos="6300"/>
        </w:tabs>
        <w:snapToGrid w:val="0"/>
        <w:spacing w:line="312" w:lineRule="auto"/>
        <w:rPr>
          <w:rFonts w:hint="eastAsia" w:ascii="方正仿宋_GBK" w:hAnsi="宋体" w:eastAsia="方正仿宋_GBK"/>
          <w:sz w:val="24"/>
          <w:szCs w:val="24"/>
        </w:rPr>
      </w:pPr>
      <w:r>
        <w:rPr>
          <w:rFonts w:hint="eastAsia" w:ascii="方正仿宋_GBK" w:hAnsi="宋体" w:eastAsia="方正仿宋_GBK"/>
          <w:sz w:val="24"/>
          <w:szCs w:val="24"/>
          <w:u w:val="single"/>
        </w:rPr>
        <w:t>（采购代理机构名称）</w:t>
      </w:r>
      <w:r>
        <w:rPr>
          <w:rFonts w:hint="eastAsia" w:ascii="方正仿宋_GBK" w:hAnsi="宋体" w:eastAsia="方正仿宋_GBK"/>
          <w:sz w:val="24"/>
          <w:szCs w:val="24"/>
        </w:rPr>
        <w:t>：</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1.愿意按照竞争性磋商文件中的一切要求，提供本项目的服务，初始报价为人民币大写：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元。以我公司最后报价为准。</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份，电子文档</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实施方案</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3.我方承诺：本次磋商的有效期为提交响应文件截止时间起90天。</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4.我方完全理解和接受贵方竞争性磋商文件的一切规定和要求及评审办法。</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5.在整个竞争性磋商过程中，我方若有违规行为，接受按照《中华人民共和国政府采购法》和《竞争性磋商文件》之规定给予惩罚。</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7.如果我方成为成交供应商，保证在接到成交通知书后，向采购代理机构和</w:t>
      </w:r>
      <w:r>
        <w:rPr>
          <w:rFonts w:hint="eastAsia" w:ascii="方正仿宋_GBK" w:hAnsi="宋体" w:eastAsia="方正仿宋_GBK"/>
          <w:sz w:val="24"/>
        </w:rPr>
        <w:t>重庆联合产权交易所集团股份有限公司缴纳</w:t>
      </w:r>
      <w:r>
        <w:rPr>
          <w:rFonts w:hint="eastAsia" w:ascii="方正仿宋_GBK" w:hAnsi="宋体" w:eastAsia="方正仿宋_GBK"/>
          <w:sz w:val="24"/>
          <w:szCs w:val="24"/>
        </w:rPr>
        <w:t>竞争性磋商文件规定的采购代理服务费和交易服务费。</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联系人：</w:t>
      </w:r>
    </w:p>
    <w:p>
      <w:pPr>
        <w:snapToGrid w:val="0"/>
        <w:spacing w:line="312" w:lineRule="auto"/>
        <w:ind w:firstLine="480" w:firstLineChars="200"/>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napToGrid w:val="0"/>
        <w:spacing w:line="500" w:lineRule="exact"/>
        <w:ind w:firstLine="480" w:firstLineChars="200"/>
        <w:jc w:val="left"/>
        <w:rPr>
          <w:rFonts w:hint="eastAsia" w:ascii="仿宋_GB2312" w:hAnsi="宋体" w:eastAsia="仿宋_GB2312"/>
          <w:b/>
          <w:color w:val="000000"/>
          <w:szCs w:val="28"/>
        </w:rPr>
      </w:pPr>
      <w:r>
        <w:rPr>
          <w:rFonts w:hint="eastAsia" w:ascii="方正仿宋_GBK" w:hAnsi="宋体" w:eastAsia="方正仿宋_GBK"/>
          <w:sz w:val="24"/>
          <w:szCs w:val="24"/>
        </w:rPr>
        <w:t>（二）</w:t>
      </w:r>
      <w:r>
        <w:rPr>
          <w:rFonts w:hint="eastAsia" w:ascii="仿宋_GB2312" w:hAnsi="宋体" w:eastAsia="仿宋_GB2312"/>
          <w:b/>
          <w:color w:val="000000"/>
          <w:szCs w:val="28"/>
        </w:rPr>
        <w:t>报价一览表</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采购项目名称：</w:t>
      </w:r>
    </w:p>
    <w:tbl>
      <w:tblPr>
        <w:tblStyle w:val="18"/>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3609"/>
        <w:gridCol w:w="227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1508" w:type="dxa"/>
            <w:vAlign w:val="center"/>
          </w:tcPr>
          <w:p>
            <w:pPr>
              <w:tabs>
                <w:tab w:val="left" w:pos="6300"/>
              </w:tabs>
              <w:snapToGrid w:val="0"/>
              <w:spacing w:line="312" w:lineRule="auto"/>
              <w:rPr>
                <w:rFonts w:hint="eastAsia" w:ascii="方正仿宋_GBK" w:hAnsi="宋体" w:eastAsia="方正仿宋_GBK"/>
                <w:sz w:val="24"/>
                <w:szCs w:val="24"/>
              </w:rPr>
            </w:pPr>
            <w:r>
              <w:rPr>
                <w:rFonts w:hint="eastAsia" w:ascii="方正仿宋_GBK" w:hAnsi="宋体" w:eastAsia="方正仿宋_GBK"/>
                <w:sz w:val="24"/>
                <w:szCs w:val="24"/>
              </w:rPr>
              <w:t>供应商全称</w:t>
            </w:r>
          </w:p>
        </w:tc>
        <w:tc>
          <w:tcPr>
            <w:tcW w:w="7784" w:type="dxa"/>
            <w:gridSpan w:val="3"/>
            <w:vAlign w:val="top"/>
          </w:tcPr>
          <w:p>
            <w:pPr>
              <w:tabs>
                <w:tab w:val="left" w:pos="6300"/>
              </w:tabs>
              <w:snapToGrid w:val="0"/>
              <w:spacing w:line="312" w:lineRule="auto"/>
              <w:ind w:firstLine="480" w:firstLineChars="200"/>
              <w:rPr>
                <w:rFonts w:hint="eastAsia"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7" w:type="dxa"/>
            <w:gridSpan w:val="2"/>
            <w:vAlign w:val="center"/>
          </w:tcPr>
          <w:p>
            <w:pPr>
              <w:tabs>
                <w:tab w:val="left" w:pos="6300"/>
              </w:tabs>
              <w:snapToGrid w:val="0"/>
              <w:spacing w:line="312" w:lineRule="auto"/>
              <w:jc w:val="center"/>
              <w:rPr>
                <w:rFonts w:hint="eastAsia" w:ascii="方正仿宋_GBK" w:hAnsi="宋体" w:eastAsia="方正仿宋_GBK"/>
                <w:sz w:val="24"/>
                <w:szCs w:val="24"/>
                <w:lang w:eastAsia="zh-CN"/>
              </w:rPr>
            </w:pPr>
            <w:r>
              <w:rPr>
                <w:rFonts w:hint="eastAsia" w:ascii="方正仿宋_GBK" w:hAnsi="宋体" w:eastAsia="方正仿宋_GBK"/>
                <w:sz w:val="24"/>
                <w:szCs w:val="24"/>
              </w:rPr>
              <w:t>响应项目名称</w:t>
            </w:r>
          </w:p>
        </w:tc>
        <w:tc>
          <w:tcPr>
            <w:tcW w:w="2271" w:type="dxa"/>
            <w:vAlign w:val="center"/>
          </w:tcPr>
          <w:p>
            <w:pPr>
              <w:tabs>
                <w:tab w:val="left" w:pos="6300"/>
              </w:tabs>
              <w:snapToGrid w:val="0"/>
              <w:spacing w:line="312" w:lineRule="auto"/>
              <w:jc w:val="center"/>
              <w:rPr>
                <w:rFonts w:hint="eastAsia" w:ascii="方正仿宋_GBK" w:hAnsi="宋体" w:eastAsia="方正仿宋_GBK"/>
                <w:sz w:val="24"/>
                <w:szCs w:val="24"/>
              </w:rPr>
            </w:pPr>
            <w:r>
              <w:rPr>
                <w:rFonts w:hint="eastAsia" w:ascii="方正仿宋_GBK" w:hAnsi="宋体" w:eastAsia="方正仿宋_GBK"/>
                <w:sz w:val="24"/>
                <w:szCs w:val="24"/>
              </w:rPr>
              <w:t>响应报价（小写）</w:t>
            </w:r>
          </w:p>
          <w:p>
            <w:pPr>
              <w:tabs>
                <w:tab w:val="left" w:pos="6300"/>
              </w:tabs>
              <w:snapToGrid w:val="0"/>
              <w:spacing w:line="312" w:lineRule="auto"/>
              <w:jc w:val="center"/>
              <w:rPr>
                <w:rFonts w:hint="eastAsia" w:ascii="方正仿宋_GBK" w:hAnsi="宋体" w:eastAsia="方正仿宋_GBK"/>
                <w:sz w:val="24"/>
                <w:szCs w:val="24"/>
              </w:rPr>
            </w:pPr>
            <w:r>
              <w:rPr>
                <w:rFonts w:hint="eastAsia" w:ascii="方正仿宋_GBK" w:hAnsi="宋体" w:eastAsia="方正仿宋_GBK"/>
                <w:sz w:val="24"/>
                <w:szCs w:val="24"/>
              </w:rPr>
              <w:t>单位（元）</w:t>
            </w:r>
          </w:p>
        </w:tc>
        <w:tc>
          <w:tcPr>
            <w:tcW w:w="1904" w:type="dxa"/>
            <w:vAlign w:val="center"/>
          </w:tcPr>
          <w:p>
            <w:pPr>
              <w:tabs>
                <w:tab w:val="left" w:pos="6300"/>
              </w:tabs>
              <w:snapToGrid w:val="0"/>
              <w:spacing w:line="312" w:lineRule="auto"/>
              <w:jc w:val="center"/>
              <w:rPr>
                <w:rFonts w:hint="eastAsia" w:ascii="方正仿宋_GBK" w:hAnsi="宋体" w:eastAsia="方正仿宋_GBK"/>
                <w:sz w:val="24"/>
                <w:szCs w:val="24"/>
                <w:lang w:eastAsia="zh-CN"/>
              </w:rPr>
            </w:pPr>
            <w:r>
              <w:rPr>
                <w:rFonts w:hint="eastAsia" w:ascii="方正仿宋_GBK" w:hAnsi="宋体" w:eastAsia="方正仿宋_GBK"/>
                <w:sz w:val="24"/>
                <w:szCs w:val="24"/>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5117" w:type="dxa"/>
            <w:gridSpan w:val="2"/>
            <w:vAlign w:val="center"/>
          </w:tcPr>
          <w:p>
            <w:pPr>
              <w:tabs>
                <w:tab w:val="left" w:pos="6300"/>
              </w:tabs>
              <w:snapToGrid w:val="0"/>
              <w:spacing w:line="312" w:lineRule="auto"/>
              <w:ind w:firstLine="480" w:firstLineChars="200"/>
              <w:rPr>
                <w:rFonts w:hint="eastAsia" w:ascii="方正仿宋_GBK" w:hAnsi="宋体" w:eastAsia="方正仿宋_GBK"/>
                <w:sz w:val="24"/>
                <w:szCs w:val="24"/>
              </w:rPr>
            </w:pPr>
          </w:p>
        </w:tc>
        <w:tc>
          <w:tcPr>
            <w:tcW w:w="2271" w:type="dxa"/>
            <w:vAlign w:val="top"/>
          </w:tcPr>
          <w:p>
            <w:pPr>
              <w:tabs>
                <w:tab w:val="left" w:pos="6300"/>
              </w:tabs>
              <w:snapToGrid w:val="0"/>
              <w:spacing w:line="312" w:lineRule="auto"/>
              <w:ind w:firstLine="480" w:firstLineChars="200"/>
              <w:rPr>
                <w:rFonts w:hint="eastAsia" w:ascii="方正仿宋_GBK" w:hAnsi="宋体" w:eastAsia="方正仿宋_GBK"/>
                <w:sz w:val="24"/>
                <w:szCs w:val="24"/>
              </w:rPr>
            </w:pPr>
          </w:p>
        </w:tc>
        <w:tc>
          <w:tcPr>
            <w:tcW w:w="1904" w:type="dxa"/>
            <w:vAlign w:val="top"/>
          </w:tcPr>
          <w:p>
            <w:pPr>
              <w:tabs>
                <w:tab w:val="left" w:pos="6300"/>
              </w:tabs>
              <w:snapToGrid w:val="0"/>
              <w:spacing w:line="312" w:lineRule="auto"/>
              <w:ind w:firstLine="480" w:firstLineChars="200"/>
              <w:rPr>
                <w:rFonts w:hint="eastAsia"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9292" w:type="dxa"/>
            <w:gridSpan w:val="4"/>
            <w:vAlign w:val="center"/>
          </w:tcPr>
          <w:p>
            <w:pPr>
              <w:tabs>
                <w:tab w:val="left" w:pos="6300"/>
              </w:tabs>
              <w:snapToGrid w:val="0"/>
              <w:spacing w:line="312" w:lineRule="auto"/>
              <w:rPr>
                <w:rFonts w:hint="eastAsia" w:ascii="方正仿宋_GBK" w:hAnsi="宋体" w:eastAsia="方正仿宋_GBK"/>
                <w:sz w:val="24"/>
                <w:szCs w:val="24"/>
              </w:rPr>
            </w:pPr>
            <w:r>
              <w:rPr>
                <w:rFonts w:hint="eastAsia" w:ascii="方正仿宋_GBK" w:hAnsi="宋体" w:eastAsia="方正仿宋_GBK"/>
                <w:sz w:val="24"/>
                <w:szCs w:val="24"/>
              </w:rPr>
              <w:t>响应报价（大写）：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9292" w:type="dxa"/>
            <w:gridSpan w:val="4"/>
            <w:vAlign w:val="center"/>
          </w:tcPr>
          <w:p>
            <w:pPr>
              <w:tabs>
                <w:tab w:val="left" w:pos="6300"/>
              </w:tabs>
              <w:snapToGrid w:val="0"/>
              <w:spacing w:line="312" w:lineRule="auto"/>
              <w:rPr>
                <w:rFonts w:hint="eastAsia" w:ascii="方正仿宋_GBK" w:hAnsi="宋体" w:eastAsia="方正仿宋_GBK"/>
                <w:sz w:val="24"/>
                <w:szCs w:val="24"/>
              </w:rPr>
            </w:pPr>
            <w:r>
              <w:rPr>
                <w:rFonts w:hint="eastAsia" w:ascii="方正仿宋_GBK" w:hAnsi="宋体" w:eastAsia="方正仿宋_GBK"/>
                <w:sz w:val="24"/>
                <w:szCs w:val="24"/>
              </w:rPr>
              <w:t>备注：不得高于本次采购人给定的响应最高限价，报价高于本限价的为无效响应。</w:t>
            </w:r>
          </w:p>
        </w:tc>
      </w:tr>
    </w:tbl>
    <w:p>
      <w:pPr>
        <w:spacing w:line="500" w:lineRule="exact"/>
        <w:ind w:firstLine="560" w:firstLineChars="200"/>
        <w:rPr>
          <w:rFonts w:hint="eastAsia" w:ascii="仿宋_GB2312" w:hAnsi="宋体" w:eastAsia="仿宋_GB2312"/>
          <w:color w:val="000000"/>
          <w:szCs w:val="28"/>
        </w:rPr>
      </w:pPr>
    </w:p>
    <w:p>
      <w:pPr>
        <w:spacing w:line="500" w:lineRule="exact"/>
        <w:ind w:firstLine="560" w:firstLineChars="200"/>
        <w:rPr>
          <w:rFonts w:hint="eastAsia" w:ascii="仿宋_GB2312" w:hAnsi="宋体" w:eastAsia="仿宋_GB2312"/>
          <w:color w:val="000000"/>
          <w:szCs w:val="28"/>
        </w:rPr>
      </w:pP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响应供应商：                            法人授权代表：</w:t>
      </w:r>
    </w:p>
    <w:p>
      <w:pPr>
        <w:tabs>
          <w:tab w:val="left" w:pos="6300"/>
        </w:tabs>
        <w:snapToGrid w:val="0"/>
        <w:spacing w:line="312" w:lineRule="auto"/>
        <w:ind w:firstLine="480" w:firstLineChars="200"/>
        <w:rPr>
          <w:rFonts w:hint="eastAsia" w:ascii="方正仿宋_GBK" w:hAnsi="宋体" w:eastAsia="方正仿宋_GBK"/>
          <w:sz w:val="24"/>
          <w:szCs w:val="24"/>
        </w:rPr>
      </w:pP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  （响应供应商公章）                          （签字或盖章）</w:t>
      </w:r>
    </w:p>
    <w:p>
      <w:pPr>
        <w:tabs>
          <w:tab w:val="left" w:pos="6300"/>
        </w:tabs>
        <w:snapToGrid w:val="0"/>
        <w:spacing w:line="312" w:lineRule="auto"/>
        <w:ind w:firstLine="480" w:firstLineChars="200"/>
        <w:rPr>
          <w:rFonts w:hint="eastAsia" w:ascii="方正仿宋_GBK" w:hAnsi="宋体" w:eastAsia="方正仿宋_GBK"/>
          <w:sz w:val="24"/>
          <w:szCs w:val="24"/>
        </w:rPr>
      </w:pPr>
    </w:p>
    <w:p>
      <w:pPr>
        <w:tabs>
          <w:tab w:val="left" w:pos="6300"/>
        </w:tabs>
        <w:snapToGrid w:val="0"/>
        <w:spacing w:line="312" w:lineRule="auto"/>
        <w:ind w:firstLine="480" w:firstLineChars="200"/>
        <w:rPr>
          <w:rFonts w:hint="eastAsia" w:ascii="方正仿宋_GBK" w:hAnsi="宋体" w:eastAsia="方正仿宋_GBK"/>
          <w:sz w:val="24"/>
          <w:szCs w:val="24"/>
        </w:rPr>
      </w:pP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                                     年     月     日</w:t>
      </w:r>
    </w:p>
    <w:p>
      <w:pPr>
        <w:snapToGrid w:val="0"/>
        <w:spacing w:line="500" w:lineRule="exact"/>
        <w:rPr>
          <w:rFonts w:hint="eastAsia" w:ascii="仿宋_GB2312" w:hAnsi="宋体" w:eastAsia="仿宋_GB2312"/>
          <w:color w:val="000000"/>
          <w:szCs w:val="28"/>
        </w:rPr>
      </w:pP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说明：</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报价一览表在评审大会上当众宣读，</w:t>
      </w:r>
      <w:r>
        <w:rPr>
          <w:rFonts w:hint="eastAsia" w:ascii="方正仿宋_GBK" w:hAnsi="宋体" w:eastAsia="方正仿宋_GBK"/>
          <w:sz w:val="24"/>
          <w:szCs w:val="24"/>
          <w:lang w:val="en-US" w:eastAsia="zh-CN"/>
        </w:rPr>
        <w:t>供应商须按格式填写且</w:t>
      </w:r>
      <w:r>
        <w:rPr>
          <w:rFonts w:hint="eastAsia" w:ascii="方正仿宋_GBK" w:hAnsi="宋体" w:eastAsia="方正仿宋_GBK"/>
          <w:sz w:val="24"/>
          <w:szCs w:val="24"/>
        </w:rPr>
        <w:t>务必填写清楚，准确无误。</w:t>
      </w:r>
    </w:p>
    <w:p>
      <w:pPr>
        <w:tabs>
          <w:tab w:val="left" w:pos="2895"/>
        </w:tabs>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若以联合体参与</w:t>
      </w:r>
      <w:r>
        <w:rPr>
          <w:rFonts w:hint="eastAsia" w:ascii="方正仿宋_GBK" w:hAnsi="宋体" w:eastAsia="方正仿宋_GBK"/>
          <w:sz w:val="24"/>
          <w:szCs w:val="24"/>
          <w:lang w:val="en-US" w:eastAsia="zh-CN"/>
        </w:rPr>
        <w:t>询价</w:t>
      </w:r>
      <w:r>
        <w:rPr>
          <w:rFonts w:hint="eastAsia" w:ascii="方正仿宋_GBK" w:hAnsi="宋体" w:eastAsia="方正仿宋_GBK"/>
          <w:sz w:val="24"/>
          <w:szCs w:val="24"/>
        </w:rPr>
        <w:t>的，应在“</w:t>
      </w:r>
      <w:r>
        <w:rPr>
          <w:rFonts w:hint="eastAsia" w:ascii="方正仿宋_GBK" w:hAnsi="宋体" w:eastAsia="方正仿宋_GBK"/>
          <w:sz w:val="24"/>
          <w:szCs w:val="24"/>
          <w:lang w:val="en-US" w:eastAsia="zh-CN"/>
        </w:rPr>
        <w:t>响应供应商</w:t>
      </w:r>
      <w:r>
        <w:rPr>
          <w:rFonts w:hint="eastAsia" w:ascii="方正仿宋_GBK" w:hAnsi="宋体" w:eastAsia="方正仿宋_GBK"/>
          <w:sz w:val="24"/>
          <w:szCs w:val="24"/>
        </w:rPr>
        <w:t>”处注明所有联合体名称</w:t>
      </w:r>
      <w:r>
        <w:rPr>
          <w:rFonts w:hint="eastAsia" w:ascii="方正仿宋_GBK" w:hAnsi="宋体" w:eastAsia="方正仿宋_GBK"/>
          <w:sz w:val="24"/>
          <w:szCs w:val="24"/>
          <w:lang w:eastAsia="zh-CN"/>
        </w:rPr>
        <w:t>，</w:t>
      </w:r>
      <w:r>
        <w:rPr>
          <w:rFonts w:hint="eastAsia" w:ascii="方正仿宋_GBK" w:hAnsi="宋体" w:eastAsia="方正仿宋_GBK"/>
          <w:sz w:val="24"/>
          <w:szCs w:val="24"/>
        </w:rPr>
        <w:t>至少应加盖联合体主办方（主体）公章。</w:t>
      </w:r>
      <w:r>
        <w:rPr>
          <w:rFonts w:hint="eastAsia" w:ascii="方正仿宋_GBK" w:hAnsi="宋体" w:eastAsia="方正仿宋_GBK"/>
          <w:sz w:val="24"/>
          <w:szCs w:val="24"/>
        </w:rPr>
        <w:br w:type="page"/>
      </w:r>
    </w:p>
    <w:p>
      <w:pPr>
        <w:tabs>
          <w:tab w:val="left" w:pos="2895"/>
        </w:tabs>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三</w:t>
      </w:r>
      <w:r>
        <w:rPr>
          <w:rFonts w:hint="eastAsia" w:ascii="方正仿宋_GBK" w:hAnsi="宋体" w:eastAsia="方正仿宋_GBK"/>
          <w:sz w:val="24"/>
          <w:szCs w:val="24"/>
        </w:rPr>
        <w:t>）明细报价表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项目号：                              </w:t>
      </w:r>
    </w:p>
    <w:p>
      <w:pPr>
        <w:spacing w:line="400" w:lineRule="exact"/>
        <w:ind w:firstLine="480" w:firstLineChars="200"/>
        <w:rPr>
          <w:rFonts w:hint="eastAsia" w:ascii="方正仿宋_GBK" w:hAnsi="宋体" w:eastAsia="方正仿宋_GBK"/>
          <w:sz w:val="24"/>
          <w:szCs w:val="24"/>
          <w:u w:val="single"/>
        </w:rPr>
      </w:pPr>
      <w:r>
        <w:rPr>
          <w:rFonts w:hint="eastAsia" w:ascii="方正仿宋_GBK" w:hAnsi="宋体" w:eastAsia="方正仿宋_GBK"/>
          <w:sz w:val="24"/>
          <w:szCs w:val="24"/>
        </w:rPr>
        <w:t xml:space="preserve">磋商项目名称： </w:t>
      </w:r>
    </w:p>
    <w:tbl>
      <w:tblPr>
        <w:tblStyle w:val="18"/>
        <w:tblW w:w="9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939" w:type="dxa"/>
            <w:vAlign w:val="center"/>
          </w:tcPr>
          <w:p>
            <w:pPr>
              <w:jc w:val="center"/>
              <w:rPr>
                <w:rFonts w:hint="eastAsia" w:ascii="方正仿宋_GBK" w:hAnsi="宋体" w:eastAsia="方正仿宋_GBK"/>
                <w:b/>
                <w:sz w:val="21"/>
                <w:szCs w:val="21"/>
              </w:rPr>
            </w:pPr>
            <w:r>
              <w:rPr>
                <w:rFonts w:hint="eastAsia" w:ascii="方正仿宋_GBK" w:hAnsi="宋体" w:eastAsia="方正仿宋_GBK"/>
                <w:b/>
                <w:sz w:val="21"/>
                <w:szCs w:val="21"/>
              </w:rPr>
              <w:t>序号</w:t>
            </w:r>
          </w:p>
        </w:tc>
        <w:tc>
          <w:tcPr>
            <w:tcW w:w="1557" w:type="dxa"/>
            <w:vAlign w:val="center"/>
          </w:tcPr>
          <w:p>
            <w:pPr>
              <w:jc w:val="center"/>
              <w:rPr>
                <w:rFonts w:hint="eastAsia" w:ascii="方正仿宋_GBK" w:hAnsi="宋体" w:eastAsia="方正仿宋_GBK"/>
                <w:b/>
                <w:sz w:val="21"/>
                <w:szCs w:val="21"/>
              </w:rPr>
            </w:pPr>
            <w:r>
              <w:rPr>
                <w:rFonts w:hint="eastAsia" w:ascii="方正仿宋_GBK" w:hAnsi="宋体" w:eastAsia="方正仿宋_GBK"/>
                <w:b/>
                <w:sz w:val="21"/>
                <w:szCs w:val="21"/>
              </w:rPr>
              <w:t>名称</w:t>
            </w:r>
          </w:p>
        </w:tc>
        <w:tc>
          <w:tcPr>
            <w:tcW w:w="3127" w:type="dxa"/>
            <w:vAlign w:val="center"/>
          </w:tcPr>
          <w:p>
            <w:pPr>
              <w:jc w:val="center"/>
              <w:rPr>
                <w:rFonts w:hint="eastAsia" w:ascii="方正仿宋_GBK" w:hAnsi="宋体" w:eastAsia="方正仿宋_GBK"/>
                <w:b/>
                <w:sz w:val="21"/>
                <w:szCs w:val="21"/>
              </w:rPr>
            </w:pPr>
            <w:r>
              <w:rPr>
                <w:rFonts w:hint="eastAsia" w:ascii="方正仿宋_GBK" w:hAnsi="宋体" w:eastAsia="方正仿宋_GBK"/>
                <w:b/>
                <w:sz w:val="21"/>
                <w:szCs w:val="21"/>
              </w:rPr>
              <w:t>相关信息</w:t>
            </w:r>
          </w:p>
        </w:tc>
        <w:tc>
          <w:tcPr>
            <w:tcW w:w="1235" w:type="dxa"/>
            <w:vAlign w:val="center"/>
          </w:tcPr>
          <w:p>
            <w:pPr>
              <w:jc w:val="center"/>
              <w:rPr>
                <w:rFonts w:hint="eastAsia" w:ascii="方正仿宋_GBK" w:hAnsi="宋体" w:eastAsia="方正仿宋_GBK"/>
                <w:b/>
                <w:sz w:val="21"/>
                <w:szCs w:val="21"/>
              </w:rPr>
            </w:pPr>
            <w:r>
              <w:rPr>
                <w:rFonts w:hint="eastAsia" w:ascii="方正仿宋_GBK" w:hAnsi="宋体" w:eastAsia="方正仿宋_GBK"/>
                <w:b/>
                <w:sz w:val="21"/>
                <w:szCs w:val="21"/>
              </w:rPr>
              <w:t>数量</w:t>
            </w:r>
          </w:p>
        </w:tc>
        <w:tc>
          <w:tcPr>
            <w:tcW w:w="1235" w:type="dxa"/>
            <w:vAlign w:val="center"/>
          </w:tcPr>
          <w:p>
            <w:pPr>
              <w:jc w:val="center"/>
              <w:rPr>
                <w:rFonts w:hint="eastAsia" w:ascii="方正仿宋_GBK" w:hAnsi="宋体" w:eastAsia="方正仿宋_GBK"/>
                <w:b/>
                <w:sz w:val="21"/>
                <w:szCs w:val="21"/>
              </w:rPr>
            </w:pPr>
            <w:r>
              <w:rPr>
                <w:rFonts w:hint="eastAsia" w:ascii="方正仿宋_GBK" w:hAnsi="宋体" w:eastAsia="方正仿宋_GBK"/>
                <w:b/>
                <w:sz w:val="21"/>
                <w:szCs w:val="21"/>
              </w:rPr>
              <w:t>单价</w:t>
            </w:r>
          </w:p>
        </w:tc>
        <w:tc>
          <w:tcPr>
            <w:tcW w:w="1235" w:type="dxa"/>
            <w:vAlign w:val="center"/>
          </w:tcPr>
          <w:p>
            <w:pPr>
              <w:jc w:val="center"/>
              <w:rPr>
                <w:rFonts w:hint="eastAsia" w:ascii="方正仿宋_GBK" w:hAnsi="宋体" w:eastAsia="方正仿宋_GBK"/>
                <w:b/>
                <w:sz w:val="21"/>
                <w:szCs w:val="21"/>
              </w:rPr>
            </w:pPr>
            <w:r>
              <w:rPr>
                <w:rFonts w:hint="eastAsia" w:ascii="方正仿宋_GBK" w:hAnsi="宋体" w:eastAsia="方正仿宋_GBK"/>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1</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ascii="方正仿宋_GBK" w:hAnsi="宋体" w:eastAsia="方正仿宋_GBK"/>
                <w:sz w:val="21"/>
                <w:szCs w:val="21"/>
              </w:rPr>
            </w:pPr>
          </w:p>
        </w:tc>
        <w:tc>
          <w:tcPr>
            <w:tcW w:w="1235" w:type="dxa"/>
            <w:vAlign w:val="center"/>
          </w:tcPr>
          <w:p>
            <w:pPr>
              <w:jc w:val="center"/>
              <w:rPr>
                <w:rFonts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2</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3</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4</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5</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6</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7</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8</w:t>
            </w:r>
          </w:p>
        </w:tc>
        <w:tc>
          <w:tcPr>
            <w:tcW w:w="1557"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人工费</w:t>
            </w: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w:t>
            </w: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9</w:t>
            </w:r>
          </w:p>
        </w:tc>
        <w:tc>
          <w:tcPr>
            <w:tcW w:w="1557"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运输费</w:t>
            </w: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w:t>
            </w: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10</w:t>
            </w:r>
          </w:p>
        </w:tc>
        <w:tc>
          <w:tcPr>
            <w:tcW w:w="1557"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其他费用</w:t>
            </w: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w:t>
            </w: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11</w:t>
            </w:r>
          </w:p>
        </w:tc>
        <w:tc>
          <w:tcPr>
            <w:tcW w:w="1557"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w:t>
            </w: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w:t>
            </w: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jc w:val="center"/>
        </w:trPr>
        <w:tc>
          <w:tcPr>
            <w:tcW w:w="939" w:type="dxa"/>
            <w:vAlign w:val="center"/>
          </w:tcPr>
          <w:p>
            <w:pPr>
              <w:pStyle w:val="5"/>
              <w:spacing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12</w:t>
            </w:r>
          </w:p>
        </w:tc>
        <w:tc>
          <w:tcPr>
            <w:tcW w:w="1557"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总计</w:t>
            </w:r>
          </w:p>
        </w:tc>
        <w:tc>
          <w:tcPr>
            <w:tcW w:w="6832" w:type="dxa"/>
            <w:gridSpan w:val="4"/>
            <w:vAlign w:val="top"/>
          </w:tcPr>
          <w:p>
            <w:pPr>
              <w:rPr>
                <w:rFonts w:hint="eastAsia" w:ascii="方正仿宋_GBK" w:hAnsi="宋体" w:eastAsia="方正仿宋_GBK"/>
                <w:sz w:val="21"/>
                <w:szCs w:val="21"/>
              </w:rPr>
            </w:pPr>
          </w:p>
        </w:tc>
      </w:tr>
    </w:tbl>
    <w:p>
      <w:pPr>
        <w:snapToGrid w:val="0"/>
        <w:spacing w:line="500" w:lineRule="exact"/>
        <w:ind w:firstLine="480" w:firstLineChars="200"/>
        <w:rPr>
          <w:rFonts w:hint="eastAsia" w:ascii="方正仿宋_GBK" w:hAnsi="宋体" w:eastAsia="方正仿宋_GBK"/>
          <w:sz w:val="24"/>
          <w:szCs w:val="28"/>
        </w:rPr>
      </w:pPr>
    </w:p>
    <w:p>
      <w:pPr>
        <w:snapToGrid w:val="0"/>
        <w:spacing w:line="50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注：1.供应商应完整填写本表</w:t>
      </w:r>
      <w:r>
        <w:rPr>
          <w:rFonts w:eastAsia="方正仿宋_GBK"/>
          <w:sz w:val="24"/>
          <w:szCs w:val="28"/>
        </w:rPr>
        <w:t>，没有填写或填</w:t>
      </w:r>
      <w:r>
        <w:rPr>
          <w:rFonts w:hint="eastAsia" w:eastAsia="方正仿宋_GBK"/>
          <w:sz w:val="24"/>
          <w:szCs w:val="28"/>
          <w:lang w:val="en-US" w:eastAsia="zh-CN"/>
        </w:rPr>
        <w:t>写</w:t>
      </w:r>
      <w:r>
        <w:rPr>
          <w:rFonts w:eastAsia="方正仿宋_GBK"/>
          <w:sz w:val="24"/>
          <w:szCs w:val="28"/>
        </w:rPr>
        <w:t>不完整的按无明细</w:t>
      </w:r>
      <w:r>
        <w:rPr>
          <w:rFonts w:hint="eastAsia" w:eastAsia="方正仿宋_GBK"/>
          <w:sz w:val="24"/>
          <w:szCs w:val="28"/>
          <w:lang w:val="en-US" w:eastAsia="zh-CN"/>
        </w:rPr>
        <w:t>报价表</w:t>
      </w:r>
      <w:r>
        <w:rPr>
          <w:rFonts w:eastAsia="方正仿宋_GBK"/>
          <w:sz w:val="24"/>
          <w:szCs w:val="28"/>
        </w:rPr>
        <w:t>处理</w:t>
      </w:r>
      <w:r>
        <w:rPr>
          <w:rFonts w:hint="eastAsia" w:ascii="方正仿宋_GBK" w:hAnsi="宋体" w:eastAsia="方正仿宋_GBK"/>
          <w:sz w:val="24"/>
          <w:szCs w:val="28"/>
        </w:rPr>
        <w:t>。</w:t>
      </w: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2.该表可扩展</w:t>
      </w:r>
      <w:bookmarkStart w:id="117" w:name="OLE_LINK2"/>
      <w:bookmarkStart w:id="118" w:name="OLE_LINK1"/>
      <w:r>
        <w:rPr>
          <w:rFonts w:hint="eastAsia" w:ascii="方正仿宋_GBK" w:hAnsi="宋体" w:eastAsia="方正仿宋_GBK"/>
          <w:sz w:val="24"/>
          <w:szCs w:val="28"/>
        </w:rPr>
        <w:t>。</w:t>
      </w:r>
      <w:bookmarkEnd w:id="117"/>
      <w:bookmarkEnd w:id="118"/>
    </w:p>
    <w:p>
      <w:pPr>
        <w:snapToGrid w:val="0"/>
        <w:spacing w:line="500" w:lineRule="exact"/>
        <w:rPr>
          <w:rFonts w:hint="eastAsia" w:ascii="方正仿宋_GBK" w:hAnsi="宋体" w:eastAsia="方正仿宋_GBK"/>
          <w:sz w:val="24"/>
          <w:szCs w:val="28"/>
          <w:lang w:val="en-US" w:eastAsia="zh-CN"/>
        </w:rPr>
      </w:pPr>
      <w:r>
        <w:rPr>
          <w:rFonts w:hint="eastAsia" w:ascii="方正仿宋_GBK" w:hAnsi="宋体" w:eastAsia="方正仿宋_GBK"/>
          <w:sz w:val="24"/>
          <w:szCs w:val="28"/>
          <w:lang w:val="en-US" w:eastAsia="zh-CN"/>
        </w:rPr>
        <w:t xml:space="preserve">        3.无此项费用的，以“单价”和“合计”栏以“0”表示。</w:t>
      </w:r>
    </w:p>
    <w:p>
      <w:pPr>
        <w:pStyle w:val="11"/>
        <w:spacing w:line="360" w:lineRule="auto"/>
        <w:rPr>
          <w:rFonts w:hint="eastAsia" w:ascii="方正仿宋_GBK" w:hAnsi="宋体" w:eastAsia="方正仿宋_GBK"/>
          <w:sz w:val="24"/>
          <w:szCs w:val="24"/>
        </w:rPr>
      </w:pPr>
    </w:p>
    <w:p>
      <w:pPr>
        <w:pStyle w:val="11"/>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rPr>
          <w:rFonts w:hint="eastAsia"/>
        </w:rPr>
      </w:pPr>
    </w:p>
    <w:p>
      <w:pPr>
        <w:rPr>
          <w:rFonts w:hint="eastAsia"/>
        </w:rPr>
      </w:pPr>
    </w:p>
    <w:p>
      <w:pPr>
        <w:spacing w:line="360" w:lineRule="auto"/>
        <w:rPr>
          <w:rFonts w:hint="eastAsia"/>
        </w:rPr>
      </w:pPr>
      <w:r>
        <w:rPr>
          <w:rFonts w:hint="eastAsia" w:ascii="方正仿宋_GBK" w:hAnsi="宋体" w:eastAsia="方正仿宋_GBK"/>
          <w:sz w:val="24"/>
          <w:szCs w:val="24"/>
        </w:rPr>
        <w:t xml:space="preserve">                                             供应商名称（公章）或自然人签署：</w:t>
      </w:r>
    </w:p>
    <w:p>
      <w:pPr>
        <w:spacing w:line="360" w:lineRule="auto"/>
        <w:ind w:right="480" w:firstLine="6480" w:firstLineChars="2700"/>
        <w:rPr>
          <w:rFonts w:hint="eastAsia" w:ascii="方正仿宋_GBK" w:hAnsi="宋体" w:eastAsia="方正仿宋_GBK"/>
          <w:sz w:val="24"/>
          <w:szCs w:val="24"/>
        </w:rPr>
      </w:pPr>
      <w:r>
        <w:rPr>
          <w:rFonts w:hint="eastAsia" w:ascii="方正仿宋_GBK" w:hAnsi="宋体" w:eastAsia="方正仿宋_GBK"/>
          <w:sz w:val="24"/>
          <w:szCs w:val="24"/>
        </w:rPr>
        <w:t>年     月    日</w:t>
      </w:r>
    </w:p>
    <w:p>
      <w:pPr>
        <w:snapToGrid w:val="0"/>
        <w:spacing w:line="360" w:lineRule="auto"/>
        <w:ind w:firstLine="480" w:firstLineChars="200"/>
        <w:rPr>
          <w:rFonts w:hint="eastAsia" w:ascii="方正仿宋_GBK" w:hAnsi="宋体" w:eastAsia="方正仿宋_GBK"/>
          <w:sz w:val="24"/>
          <w:szCs w:val="24"/>
          <w:bdr w:val="single" w:color="auto" w:sz="4" w:space="0"/>
        </w:rPr>
        <w:sectPr>
          <w:headerReference r:id="rId12" w:type="default"/>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119" w:name="_Toc313008357"/>
      <w:bookmarkStart w:id="120" w:name="_Toc342913420"/>
      <w:bookmarkStart w:id="121" w:name="_Toc76462351"/>
      <w:bookmarkStart w:id="122" w:name="_Toc106030907"/>
      <w:bookmarkStart w:id="123" w:name="_Toc313888361"/>
      <w:r>
        <w:rPr>
          <w:rFonts w:hint="eastAsia" w:ascii="方正仿宋_GBK" w:hAnsi="宋体" w:eastAsia="方正仿宋_GBK"/>
          <w:sz w:val="24"/>
        </w:rPr>
        <w:t>二、服务部分</w:t>
      </w:r>
      <w:bookmarkEnd w:id="119"/>
      <w:bookmarkEnd w:id="120"/>
      <w:bookmarkEnd w:id="121"/>
      <w:bookmarkEnd w:id="122"/>
      <w:bookmarkEnd w:id="123"/>
    </w:p>
    <w:p>
      <w:pPr>
        <w:tabs>
          <w:tab w:val="left" w:pos="6300"/>
        </w:tabs>
        <w:snapToGrid w:val="0"/>
        <w:spacing w:line="400" w:lineRule="exact"/>
        <w:ind w:firstLine="480" w:firstLineChars="200"/>
        <w:rPr>
          <w:rFonts w:hint="eastAsia" w:ascii="方正仿宋_GBK" w:hAnsi="宋体" w:eastAsia="方正仿宋_GBK"/>
          <w:szCs w:val="24"/>
        </w:rPr>
      </w:pPr>
      <w:r>
        <w:rPr>
          <w:rFonts w:hint="eastAsia" w:ascii="方正仿宋_GBK" w:hAnsi="宋体" w:eastAsia="方正仿宋_GBK"/>
          <w:sz w:val="24"/>
          <w:szCs w:val="24"/>
        </w:rPr>
        <w:t>（一）服务响应偏离表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项目号：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磋商项目名称：</w:t>
      </w:r>
    </w:p>
    <w:tbl>
      <w:tblPr>
        <w:tblStyle w:val="1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序号</w:t>
            </w:r>
          </w:p>
        </w:tc>
        <w:tc>
          <w:tcPr>
            <w:tcW w:w="29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采购需求</w:t>
            </w:r>
          </w:p>
        </w:tc>
        <w:tc>
          <w:tcPr>
            <w:tcW w:w="308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响应情况</w:t>
            </w:r>
          </w:p>
        </w:tc>
        <w:tc>
          <w:tcPr>
            <w:tcW w:w="230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line="500" w:lineRule="exact"/>
              <w:outlineLvl w:val="0"/>
              <w:rPr>
                <w:rFonts w:hint="eastAsia"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hint="eastAsia" w:ascii="方正仿宋_GBK" w:hAnsi="宋体" w:eastAsia="方正仿宋_GBK"/>
                <w:sz w:val="21"/>
                <w:szCs w:val="21"/>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hint="eastAsia"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本表即为对本项目“第二篇  项目服务需求”中所列条款进行比较和响应；</w:t>
      </w:r>
    </w:p>
    <w:p>
      <w:pPr>
        <w:tabs>
          <w:tab w:val="left" w:pos="6300"/>
        </w:tabs>
        <w:snapToGrid w:val="0"/>
        <w:spacing w:line="480" w:lineRule="exact"/>
        <w:ind w:firstLine="480" w:firstLineChars="200"/>
        <w:rPr>
          <w:rFonts w:hint="eastAsia" w:ascii="方正仿宋_GBK" w:hAnsi="仿宋" w:eastAsia="方正仿宋_GBK"/>
          <w:sz w:val="24"/>
          <w:szCs w:val="24"/>
        </w:rPr>
      </w:pPr>
      <w:r>
        <w:rPr>
          <w:rFonts w:hint="eastAsia" w:ascii="方正仿宋_GBK" w:hAnsi="宋体" w:eastAsia="方正仿宋_GBK"/>
          <w:sz w:val="24"/>
        </w:rPr>
        <w:t>2.本表可扩展</w:t>
      </w:r>
      <w:r>
        <w:rPr>
          <w:rFonts w:hint="eastAsia" w:ascii="方正仿宋_GBK" w:hAnsi="仿宋" w:eastAsia="方正仿宋_GBK"/>
          <w:sz w:val="24"/>
          <w:szCs w:val="24"/>
          <w:lang w:eastAsia="zh-CN"/>
        </w:rPr>
        <w:t>，</w:t>
      </w:r>
      <w:r>
        <w:rPr>
          <w:rFonts w:eastAsia="方正仿宋_GBK"/>
          <w:sz w:val="24"/>
          <w:szCs w:val="28"/>
        </w:rPr>
        <w:t>请</w:t>
      </w:r>
      <w:r>
        <w:rPr>
          <w:rFonts w:hint="eastAsia" w:eastAsia="方正仿宋_GBK"/>
          <w:sz w:val="24"/>
          <w:szCs w:val="28"/>
          <w:lang w:val="en-US" w:eastAsia="zh-CN"/>
        </w:rPr>
        <w:t>供应商</w:t>
      </w:r>
      <w:r>
        <w:rPr>
          <w:rFonts w:eastAsia="方正仿宋_GBK"/>
          <w:sz w:val="24"/>
          <w:szCs w:val="28"/>
        </w:rPr>
        <w:t>完整填写本表，没有填写或填</w:t>
      </w:r>
      <w:r>
        <w:rPr>
          <w:rFonts w:hint="eastAsia" w:eastAsia="方正仿宋_GBK"/>
          <w:sz w:val="24"/>
          <w:szCs w:val="28"/>
          <w:lang w:val="en-US" w:eastAsia="zh-CN"/>
        </w:rPr>
        <w:t>写</w:t>
      </w:r>
      <w:r>
        <w:rPr>
          <w:rFonts w:eastAsia="方正仿宋_GBK"/>
          <w:sz w:val="24"/>
          <w:szCs w:val="28"/>
        </w:rPr>
        <w:t>不完整的按无</w:t>
      </w:r>
      <w:r>
        <w:rPr>
          <w:rFonts w:hint="eastAsia" w:ascii="方正仿宋_GBK" w:hAnsi="宋体" w:eastAsia="方正仿宋_GBK"/>
          <w:sz w:val="24"/>
          <w:szCs w:val="28"/>
          <w:lang w:val="en-US" w:eastAsia="zh-CN"/>
        </w:rPr>
        <w:t>服务响应偏离表</w:t>
      </w:r>
      <w:r>
        <w:rPr>
          <w:rFonts w:eastAsia="方正仿宋_GBK"/>
          <w:sz w:val="24"/>
          <w:szCs w:val="28"/>
        </w:rPr>
        <w:t>处理</w:t>
      </w:r>
      <w:r>
        <w:rPr>
          <w:rFonts w:hint="eastAsia" w:ascii="方正仿宋_GBK" w:hAnsi="仿宋" w:eastAsia="方正仿宋_GBK"/>
          <w:sz w:val="24"/>
          <w:szCs w:val="24"/>
        </w:rPr>
        <w:t>。</w:t>
      </w:r>
    </w:p>
    <w:p>
      <w:pPr>
        <w:snapToGrid w:val="0"/>
        <w:spacing w:line="400" w:lineRule="exact"/>
        <w:ind w:firstLine="480" w:firstLineChars="200"/>
        <w:jc w:val="left"/>
        <w:rPr>
          <w:rFonts w:hint="eastAsia" w:ascii="方正仿宋_GBK" w:hAnsi="宋体" w:eastAsia="方正仿宋_GBK"/>
          <w:sz w:val="24"/>
          <w:szCs w:val="24"/>
        </w:rPr>
      </w:pPr>
      <w:r>
        <w:rPr>
          <w:rFonts w:hint="eastAsia" w:ascii="方正仿宋_GBK" w:hAnsi="仿宋" w:eastAsia="方正仿宋_GBK"/>
          <w:sz w:val="24"/>
          <w:szCs w:val="28"/>
        </w:rPr>
        <w:t>3.</w:t>
      </w:r>
      <w:r>
        <w:rPr>
          <w:rFonts w:hint="eastAsia" w:ascii="方正仿宋_GBK" w:hAnsi="仿宋" w:eastAsia="方正仿宋_GBK"/>
          <w:sz w:val="24"/>
          <w:szCs w:val="28"/>
          <w:lang w:val="en-US" w:eastAsia="zh-CN"/>
        </w:rPr>
        <w:t>响应情况</w:t>
      </w:r>
      <w:r>
        <w:rPr>
          <w:rFonts w:hint="eastAsia" w:ascii="方正仿宋_GBK" w:hAnsi="仿宋" w:eastAsia="方正仿宋_GBK"/>
          <w:sz w:val="24"/>
          <w:szCs w:val="28"/>
        </w:rPr>
        <w:t>栏</w:t>
      </w:r>
      <w:r>
        <w:rPr>
          <w:rFonts w:ascii="方正仿宋_GBK" w:hAnsi="仿宋" w:eastAsia="方正仿宋_GBK"/>
          <w:sz w:val="24"/>
          <w:szCs w:val="28"/>
        </w:rPr>
        <w:t>中</w:t>
      </w:r>
      <w:r>
        <w:rPr>
          <w:rFonts w:hint="eastAsia" w:ascii="方正仿宋_GBK" w:hAnsi="仿宋" w:eastAsia="方正仿宋_GBK"/>
          <w:sz w:val="24"/>
          <w:szCs w:val="28"/>
        </w:rPr>
        <w:t>应当注明</w:t>
      </w:r>
      <w:r>
        <w:rPr>
          <w:rFonts w:ascii="方正仿宋_GBK" w:hAnsi="仿宋" w:eastAsia="方正仿宋_GBK"/>
          <w:sz w:val="24"/>
          <w:szCs w:val="28"/>
        </w:rPr>
        <w:t>具体内容，且必须标注具体内容</w:t>
      </w:r>
      <w:r>
        <w:rPr>
          <w:rFonts w:hint="eastAsia" w:ascii="方正仿宋_GBK" w:hAnsi="仿宋" w:eastAsia="方正仿宋_GBK"/>
          <w:sz w:val="24"/>
          <w:szCs w:val="28"/>
        </w:rPr>
        <w:t>在</w:t>
      </w:r>
      <w:r>
        <w:rPr>
          <w:rFonts w:hint="eastAsia" w:ascii="方正仿宋_GBK" w:hAnsi="仿宋" w:eastAsia="方正仿宋_GBK"/>
          <w:sz w:val="24"/>
          <w:szCs w:val="28"/>
          <w:lang w:val="en-US" w:eastAsia="zh-CN"/>
        </w:rPr>
        <w:t>响应</w:t>
      </w:r>
      <w:r>
        <w:rPr>
          <w:rFonts w:ascii="方正仿宋_GBK" w:hAnsi="仿宋" w:eastAsia="方正仿宋_GBK"/>
          <w:sz w:val="24"/>
          <w:szCs w:val="28"/>
        </w:rPr>
        <w:t>文件中的位置（</w:t>
      </w:r>
      <w:r>
        <w:rPr>
          <w:rFonts w:hint="eastAsia" w:ascii="方正仿宋_GBK" w:hAnsi="仿宋" w:eastAsia="方正仿宋_GBK"/>
          <w:sz w:val="24"/>
          <w:szCs w:val="28"/>
        </w:rPr>
        <w:t>页码</w:t>
      </w:r>
      <w:r>
        <w:rPr>
          <w:rFonts w:ascii="方正仿宋_GBK" w:hAnsi="仿宋" w:eastAsia="方正仿宋_GBK"/>
          <w:sz w:val="24"/>
          <w:szCs w:val="28"/>
        </w:rPr>
        <w:t>）</w:t>
      </w:r>
      <w:r>
        <w:rPr>
          <w:rFonts w:hint="eastAsia" w:ascii="方正仿宋_GBK" w:hAnsi="仿宋" w:eastAsia="方正仿宋_GBK"/>
          <w:sz w:val="24"/>
          <w:szCs w:val="28"/>
        </w:rPr>
        <w:t>。</w:t>
      </w:r>
    </w:p>
    <w:p>
      <w:pPr>
        <w:tabs>
          <w:tab w:val="left" w:pos="6300"/>
        </w:tabs>
        <w:snapToGrid w:val="0"/>
        <w:spacing w:line="400" w:lineRule="exact"/>
        <w:ind w:firstLine="560" w:firstLineChars="200"/>
        <w:rPr>
          <w:rFonts w:hint="eastAsia" w:ascii="方正仿宋_GBK" w:hAnsi="宋体" w:eastAsia="方正仿宋_GBK"/>
          <w:szCs w:val="24"/>
        </w:rPr>
      </w:pPr>
      <w:r>
        <w:rPr>
          <w:rFonts w:ascii="方正仿宋_GBK" w:hAnsi="宋体" w:eastAsia="方正仿宋_GBK"/>
          <w:szCs w:val="24"/>
        </w:rPr>
        <w:br w:type="page"/>
      </w:r>
      <w:r>
        <w:rPr>
          <w:rFonts w:hint="eastAsia" w:ascii="方正仿宋_GBK" w:hAnsi="宋体" w:eastAsia="方正仿宋_GBK"/>
          <w:sz w:val="24"/>
          <w:szCs w:val="24"/>
        </w:rPr>
        <w:t>（二）其他资料（格式自定）</w:t>
      </w:r>
    </w:p>
    <w:p>
      <w:pPr>
        <w:pStyle w:val="3"/>
        <w:adjustRightInd w:val="0"/>
        <w:snapToGrid w:val="0"/>
        <w:spacing w:before="0" w:after="0" w:line="400" w:lineRule="exact"/>
        <w:ind w:firstLine="640" w:firstLineChars="200"/>
        <w:rPr>
          <w:rFonts w:hint="eastAsia" w:ascii="方正仿宋_GBK" w:hAnsi="宋体" w:eastAsia="方正仿宋_GBK"/>
          <w:sz w:val="24"/>
        </w:rPr>
      </w:pPr>
      <w:r>
        <w:rPr>
          <w:rFonts w:ascii="方正仿宋_GBK" w:eastAsia="方正仿宋_GBK"/>
          <w:b w:val="0"/>
        </w:rPr>
        <w:br w:type="page"/>
      </w:r>
      <w:bookmarkStart w:id="124" w:name="_Toc76462352"/>
      <w:bookmarkStart w:id="125" w:name="_Toc313008358"/>
      <w:bookmarkStart w:id="126" w:name="_Toc313888362"/>
      <w:bookmarkStart w:id="127" w:name="_Toc106030908"/>
      <w:bookmarkStart w:id="128" w:name="_Toc342913421"/>
      <w:r>
        <w:rPr>
          <w:rFonts w:hint="eastAsia" w:ascii="方正仿宋_GBK" w:hAnsi="宋体" w:eastAsia="方正仿宋_GBK"/>
          <w:sz w:val="24"/>
        </w:rPr>
        <w:t>三、商务部分</w:t>
      </w:r>
      <w:bookmarkEnd w:id="124"/>
      <w:bookmarkEnd w:id="125"/>
      <w:bookmarkEnd w:id="126"/>
      <w:bookmarkEnd w:id="127"/>
      <w:bookmarkEnd w:id="128"/>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（一）商务响应偏离表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项目号：                                </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磋商项目名称： </w:t>
      </w:r>
    </w:p>
    <w:tbl>
      <w:tblPr>
        <w:tblStyle w:val="18"/>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hint="eastAsia" w:ascii="方正仿宋_GBK" w:hAnsi="宋体" w:eastAsia="方正仿宋_GBK"/>
                <w:sz w:val="21"/>
                <w:szCs w:val="24"/>
              </w:rPr>
            </w:pPr>
            <w:r>
              <w:rPr>
                <w:rFonts w:hint="eastAsia" w:ascii="方正仿宋_GBK" w:hAnsi="宋体" w:eastAsia="方正仿宋_GBK"/>
                <w:sz w:val="21"/>
                <w:szCs w:val="24"/>
              </w:rPr>
              <w:t>序号</w:t>
            </w: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r>
              <w:rPr>
                <w:rFonts w:hint="eastAsia" w:ascii="方正仿宋_GBK" w:hAnsi="宋体" w:eastAsia="方正仿宋_GBK"/>
                <w:sz w:val="21"/>
                <w:szCs w:val="24"/>
              </w:rPr>
              <w:t>磋商项目商务需求</w:t>
            </w: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r>
              <w:rPr>
                <w:rFonts w:hint="eastAsia" w:ascii="方正仿宋_GBK" w:hAnsi="宋体" w:eastAsia="方正仿宋_GBK"/>
                <w:sz w:val="21"/>
                <w:szCs w:val="24"/>
              </w:rPr>
              <w:t>响应情况</w:t>
            </w: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r>
              <w:rPr>
                <w:rFonts w:hint="eastAsia" w:ascii="方正仿宋_GBK" w:hAnsi="宋体" w:eastAsia="方正仿宋_GBK"/>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 w:val="21"/>
                <w:szCs w:val="24"/>
              </w:rPr>
            </w:pPr>
          </w:p>
        </w:tc>
      </w:tr>
    </w:tbl>
    <w:p>
      <w:pPr>
        <w:snapToGrid w:val="0"/>
        <w:spacing w:line="360" w:lineRule="auto"/>
        <w:ind w:firstLine="465"/>
        <w:rPr>
          <w:rFonts w:hint="eastAsia" w:ascii="方正仿宋_GBK" w:hAnsi="宋体" w:eastAsia="方正仿宋_GBK"/>
          <w:sz w:val="24"/>
          <w:szCs w:val="24"/>
        </w:rPr>
      </w:pPr>
    </w:p>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hint="eastAsia"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本表即为对本项目“第三篇  项目商务需求”中所列条款进行比较和响应；</w:t>
      </w:r>
    </w:p>
    <w:p>
      <w:pPr>
        <w:tabs>
          <w:tab w:val="left" w:pos="6300"/>
        </w:tabs>
        <w:snapToGrid w:val="0"/>
        <w:spacing w:line="480" w:lineRule="exact"/>
        <w:ind w:firstLine="480" w:firstLineChars="200"/>
        <w:rPr>
          <w:rFonts w:hint="eastAsia" w:ascii="方正仿宋_GBK" w:hAnsi="仿宋" w:eastAsia="方正仿宋_GBK"/>
          <w:sz w:val="24"/>
          <w:szCs w:val="24"/>
        </w:rPr>
      </w:pPr>
      <w:r>
        <w:rPr>
          <w:rFonts w:hint="eastAsia" w:ascii="方正仿宋_GBK" w:hAnsi="宋体" w:eastAsia="方正仿宋_GBK"/>
          <w:sz w:val="24"/>
        </w:rPr>
        <w:t>2.本表可扩展</w:t>
      </w:r>
      <w:r>
        <w:rPr>
          <w:rFonts w:hint="eastAsia" w:ascii="方正仿宋_GBK" w:hAnsi="仿宋" w:eastAsia="方正仿宋_GBK"/>
          <w:sz w:val="24"/>
          <w:szCs w:val="24"/>
          <w:lang w:eastAsia="zh-CN"/>
        </w:rPr>
        <w:t>，</w:t>
      </w:r>
      <w:r>
        <w:rPr>
          <w:rFonts w:eastAsia="方正仿宋_GBK"/>
          <w:sz w:val="24"/>
          <w:szCs w:val="28"/>
        </w:rPr>
        <w:t>请</w:t>
      </w:r>
      <w:r>
        <w:rPr>
          <w:rFonts w:hint="eastAsia" w:eastAsia="方正仿宋_GBK"/>
          <w:sz w:val="24"/>
          <w:szCs w:val="28"/>
          <w:lang w:val="en-US" w:eastAsia="zh-CN"/>
        </w:rPr>
        <w:t>供应商</w:t>
      </w:r>
      <w:r>
        <w:rPr>
          <w:rFonts w:eastAsia="方正仿宋_GBK"/>
          <w:sz w:val="24"/>
          <w:szCs w:val="28"/>
        </w:rPr>
        <w:t>完整填写本表，没有填写或填</w:t>
      </w:r>
      <w:r>
        <w:rPr>
          <w:rFonts w:hint="eastAsia" w:eastAsia="方正仿宋_GBK"/>
          <w:sz w:val="24"/>
          <w:szCs w:val="28"/>
          <w:lang w:val="en-US" w:eastAsia="zh-CN"/>
        </w:rPr>
        <w:t>写</w:t>
      </w:r>
      <w:r>
        <w:rPr>
          <w:rFonts w:eastAsia="方正仿宋_GBK"/>
          <w:sz w:val="24"/>
          <w:szCs w:val="28"/>
        </w:rPr>
        <w:t>不完整的按无</w:t>
      </w:r>
      <w:r>
        <w:rPr>
          <w:rFonts w:hint="eastAsia" w:ascii="方正仿宋_GBK" w:hAnsi="宋体" w:eastAsia="方正仿宋_GBK"/>
          <w:sz w:val="24"/>
          <w:szCs w:val="28"/>
          <w:lang w:val="en-US" w:eastAsia="zh-CN"/>
        </w:rPr>
        <w:t>商务响应偏离表</w:t>
      </w:r>
      <w:r>
        <w:rPr>
          <w:rFonts w:eastAsia="方正仿宋_GBK"/>
          <w:sz w:val="24"/>
          <w:szCs w:val="28"/>
        </w:rPr>
        <w:t>处理</w:t>
      </w:r>
      <w:r>
        <w:rPr>
          <w:rFonts w:hint="eastAsia" w:ascii="方正仿宋_GBK" w:hAnsi="仿宋" w:eastAsia="方正仿宋_GBK"/>
          <w:sz w:val="24"/>
          <w:szCs w:val="24"/>
        </w:rPr>
        <w:t>。</w:t>
      </w:r>
    </w:p>
    <w:p>
      <w:pPr>
        <w:snapToGrid w:val="0"/>
        <w:spacing w:line="400" w:lineRule="exact"/>
        <w:ind w:firstLine="480" w:firstLineChars="200"/>
        <w:rPr>
          <w:rFonts w:hint="eastAsia" w:ascii="方正仿宋_GBK" w:eastAsia="方正仿宋_GBK"/>
          <w:b/>
        </w:rPr>
        <w:sectPr>
          <w:pgSz w:w="11907" w:h="16840"/>
          <w:pgMar w:top="1134" w:right="1191" w:bottom="1134" w:left="1304" w:header="851" w:footer="992" w:gutter="0"/>
          <w:pgNumType w:fmt="numberInDash"/>
          <w:cols w:space="720" w:num="1"/>
          <w:docGrid w:linePitch="380" w:charSpace="-5735"/>
        </w:sectPr>
      </w:pPr>
      <w:r>
        <w:rPr>
          <w:rFonts w:hint="eastAsia" w:ascii="方正仿宋_GBK" w:hAnsi="仿宋" w:eastAsia="方正仿宋_GBK"/>
          <w:sz w:val="24"/>
          <w:szCs w:val="28"/>
        </w:rPr>
        <w:t>3.</w:t>
      </w:r>
      <w:r>
        <w:rPr>
          <w:rFonts w:hint="eastAsia" w:ascii="方正仿宋_GBK" w:hAnsi="仿宋" w:eastAsia="方正仿宋_GBK"/>
          <w:sz w:val="24"/>
          <w:szCs w:val="28"/>
          <w:lang w:val="en-US" w:eastAsia="zh-CN"/>
        </w:rPr>
        <w:t>响应情况</w:t>
      </w:r>
      <w:r>
        <w:rPr>
          <w:rFonts w:hint="eastAsia" w:ascii="方正仿宋_GBK" w:hAnsi="仿宋" w:eastAsia="方正仿宋_GBK"/>
          <w:sz w:val="24"/>
          <w:szCs w:val="28"/>
        </w:rPr>
        <w:t>栏</w:t>
      </w:r>
      <w:r>
        <w:rPr>
          <w:rFonts w:ascii="方正仿宋_GBK" w:hAnsi="仿宋" w:eastAsia="方正仿宋_GBK"/>
          <w:sz w:val="24"/>
          <w:szCs w:val="28"/>
        </w:rPr>
        <w:t>中</w:t>
      </w:r>
      <w:r>
        <w:rPr>
          <w:rFonts w:hint="eastAsia" w:ascii="方正仿宋_GBK" w:hAnsi="仿宋" w:eastAsia="方正仿宋_GBK"/>
          <w:sz w:val="24"/>
          <w:szCs w:val="28"/>
        </w:rPr>
        <w:t>应当注明</w:t>
      </w:r>
      <w:r>
        <w:rPr>
          <w:rFonts w:ascii="方正仿宋_GBK" w:hAnsi="仿宋" w:eastAsia="方正仿宋_GBK"/>
          <w:sz w:val="24"/>
          <w:szCs w:val="28"/>
        </w:rPr>
        <w:t>具体内容，且必须标注具体内容</w:t>
      </w:r>
      <w:r>
        <w:rPr>
          <w:rFonts w:hint="eastAsia" w:ascii="方正仿宋_GBK" w:hAnsi="仿宋" w:eastAsia="方正仿宋_GBK"/>
          <w:sz w:val="24"/>
          <w:szCs w:val="28"/>
        </w:rPr>
        <w:t>在</w:t>
      </w:r>
      <w:r>
        <w:rPr>
          <w:rFonts w:hint="eastAsia" w:ascii="方正仿宋_GBK" w:hAnsi="仿宋" w:eastAsia="方正仿宋_GBK"/>
          <w:sz w:val="24"/>
          <w:szCs w:val="28"/>
          <w:lang w:val="en-US" w:eastAsia="zh-CN"/>
        </w:rPr>
        <w:t>响应</w:t>
      </w:r>
      <w:r>
        <w:rPr>
          <w:rFonts w:ascii="方正仿宋_GBK" w:hAnsi="仿宋" w:eastAsia="方正仿宋_GBK"/>
          <w:sz w:val="24"/>
          <w:szCs w:val="28"/>
        </w:rPr>
        <w:t>文件中的位置（</w:t>
      </w:r>
      <w:r>
        <w:rPr>
          <w:rFonts w:hint="eastAsia" w:ascii="方正仿宋_GBK" w:hAnsi="仿宋" w:eastAsia="方正仿宋_GBK"/>
          <w:sz w:val="24"/>
          <w:szCs w:val="28"/>
        </w:rPr>
        <w:t>页码</w:t>
      </w:r>
      <w:r>
        <w:rPr>
          <w:rFonts w:ascii="方正仿宋_GBK" w:hAnsi="仿宋" w:eastAsia="方正仿宋_GBK"/>
          <w:sz w:val="24"/>
          <w:szCs w:val="28"/>
        </w:rPr>
        <w:t>）</w:t>
      </w:r>
      <w:r>
        <w:rPr>
          <w:rFonts w:hint="eastAsia" w:ascii="方正仿宋_GBK" w:hAnsi="仿宋" w:eastAsia="方正仿宋_GBK"/>
          <w:sz w:val="24"/>
          <w:szCs w:val="28"/>
        </w:rPr>
        <w:t>。</w:t>
      </w:r>
    </w:p>
    <w:p>
      <w:pPr>
        <w:snapToGrid w:val="0"/>
        <w:spacing w:line="400" w:lineRule="exact"/>
        <w:ind w:firstLine="480" w:firstLineChars="200"/>
        <w:rPr>
          <w:rFonts w:hint="eastAsia" w:ascii="方正仿宋_GBK" w:hAnsi="宋体" w:eastAsia="方正仿宋_GBK" w:cs="Times New Roman"/>
          <w:kern w:val="2"/>
          <w:sz w:val="24"/>
          <w:szCs w:val="24"/>
          <w:lang w:val="en-US" w:eastAsia="zh-CN" w:bidi="ar-SA"/>
        </w:rPr>
      </w:pPr>
      <w:bookmarkStart w:id="129" w:name="_Toc283382459"/>
      <w:r>
        <w:rPr>
          <w:rFonts w:hint="eastAsia" w:ascii="方正仿宋_GBK" w:hAnsi="宋体" w:eastAsia="方正仿宋_GBK"/>
          <w:sz w:val="24"/>
          <w:szCs w:val="24"/>
        </w:rPr>
        <w:t>（二）</w:t>
      </w:r>
      <w:r>
        <w:rPr>
          <w:rFonts w:hint="eastAsia" w:ascii="方正仿宋_GBK" w:hAnsi="宋体" w:eastAsia="方正仿宋_GBK" w:cs="Times New Roman"/>
          <w:kern w:val="2"/>
          <w:sz w:val="24"/>
          <w:szCs w:val="24"/>
          <w:lang w:val="en-US" w:eastAsia="zh-CN" w:bidi="ar-SA"/>
        </w:rPr>
        <w:t>成本测算方案</w:t>
      </w:r>
    </w:p>
    <w:p>
      <w:pPr>
        <w:pStyle w:val="2"/>
        <w:ind w:firstLine="480" w:firstLineChars="200"/>
        <w:rPr>
          <w:rFonts w:hint="default"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（三）企业实力</w:t>
      </w:r>
    </w:p>
    <w:p>
      <w:pPr>
        <w:pStyle w:val="2"/>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（四）人员配备</w:t>
      </w:r>
    </w:p>
    <w:p>
      <w:pPr>
        <w:pStyle w:val="3"/>
        <w:adjustRightInd w:val="0"/>
        <w:snapToGrid w:val="0"/>
        <w:spacing w:before="0" w:after="0" w:line="400" w:lineRule="exact"/>
        <w:ind w:firstLine="480" w:firstLineChars="200"/>
        <w:rPr>
          <w:rFonts w:hint="eastAsia" w:ascii="方正仿宋_GBK" w:hAnsi="宋体" w:eastAsia="方正仿宋_GBK"/>
          <w:sz w:val="24"/>
        </w:rPr>
      </w:pPr>
      <w:r>
        <w:rPr>
          <w:rFonts w:hint="eastAsia" w:ascii="方正仿宋_GBK" w:hAnsi="宋体" w:eastAsia="方正仿宋_GBK" w:cs="Times New Roman"/>
          <w:b w:val="0"/>
          <w:kern w:val="2"/>
          <w:sz w:val="24"/>
          <w:szCs w:val="24"/>
          <w:lang w:val="en-US" w:eastAsia="zh-CN" w:bidi="ar-SA"/>
        </w:rPr>
        <w:t>（五）业绩</w:t>
      </w:r>
      <w:r>
        <w:rPr>
          <w:rFonts w:hint="eastAsia" w:ascii="方正仿宋_GBK" w:hAnsi="宋体" w:eastAsia="方正仿宋_GBK" w:cs="Times New Roman"/>
          <w:kern w:val="2"/>
          <w:sz w:val="24"/>
          <w:szCs w:val="24"/>
          <w:lang w:val="en-US" w:eastAsia="zh-CN" w:bidi="ar-SA"/>
        </w:rPr>
        <w:br w:type="page"/>
      </w:r>
      <w:bookmarkEnd w:id="129"/>
      <w:bookmarkStart w:id="130" w:name="_Toc313008359"/>
      <w:bookmarkStart w:id="131" w:name="_Toc313888363"/>
      <w:bookmarkStart w:id="132" w:name="_Toc76462353"/>
      <w:bookmarkStart w:id="133" w:name="_Toc106030909"/>
      <w:bookmarkStart w:id="134" w:name="_Toc342913422"/>
      <w:r>
        <w:rPr>
          <w:rFonts w:hint="eastAsia" w:ascii="方正仿宋_GBK" w:hAnsi="宋体" w:eastAsia="方正仿宋_GBK"/>
          <w:sz w:val="24"/>
          <w:szCs w:val="24"/>
          <w:lang w:val="en-US" w:eastAsia="zh-CN"/>
        </w:rPr>
        <w:t xml:space="preserve">    </w:t>
      </w:r>
      <w:r>
        <w:rPr>
          <w:rFonts w:hint="eastAsia" w:ascii="方正仿宋_GBK" w:hAnsi="宋体" w:eastAsia="方正仿宋_GBK"/>
          <w:sz w:val="24"/>
        </w:rPr>
        <w:t>四、资格条件</w:t>
      </w:r>
      <w:bookmarkEnd w:id="130"/>
      <w:bookmarkEnd w:id="131"/>
      <w:bookmarkEnd w:id="132"/>
      <w:bookmarkEnd w:id="133"/>
      <w:bookmarkEnd w:id="134"/>
    </w:p>
    <w:p>
      <w:pPr>
        <w:tabs>
          <w:tab w:val="left" w:pos="6300"/>
        </w:tabs>
        <w:snapToGrid w:val="0"/>
        <w:spacing w:line="400" w:lineRule="exact"/>
        <w:ind w:firstLine="570"/>
        <w:rPr>
          <w:rFonts w:hint="eastAsia"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4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snapToGrid w:val="0"/>
        <w:spacing w:line="400" w:lineRule="exact"/>
        <w:ind w:firstLine="560" w:firstLineChars="200"/>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磋商项目名称：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hint="eastAsia"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snapToGrid w:val="0"/>
        <w:spacing w:line="400" w:lineRule="exact"/>
        <w:ind w:firstLine="560" w:firstLineChars="200"/>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8"/>
        </w:rPr>
        <w:t>磋商项目名称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注：</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tabs>
          <w:tab w:val="left" w:pos="6300"/>
        </w:tabs>
        <w:snapToGrid w:val="0"/>
        <w:spacing w:line="500" w:lineRule="exact"/>
        <w:ind w:firstLine="570"/>
        <w:rPr>
          <w:rFonts w:hint="eastAsia"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tabs>
          <w:tab w:val="left" w:pos="6300"/>
        </w:tabs>
        <w:snapToGrid w:val="0"/>
        <w:spacing w:line="500" w:lineRule="exact"/>
        <w:ind w:firstLine="570"/>
        <w:rPr>
          <w:rFonts w:hint="eastAsia"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w:t>
      </w:r>
      <w:r>
        <w:rPr>
          <w:rFonts w:hint="eastAsia" w:ascii="方正仿宋_GBK" w:hAnsi="宋体" w:eastAsia="方正仿宋_GBK"/>
          <w:sz w:val="24"/>
          <w:szCs w:val="28"/>
        </w:rPr>
        <w:t>基本资格条件承诺函</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（采购代理机构名称）：</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特此承诺。</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jc w:val="right"/>
        <w:rPr>
          <w:rFonts w:hint="eastAsia" w:ascii="方正仿宋_GBK" w:hAnsi="仿宋" w:eastAsia="方正仿宋_GBK"/>
          <w:sz w:val="24"/>
        </w:rPr>
      </w:pPr>
      <w:r>
        <w:rPr>
          <w:rFonts w:hint="eastAsia" w:ascii="方正仿宋_GBK" w:hAnsi="仿宋" w:eastAsia="方正仿宋_GBK"/>
          <w:sz w:val="24"/>
        </w:rPr>
        <w:t>（供应商公章）</w:t>
      </w:r>
    </w:p>
    <w:p>
      <w:pPr>
        <w:tabs>
          <w:tab w:val="left" w:pos="6300"/>
        </w:tabs>
        <w:snapToGrid w:val="0"/>
        <w:spacing w:line="500" w:lineRule="exact"/>
        <w:ind w:firstLine="7920" w:firstLineChars="3300"/>
        <w:rPr>
          <w:rFonts w:hint="eastAsia" w:ascii="方正仿宋_GBK" w:hAnsi="宋体" w:eastAsia="方正仿宋_GBK"/>
          <w:sz w:val="24"/>
          <w:szCs w:val="24"/>
        </w:rPr>
      </w:pPr>
      <w:r>
        <w:rPr>
          <w:rFonts w:hint="eastAsia" w:ascii="方正仿宋_GBK" w:hAnsi="仿宋" w:eastAsia="方正仿宋_GBK"/>
          <w:sz w:val="24"/>
        </w:rPr>
        <w:t>年   月   日</w:t>
      </w:r>
    </w:p>
    <w:p>
      <w:pPr>
        <w:snapToGrid w:val="0"/>
        <w:spacing w:line="400" w:lineRule="exact"/>
        <w:ind w:firstLine="560" w:firstLineChars="200"/>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（五）落实政府采购政策需满足的资格要求</w:t>
      </w:r>
    </w:p>
    <w:p>
      <w:pPr>
        <w:snapToGrid w:val="0"/>
        <w:spacing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lang w:val="en-US" w:eastAsia="zh-CN"/>
        </w:rPr>
        <w:t>本项目</w:t>
      </w:r>
      <w:r>
        <w:rPr>
          <w:rFonts w:hint="eastAsia" w:ascii="方正仿宋_GBK" w:hAnsi="宋体" w:eastAsia="方正仿宋_GBK"/>
          <w:sz w:val="24"/>
          <w:szCs w:val="24"/>
        </w:rPr>
        <w:t>专门面向中小企业采购</w:t>
      </w:r>
      <w:r>
        <w:rPr>
          <w:rFonts w:hint="eastAsia" w:ascii="方正仿宋_GBK" w:hAnsi="宋体" w:eastAsia="方正仿宋_GBK"/>
          <w:sz w:val="24"/>
          <w:szCs w:val="24"/>
          <w:lang w:eastAsia="zh-CN"/>
        </w:rPr>
        <w:t>。</w:t>
      </w:r>
    </w:p>
    <w:p>
      <w:pPr>
        <w:tabs>
          <w:tab w:val="left" w:pos="6300"/>
        </w:tabs>
        <w:snapToGrid w:val="0"/>
        <w:spacing w:line="500" w:lineRule="exact"/>
        <w:ind w:firstLine="560" w:firstLineChars="200"/>
        <w:jc w:val="center"/>
        <w:rPr>
          <w:rFonts w:hint="eastAsia" w:ascii="方正仿宋_GBK" w:hAnsi="宋体" w:eastAsia="方正仿宋_GBK"/>
        </w:rPr>
      </w:pPr>
      <w:r>
        <w:rPr>
          <w:rFonts w:hint="eastAsia" w:ascii="方正仿宋_GBK" w:hAnsi="宋体" w:eastAsia="方正仿宋_GBK"/>
        </w:rPr>
        <w:t>中小企业声明函</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为本标的提供的服务人员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人，其中与本企业签订劳动合同</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人，其他人员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人。有其他人员的不符合中小企业扶持政策（适用于服务采购项目）;</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 xml:space="preserve"> （标的名称）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为本标的提供的服务人员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人，其中与本企业签订劳动合同</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人，其他人员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人。有其他人员的不符合中小企业扶持政策（适用于服务采购项目）;</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ascii="方正仿宋_GBK" w:hAnsi="仿宋" w:eastAsia="方正仿宋_GBK"/>
          <w:sz w:val="24"/>
          <w:szCs w:val="28"/>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 xml:space="preserve">                                                    </w:t>
      </w:r>
    </w:p>
    <w:p>
      <w:pPr>
        <w:tabs>
          <w:tab w:val="left" w:pos="6300"/>
        </w:tabs>
        <w:snapToGrid w:val="0"/>
        <w:spacing w:line="500" w:lineRule="exact"/>
        <w:ind w:firstLine="6120" w:firstLineChars="2550"/>
        <w:rPr>
          <w:rFonts w:hint="eastAsia"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line="500" w:lineRule="exact"/>
        <w:ind w:right="784" w:firstLine="6120" w:firstLineChars="2550"/>
        <w:rPr>
          <w:rFonts w:hint="eastAsia" w:ascii="方正仿宋_GBK" w:hAnsi="仿宋" w:eastAsia="方正仿宋_GBK"/>
          <w:sz w:val="24"/>
        </w:rPr>
      </w:pPr>
      <w:r>
        <w:rPr>
          <w:rFonts w:hint="eastAsia" w:ascii="方正仿宋_GBK" w:hAnsi="仿宋" w:eastAsia="方正仿宋_GBK"/>
          <w:sz w:val="24"/>
          <w:szCs w:val="28"/>
        </w:rPr>
        <w:t>日期：</w:t>
      </w:r>
    </w:p>
    <w:p>
      <w:pPr>
        <w:tabs>
          <w:tab w:val="left" w:pos="6300"/>
        </w:tabs>
        <w:snapToGrid w:val="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注：各行业划型标准：</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hint="eastAsia"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rPr>
        <w:t>监狱企业证明文件</w:t>
      </w:r>
    </w:p>
    <w:p>
      <w:pPr>
        <w:tabs>
          <w:tab w:val="left" w:pos="6300"/>
        </w:tabs>
        <w:snapToGrid w:val="0"/>
        <w:spacing w:line="400" w:lineRule="exact"/>
        <w:ind w:firstLine="480" w:firstLineChars="200"/>
        <w:rPr>
          <w:rFonts w:ascii="方正仿宋_GBK" w:hAnsi="仿宋" w:eastAsia="方正仿宋_GBK"/>
          <w:sz w:val="24"/>
        </w:rPr>
      </w:pPr>
      <w:r>
        <w:rPr>
          <w:rFonts w:hint="eastAsia" w:ascii="方正仿宋_GBK" w:hAnsi="仿宋" w:eastAsia="方正仿宋_GBK"/>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hint="eastAsia" w:ascii="方正仿宋_GBK" w:hAnsi="宋体" w:eastAsia="方正仿宋_GBK"/>
        </w:rPr>
      </w:pPr>
      <w:r>
        <w:rPr>
          <w:rFonts w:ascii="方正仿宋_GBK" w:hAnsi="仿宋" w:eastAsia="方正仿宋_GBK"/>
          <w:sz w:val="24"/>
        </w:rPr>
        <w:br w:type="page"/>
      </w: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供应商名称（盖章）：</w:t>
      </w:r>
    </w:p>
    <w:p>
      <w:pPr>
        <w:snapToGrid w:val="0"/>
        <w:spacing w:line="44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日  期：</w:t>
      </w: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p>
    <w:p>
      <w:pPr>
        <w:snapToGrid w:val="0"/>
        <w:spacing w:line="440" w:lineRule="exact"/>
        <w:ind w:firstLine="480" w:firstLineChars="200"/>
        <w:rPr>
          <w:rFonts w:hint="eastAsia" w:ascii="方正仿宋_GBK" w:hAnsi="仿宋" w:eastAsia="方正仿宋_GBK"/>
          <w:sz w:val="24"/>
        </w:rPr>
      </w:pPr>
      <w:r>
        <w:rPr>
          <w:rFonts w:hint="eastAsia" w:ascii="方正仿宋_GBK" w:hAnsi="宋体" w:eastAsia="方正仿宋_GBK" w:cs="宋体"/>
          <w:kern w:val="0"/>
          <w:sz w:val="24"/>
        </w:rPr>
        <w:t>若成交供应商为残疾人福利性单位的，将在结果公告时公告其《残疾人福利性单位声明函》。</w:t>
      </w:r>
    </w:p>
    <w:p>
      <w:pPr>
        <w:snapToGrid w:val="0"/>
        <w:spacing w:line="440" w:lineRule="exact"/>
        <w:ind w:firstLine="480" w:firstLineChars="200"/>
        <w:rPr>
          <w:rFonts w:hint="eastAsia" w:ascii="方正仿宋_GBK" w:hAnsi="仿宋" w:eastAsia="方正仿宋_GBK"/>
          <w:sz w:val="24"/>
        </w:rPr>
      </w:pPr>
    </w:p>
    <w:p>
      <w:pPr>
        <w:snapToGrid w:val="0"/>
        <w:spacing w:line="400" w:lineRule="exact"/>
        <w:ind w:firstLine="480" w:firstLineChars="200"/>
        <w:rPr>
          <w:rFonts w:hint="eastAsia" w:ascii="方正仿宋_GBK" w:hAnsi="宋体" w:eastAsia="方正仿宋_GBK"/>
          <w:sz w:val="24"/>
          <w:szCs w:val="24"/>
        </w:rPr>
      </w:pPr>
      <w:r>
        <w:rPr>
          <w:rFonts w:ascii="方正仿宋_GBK" w:hAnsi="宋体" w:eastAsia="方正仿宋_GBK"/>
          <w:sz w:val="24"/>
          <w:szCs w:val="24"/>
        </w:rPr>
        <w:br w:type="page"/>
      </w:r>
      <w:r>
        <w:rPr>
          <w:rFonts w:hint="eastAsia" w:ascii="方正仿宋_GBK" w:hAnsi="宋体" w:eastAsia="方正仿宋_GBK"/>
          <w:sz w:val="24"/>
          <w:szCs w:val="24"/>
        </w:rPr>
        <w:t>（二）其他与项目有关的资料</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其他与项目有关的资料（</w:t>
      </w:r>
      <w:r>
        <w:rPr>
          <w:rFonts w:hint="eastAsia" w:ascii="方正仿宋_GBK" w:hAnsi="宋体" w:eastAsia="方正仿宋_GBK"/>
          <w:sz w:val="24"/>
          <w:szCs w:val="24"/>
          <w:lang w:val="en-US" w:eastAsia="zh-CN"/>
        </w:rPr>
        <w:t>如有，</w:t>
      </w:r>
      <w:r>
        <w:rPr>
          <w:rFonts w:hint="eastAsia" w:ascii="方正仿宋_GBK" w:hAnsi="宋体" w:eastAsia="方正仿宋_GBK"/>
          <w:sz w:val="24"/>
          <w:szCs w:val="24"/>
        </w:rPr>
        <w:t>自附）：供应商总体情况介绍、其他与本项目有关的资料等。</w:t>
      </w:r>
    </w:p>
    <w:p>
      <w:pPr>
        <w:spacing w:line="360" w:lineRule="auto"/>
        <w:ind w:firstLine="480" w:firstLineChars="200"/>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（六）</w:t>
      </w:r>
      <w:r>
        <w:rPr>
          <w:rFonts w:hint="eastAsia" w:ascii="方正仿宋_GBK" w:hAnsi="宋体" w:eastAsia="方正仿宋_GBK"/>
          <w:sz w:val="24"/>
          <w:szCs w:val="24"/>
        </w:rPr>
        <w:t>特定资格条件证明文件</w:t>
      </w:r>
    </w:p>
    <w:p>
      <w:pPr>
        <w:tabs>
          <w:tab w:val="left" w:pos="6300"/>
        </w:tabs>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已按规定缴纳保证金的证明材料。</w:t>
      </w:r>
    </w:p>
    <w:p>
      <w:pPr>
        <w:pStyle w:val="3"/>
        <w:adjustRightInd w:val="0"/>
        <w:snapToGrid w:val="0"/>
        <w:spacing w:before="0" w:after="0" w:line="400" w:lineRule="exact"/>
        <w:ind w:firstLine="560" w:firstLineChars="200"/>
        <w:rPr>
          <w:rFonts w:hint="eastAsia" w:ascii="方正仿宋_GBK" w:hAnsi="宋体" w:eastAsia="方正仿宋_GBK"/>
          <w:sz w:val="24"/>
        </w:rPr>
      </w:pPr>
      <w:bookmarkStart w:id="135" w:name="_Toc14422"/>
      <w:r>
        <w:rPr>
          <w:rFonts w:ascii="方正仿宋_GBK" w:hAnsi="宋体" w:eastAsia="方正仿宋_GBK"/>
          <w:b w:val="0"/>
          <w:sz w:val="28"/>
        </w:rPr>
        <w:br w:type="page"/>
      </w:r>
      <w:bookmarkStart w:id="136" w:name="_Toc106030910"/>
      <w:bookmarkStart w:id="137" w:name="_Toc76462354"/>
      <w:r>
        <w:rPr>
          <w:rFonts w:hint="eastAsia" w:ascii="方正仿宋_GBK" w:hAnsi="宋体" w:eastAsia="方正仿宋_GBK"/>
          <w:sz w:val="24"/>
        </w:rPr>
        <w:t>五、其他资料</w:t>
      </w:r>
      <w:bookmarkEnd w:id="135"/>
      <w:bookmarkEnd w:id="136"/>
      <w:bookmarkEnd w:id="137"/>
      <w:r>
        <w:rPr>
          <w:rFonts w:hint="eastAsia" w:ascii="方正仿宋_GBK" w:hAnsi="宋体" w:eastAsia="方正仿宋_GBK"/>
          <w:b w:val="0"/>
          <w:bCs/>
          <w:sz w:val="24"/>
          <w:lang w:eastAsia="zh-CN"/>
        </w:rPr>
        <w:t>（</w:t>
      </w:r>
      <w:r>
        <w:rPr>
          <w:rFonts w:hint="eastAsia" w:ascii="方正仿宋_GBK" w:hAnsi="宋体" w:eastAsia="方正仿宋_GBK"/>
          <w:b w:val="0"/>
          <w:bCs/>
          <w:sz w:val="24"/>
          <w:lang w:val="en-US" w:eastAsia="zh-CN"/>
        </w:rPr>
        <w:t>如有，格式自拟</w:t>
      </w:r>
      <w:r>
        <w:rPr>
          <w:rFonts w:hint="eastAsia" w:ascii="方正仿宋_GBK" w:hAnsi="宋体" w:eastAsia="方正仿宋_GBK"/>
          <w:b w:val="0"/>
          <w:bCs/>
          <w:sz w:val="24"/>
          <w:lang w:eastAsia="zh-CN"/>
        </w:rPr>
        <w:t>）</w:t>
      </w: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spacing w:line="360" w:lineRule="auto"/>
        <w:ind w:firstLine="482" w:firstLineChars="200"/>
        <w:jc w:val="left"/>
        <w:rPr>
          <w:rFonts w:hint="eastAsia" w:ascii="方正仿宋_GBK" w:hAnsi="宋体" w:eastAsia="方正仿宋_GBK" w:cs="Times New Roman"/>
          <w:b/>
          <w:bCs w:val="0"/>
          <w:kern w:val="2"/>
          <w:sz w:val="24"/>
          <w:szCs w:val="22"/>
          <w:lang w:val="en-US" w:eastAsia="zh-CN" w:bidi="ar-SA"/>
        </w:rPr>
      </w:pPr>
      <w:r>
        <w:rPr>
          <w:rFonts w:hint="eastAsia" w:ascii="方正仿宋_GBK" w:hAnsi="宋体" w:eastAsia="方正仿宋_GBK" w:cs="Times New Roman"/>
          <w:b/>
          <w:bCs w:val="0"/>
          <w:kern w:val="2"/>
          <w:sz w:val="24"/>
          <w:szCs w:val="22"/>
          <w:lang w:val="en-US" w:eastAsia="zh-CN" w:bidi="ar-SA"/>
        </w:rPr>
        <w:t>六、实施方案（单独封装）</w:t>
      </w:r>
    </w:p>
    <w:p>
      <w:pPr>
        <w:pStyle w:val="2"/>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“秩序维护方案”“保洁服务方案”“食堂服务方案”“质量管理考核方案”</w:t>
      </w:r>
    </w:p>
    <w:p>
      <w:pPr>
        <w:pStyle w:val="2"/>
        <w:ind w:firstLine="480" w:firstLineChars="200"/>
        <w:rPr>
          <w:rFonts w:hint="eastAsia"/>
          <w:lang w:val="en-US" w:eastAsia="zh-CN"/>
        </w:rPr>
      </w:pPr>
      <w:r>
        <w:rPr>
          <w:rFonts w:hint="eastAsia" w:ascii="方正仿宋_GBK" w:hAnsi="宋体" w:eastAsia="方正仿宋_GBK"/>
          <w:sz w:val="24"/>
          <w:szCs w:val="24"/>
          <w:lang w:val="en-US" w:eastAsia="zh-CN"/>
        </w:rPr>
        <w:t>“拟投入装备”“应急处置方案”</w:t>
      </w: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rPr>
          <w:rFonts w:hint="eastAsia" w:ascii="方正仿宋_GBK" w:hAnsi="宋体" w:eastAsia="方正仿宋_GBK"/>
          <w:sz w:val="24"/>
          <w:szCs w:val="24"/>
        </w:rPr>
      </w:pPr>
    </w:p>
    <w:p>
      <w:pPr>
        <w:pStyle w:val="2"/>
        <w:rPr>
          <w:rFonts w:hint="eastAsia"/>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pStyle w:val="5"/>
        <w:spacing w:line="1200" w:lineRule="exact"/>
        <w:ind w:left="0"/>
        <w:jc w:val="center"/>
        <w:rPr>
          <w:rFonts w:eastAsia="仿宋"/>
          <w:sz w:val="84"/>
          <w:szCs w:val="84"/>
          <w:shd w:val="clear" w:color="auto" w:fill="FFFFFF"/>
        </w:rPr>
      </w:pPr>
      <w:r>
        <w:rPr>
          <w:rFonts w:eastAsia="仿宋"/>
          <w:sz w:val="84"/>
          <w:szCs w:val="84"/>
          <w:shd w:val="clear" w:color="auto" w:fill="FFFFFF"/>
        </w:rPr>
        <w:t>实 施 方 案</w:t>
      </w:r>
    </w:p>
    <w:p>
      <w:pPr>
        <w:pStyle w:val="5"/>
        <w:ind w:left="560"/>
        <w:rPr>
          <w:rFonts w:eastAsia="黑体"/>
          <w:sz w:val="36"/>
          <w:szCs w:val="36"/>
          <w:shd w:val="clear" w:color="auto" w:fill="FFFFFF"/>
        </w:rPr>
      </w:pPr>
    </w:p>
    <w:p>
      <w:pPr>
        <w:pStyle w:val="5"/>
        <w:ind w:left="560"/>
        <w:rPr>
          <w:rFonts w:eastAsia="黑体"/>
          <w:sz w:val="36"/>
          <w:szCs w:val="36"/>
          <w:shd w:val="clear" w:color="auto" w:fill="FFFFFF"/>
        </w:rPr>
      </w:pPr>
    </w:p>
    <w:p>
      <w:pPr>
        <w:pStyle w:val="5"/>
        <w:ind w:left="560"/>
        <w:rPr>
          <w:rFonts w:eastAsia="黑体"/>
          <w:sz w:val="36"/>
          <w:szCs w:val="36"/>
          <w:shd w:val="clear" w:color="auto" w:fill="FFFFFF"/>
        </w:rPr>
      </w:pPr>
    </w:p>
    <w:p>
      <w:pPr>
        <w:topLinePunct/>
        <w:autoSpaceDN w:val="0"/>
        <w:adjustRightInd w:val="0"/>
        <w:snapToGrid w:val="0"/>
        <w:spacing w:line="500" w:lineRule="exact"/>
        <w:jc w:val="left"/>
        <w:rPr>
          <w:rFonts w:eastAsia="仿宋"/>
          <w:sz w:val="32"/>
          <w:szCs w:val="32"/>
          <w:shd w:val="clear" w:color="auto" w:fill="FFFFFF"/>
        </w:rPr>
      </w:pPr>
    </w:p>
    <w:p>
      <w:pPr>
        <w:topLinePunct/>
        <w:autoSpaceDN w:val="0"/>
        <w:adjustRightInd w:val="0"/>
        <w:snapToGrid w:val="0"/>
        <w:spacing w:line="500" w:lineRule="exact"/>
        <w:jc w:val="left"/>
        <w:rPr>
          <w:rFonts w:eastAsia="仿宋"/>
          <w:sz w:val="32"/>
          <w:szCs w:val="32"/>
          <w:shd w:val="clear" w:color="auto" w:fill="FFFFFF"/>
        </w:rPr>
      </w:pPr>
      <w:r>
        <w:rPr>
          <w:rFonts w:eastAsia="仿宋"/>
          <w:sz w:val="32"/>
          <w:szCs w:val="32"/>
          <w:shd w:val="clear" w:color="auto" w:fill="FFFFFF"/>
        </w:rPr>
        <w:t>项</w:t>
      </w:r>
      <w:r>
        <w:rPr>
          <w:rFonts w:hint="eastAsia" w:eastAsia="仿宋"/>
          <w:sz w:val="32"/>
          <w:szCs w:val="32"/>
          <w:shd w:val="clear" w:color="auto" w:fill="FFFFFF"/>
          <w:lang w:val="en-US" w:eastAsia="zh-CN"/>
        </w:rPr>
        <w:t xml:space="preserve">   </w:t>
      </w:r>
      <w:r>
        <w:rPr>
          <w:rFonts w:eastAsia="仿宋"/>
          <w:sz w:val="32"/>
          <w:szCs w:val="32"/>
          <w:shd w:val="clear" w:color="auto" w:fill="FFFFFF"/>
        </w:rPr>
        <w:t>目</w:t>
      </w:r>
      <w:r>
        <w:rPr>
          <w:rFonts w:hint="eastAsia" w:eastAsia="仿宋"/>
          <w:sz w:val="32"/>
          <w:szCs w:val="32"/>
          <w:shd w:val="clear" w:color="auto" w:fill="FFFFFF"/>
          <w:lang w:val="en-US" w:eastAsia="zh-CN"/>
        </w:rPr>
        <w:t xml:space="preserve">   </w:t>
      </w:r>
      <w:r>
        <w:rPr>
          <w:rFonts w:eastAsia="仿宋"/>
          <w:sz w:val="32"/>
          <w:szCs w:val="32"/>
          <w:shd w:val="clear" w:color="auto" w:fill="FFFFFF"/>
        </w:rPr>
        <w:t>号：</w:t>
      </w:r>
    </w:p>
    <w:p>
      <w:pPr>
        <w:topLinePunct/>
        <w:autoSpaceDN w:val="0"/>
        <w:adjustRightInd w:val="0"/>
        <w:snapToGrid w:val="0"/>
        <w:spacing w:line="500" w:lineRule="exact"/>
        <w:jc w:val="left"/>
        <w:rPr>
          <w:rFonts w:ascii="Times New Roman" w:hAnsi="Times New Roman" w:eastAsia="仿宋" w:cs="Times New Roman"/>
          <w:sz w:val="32"/>
          <w:szCs w:val="32"/>
          <w:shd w:val="clear" w:color="auto" w:fill="FFFFFF"/>
        </w:rPr>
      </w:pPr>
      <w:r>
        <w:rPr>
          <w:rFonts w:hint="eastAsia" w:ascii="Times New Roman" w:hAnsi="Times New Roman" w:eastAsia="仿宋" w:cs="Times New Roman"/>
          <w:sz w:val="32"/>
          <w:szCs w:val="32"/>
          <w:shd w:val="clear" w:color="auto" w:fill="FFFFFF"/>
        </w:rPr>
        <w:t>采购执行编号</w:t>
      </w:r>
      <w:r>
        <w:rPr>
          <w:rFonts w:ascii="Times New Roman" w:hAnsi="Times New Roman" w:eastAsia="仿宋" w:cs="Times New Roman"/>
          <w:sz w:val="32"/>
          <w:szCs w:val="32"/>
          <w:shd w:val="clear" w:color="auto" w:fill="FFFFFF"/>
        </w:rPr>
        <w:t>：</w:t>
      </w:r>
    </w:p>
    <w:p>
      <w:pPr>
        <w:topLinePunct/>
        <w:autoSpaceDN w:val="0"/>
        <w:adjustRightInd w:val="0"/>
        <w:snapToGrid w:val="0"/>
        <w:spacing w:line="500" w:lineRule="exact"/>
        <w:jc w:val="left"/>
        <w:rPr>
          <w:rFonts w:eastAsia="仿宋"/>
          <w:sz w:val="32"/>
          <w:szCs w:val="32"/>
          <w:shd w:val="clear" w:color="auto" w:fill="FFFFFF"/>
        </w:rPr>
      </w:pPr>
      <w:r>
        <w:rPr>
          <w:rFonts w:hint="eastAsia" w:eastAsia="仿宋"/>
          <w:sz w:val="32"/>
          <w:szCs w:val="32"/>
          <w:shd w:val="clear" w:color="auto" w:fill="FFFFFF"/>
          <w:lang w:eastAsia="zh-CN"/>
        </w:rPr>
        <w:t>招标</w:t>
      </w:r>
      <w:r>
        <w:rPr>
          <w:rFonts w:eastAsia="仿宋"/>
          <w:sz w:val="32"/>
          <w:szCs w:val="32"/>
          <w:shd w:val="clear" w:color="auto" w:fill="FFFFFF"/>
        </w:rPr>
        <w:t>项目名称：</w:t>
      </w:r>
    </w:p>
    <w:p>
      <w:pPr>
        <w:ind w:firstLine="360" w:firstLineChars="100"/>
        <w:rPr>
          <w:rFonts w:hint="eastAsia" w:eastAsia="仿宋"/>
          <w:sz w:val="36"/>
          <w:shd w:val="clear" w:color="auto" w:fill="FFFFFF"/>
        </w:rPr>
      </w:pPr>
    </w:p>
    <w:p>
      <w:pPr>
        <w:ind w:firstLine="320" w:firstLineChars="100"/>
        <w:rPr>
          <w:rFonts w:eastAsia="仿宋"/>
          <w:sz w:val="36"/>
          <w:shd w:val="clear" w:color="auto" w:fill="FFFFFF"/>
        </w:rPr>
      </w:pPr>
      <w:r>
        <w:rPr>
          <w:rFonts w:eastAsia="仿宋"/>
          <w:sz w:val="32"/>
          <w:szCs w:val="32"/>
          <w:shd w:val="clear" w:color="auto" w:fill="FFFFFF"/>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-3318510</wp:posOffset>
                </wp:positionV>
                <wp:extent cx="228600" cy="198120"/>
                <wp:effectExtent l="4445" t="4445" r="14605" b="6985"/>
                <wp:wrapNone/>
                <wp:docPr id="1" name="椭圆 1"/>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FFFFFF"/>
                          </a:solidFill>
                          <a:prstDash val="solid"/>
                          <a:headEnd type="none" w="med" len="med"/>
                          <a:tailEnd type="none" w="med" len="med"/>
                        </a:ln>
                      </wps:spPr>
                      <wps:txbx>
                        <w:txbxContent>
                          <w:p>
                            <w:pPr/>
                          </w:p>
                        </w:txbxContent>
                      </wps:txbx>
                      <wps:bodyPr upright="1"/>
                    </wps:wsp>
                  </a:graphicData>
                </a:graphic>
              </wp:anchor>
            </w:drawing>
          </mc:Choice>
          <mc:Fallback>
            <w:pict>
              <v:shape id="_x0000_s1026" o:spid="_x0000_s1026" o:spt="3" type="#_x0000_t3" style="position:absolute;left:0pt;margin-left:-63pt;margin-top:-261.3pt;height:15.6pt;width:18pt;z-index:251667456;mso-width-relative:page;mso-height-relative:page;" fillcolor="#FFFFFF" filled="t" stroked="t" coordsize="21600,21600" o:gfxdata="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P6PH3gAA&#10;AA4BAAAPAAAAAAAAAAEAIAAAACIAAABkcnMvZG93bnJldi54bWxQSwECFAAUAAAACACHTuJAeqNe&#10;j98BAADTAwAADgAAAAAAAAABACAAAAAtAQAAZHJzL2Uyb0RvYy54bWxQSwUGAAAAAAYABgBZAQAA&#10;fgUAAAAA&#10;">
                <v:fill on="t" focussize="0,0"/>
                <v:stroke color="#FFFFFF" joinstyle="round"/>
                <v:imagedata o:title=""/>
                <o:lock v:ext="edit" aspectratio="f"/>
                <v:textbox>
                  <w:txbxContent>
                    <w:p>
                      <w:pPr/>
                    </w:p>
                  </w:txbxContent>
                </v:textbox>
              </v:shape>
            </w:pict>
          </mc:Fallback>
        </mc:AlternateContent>
      </w:r>
      <w:r>
        <w:rPr>
          <w:rFonts w:eastAsia="仿宋"/>
          <w:sz w:val="32"/>
          <w:szCs w:val="32"/>
          <w:shd w:val="clear" w:color="auto" w:fill="FFFFFF"/>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332740</wp:posOffset>
                </wp:positionV>
                <wp:extent cx="914400" cy="914400"/>
                <wp:effectExtent l="4445" t="4445" r="14605" b="14605"/>
                <wp:wrapNone/>
                <wp:docPr id="9" name="椭圆 9"/>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FFFFFF"/>
                        </a:solidFill>
                        <a:ln w="9525" cap="flat" cmpd="sng">
                          <a:solidFill>
                            <a:srgbClr val="FFFFFF"/>
                          </a:solidFill>
                          <a:prstDash val="solid"/>
                          <a:headEnd type="none" w="med" len="med"/>
                          <a:tailEnd type="none" w="med" len="med"/>
                        </a:ln>
                      </wps:spPr>
                      <wps:txbx>
                        <w:txbxContent>
                          <w:p>
                            <w:pPr/>
                          </w:p>
                        </w:txbxContent>
                      </wps:txbx>
                      <wps:bodyPr upright="1"/>
                    </wps:wsp>
                  </a:graphicData>
                </a:graphic>
              </wp:anchor>
            </w:drawing>
          </mc:Choice>
          <mc:Fallback>
            <w:pict>
              <v:shape id="_x0000_s1026" o:spid="_x0000_s1026" o:spt="3" type="#_x0000_t3" style="position:absolute;left:0pt;margin-left:396pt;margin-top:26.2pt;height:72pt;width:72pt;z-index:251666432;mso-width-relative:page;mso-height-relative:page;" fillcolor="#FFFFFF" filled="t" stroked="t" coordsize="21600,21600" o:gfxdata="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WpesfbAAAACgEAAA8A&#10;AAAAAAAAAQAgAAAAIgAAAGRycy9kb3ducmV2LnhtbFBLAQIUABQAAAAIAIdO4kDj4BuY2wEAANMD&#10;AAAOAAAAAAAAAAEAIAAAACoBAABkcnMvZTJvRG9jLnhtbFBLBQYAAAAABgAGAFkBAAB3BQAAAAA=&#10;">
                <v:fill on="t" focussize="0,0"/>
                <v:stroke color="#FFFFFF" joinstyle="round"/>
                <v:imagedata o:title=""/>
                <o:lock v:ext="edit" aspectratio="f"/>
                <v:textbox>
                  <w:txbxContent>
                    <w:p>
                      <w:pPr/>
                    </w:p>
                  </w:txbxContent>
                </v:textbox>
              </v:shape>
            </w:pict>
          </mc:Fallback>
        </mc:AlternateContent>
      </w:r>
    </w:p>
    <w:p>
      <w:pPr>
        <w:rPr>
          <w:shd w:val="clear" w:color="auto" w:fill="FFFFFF"/>
        </w:rPr>
      </w:pPr>
      <w:r>
        <w:rPr>
          <w:rFonts w:eastAsia="黑体"/>
          <w:sz w:val="36"/>
          <w:shd w:val="clear" w:color="auto" w:fill="FFFFFF"/>
        </w:rPr>
        <mc:AlternateContent>
          <mc:Choice Requires="wps">
            <w:drawing>
              <wp:anchor distT="0" distB="0" distL="114300" distR="114300" simplePos="0" relativeHeight="251660288" behindDoc="0" locked="0" layoutInCell="1" allowOverlap="1">
                <wp:simplePos x="0" y="0"/>
                <wp:positionH relativeFrom="column">
                  <wp:posOffset>843280</wp:posOffset>
                </wp:positionH>
                <wp:positionV relativeFrom="paragraph">
                  <wp:posOffset>931545</wp:posOffset>
                </wp:positionV>
                <wp:extent cx="5271135" cy="4330065"/>
                <wp:effectExtent l="8255" t="9525" r="16510" b="22860"/>
                <wp:wrapNone/>
                <wp:docPr id="6" name="直接连接符 6"/>
                <wp:cNvGraphicFramePr/>
                <a:graphic xmlns:a="http://schemas.openxmlformats.org/drawingml/2006/main">
                  <a:graphicData uri="http://schemas.microsoft.com/office/word/2010/wordprocessingShape">
                    <wps:wsp>
                      <wps:cNvCnPr/>
                      <wps:spPr>
                        <a:xfrm flipH="1">
                          <a:off x="0" y="0"/>
                          <a:ext cx="5271135" cy="4330065"/>
                        </a:xfrm>
                        <a:prstGeom prst="line">
                          <a:avLst/>
                        </a:prstGeom>
                        <a:ln w="25400"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flip:x;margin-left:66.4pt;margin-top:73.35pt;height:340.95pt;width:415.05pt;z-index:251660288;mso-width-relative:page;mso-height-relative:page;" filled="f" stroked="t" coordsize="21600,21600" o:gfxdata="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Ag&#10;KmraAAAACwEAAA8AAAAAAAAAAQAgAAAAIgAAAGRycy9kb3ducmV2LnhtbFBLAQIUABQAAAAIAIdO&#10;4kAaxPJN6AEAAKYDAAAOAAAAAAAAAAEAIAAAACkBAABkcnMvZTJvRG9jLnhtbFBLBQYAAAAABgAG&#10;AFkBAACDBQAAAAA=&#10;">
                <v:fill on="f" focussize="0,0"/>
                <v:stroke weight="2pt" color="#000000" joinstyle="round" dashstyle="dash"/>
                <v:imagedata o:title=""/>
                <o:lock v:ext="edit" aspectratio="f"/>
              </v:line>
            </w:pict>
          </mc:Fallback>
        </mc:AlternateContent>
      </w:r>
      <w:r>
        <w:rPr>
          <w:shd w:val="clear" w:color="auto" w:fill="FFFFFF"/>
        </w:rPr>
        <mc:AlternateContent>
          <mc:Choice Requires="wps">
            <w:drawing>
              <wp:anchor distT="0" distB="0" distL="114300" distR="114300" simplePos="0" relativeHeight="251664384" behindDoc="0" locked="0" layoutInCell="1" allowOverlap="1">
                <wp:simplePos x="0" y="0"/>
                <wp:positionH relativeFrom="column">
                  <wp:posOffset>5956300</wp:posOffset>
                </wp:positionH>
                <wp:positionV relativeFrom="paragraph">
                  <wp:posOffset>1192530</wp:posOffset>
                </wp:positionV>
                <wp:extent cx="342900" cy="36195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342900" cy="3619500"/>
                        </a:xfrm>
                        <a:prstGeom prst="rect">
                          <a:avLst/>
                        </a:prstGeom>
                        <a:solidFill>
                          <a:srgbClr val="FFFFFF"/>
                        </a:solidFill>
                        <a:ln w="0" cap="flat" cmpd="sng">
                          <a:solidFill>
                            <a:srgbClr val="FFFFFF"/>
                          </a:solidFill>
                          <a:prstDash val="solid"/>
                          <a:miter/>
                          <a:headEnd type="none" w="med" len="med"/>
                          <a:tailEnd type="none" w="med" len="med"/>
                        </a:ln>
                      </wps:spPr>
                      <wps:txbx>
                        <w:txbxContent>
                          <w:p>
                            <w:pPr>
                              <w:ind w:firstLine="720" w:firstLineChars="300"/>
                              <w:rPr>
                                <w:rFonts w:hint="eastAsia"/>
                                <w:sz w:val="24"/>
                                <w:szCs w:val="24"/>
                              </w:rPr>
                            </w:pPr>
                            <w:r>
                              <w:rPr>
                                <w:rFonts w:hint="eastAsia"/>
                                <w:sz w:val="24"/>
                                <w:szCs w:val="24"/>
                              </w:rPr>
                              <w:t>双    面    胶    粘    贴     处</w:t>
                            </w:r>
                          </w:p>
                        </w:txbxContent>
                      </wps:txbx>
                      <wps:bodyPr vert="eaVert" lIns="0" tIns="0" rIns="0" bIns="0" upright="1"/>
                    </wps:wsp>
                  </a:graphicData>
                </a:graphic>
              </wp:anchor>
            </w:drawing>
          </mc:Choice>
          <mc:Fallback>
            <w:pict>
              <v:shape id="_x0000_s1026" o:spid="_x0000_s1026" o:spt="202" type="#_x0000_t202" style="position:absolute;left:0pt;margin-left:469pt;margin-top:93.9pt;height:285pt;width:27pt;z-index:251664384;mso-width-relative:page;mso-height-relative:page;" fillcolor="#FFFFFF" filled="t" stroked="t" coordsize="21600,21600" o:gfxdata="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QZOxnaAAAACwEAAA8AAAAAAAAAAQAgAAAAIgAAAGRycy9kb3du&#10;cmV2LnhtbFBLAQIUABQAAAAIAIdO4kDagrzL/QEAABcEAAAOAAAAAAAAAAEAIAAAACkBAABkcnMv&#10;ZTJvRG9jLnhtbFBLBQYAAAAABgAGAFkBAACYBQAAAAA=&#10;">
                <v:fill on="t" focussize="0,0"/>
                <v:stroke weight="0pt" color="#FFFFFF" joinstyle="miter"/>
                <v:imagedata o:title=""/>
                <o:lock v:ext="edit" aspectratio="f"/>
                <v:textbox inset="0mm,0mm,0mm,0mm" style="layout-flow:vertical-ideographic;">
                  <w:txbxContent>
                    <w:p>
                      <w:pPr>
                        <w:ind w:firstLine="720" w:firstLineChars="300"/>
                        <w:rPr>
                          <w:rFonts w:hint="eastAsia"/>
                          <w:sz w:val="24"/>
                          <w:szCs w:val="24"/>
                        </w:rPr>
                      </w:pPr>
                      <w:r>
                        <w:rPr>
                          <w:rFonts w:hint="eastAsia"/>
                          <w:sz w:val="24"/>
                          <w:szCs w:val="24"/>
                        </w:rPr>
                        <w:t>双    面    胶    粘    贴     处</w:t>
                      </w:r>
                    </w:p>
                  </w:txbxContent>
                </v:textbox>
              </v:shape>
            </w:pict>
          </mc:Fallback>
        </mc:AlternateContent>
      </w:r>
      <w:r>
        <w:rPr>
          <w:shd w:val="clear" w:color="auto" w:fill="FFFFFF"/>
        </w:rPr>
        <mc:AlternateContent>
          <mc:Choice Requires="wps">
            <w:drawing>
              <wp:anchor distT="0" distB="0" distL="114300" distR="114300" simplePos="0" relativeHeight="251669504" behindDoc="0" locked="0" layoutInCell="1" allowOverlap="1">
                <wp:simplePos x="0" y="0"/>
                <wp:positionH relativeFrom="column">
                  <wp:posOffset>5956300</wp:posOffset>
                </wp:positionH>
                <wp:positionV relativeFrom="paragraph">
                  <wp:posOffset>1080770</wp:posOffset>
                </wp:positionV>
                <wp:extent cx="0" cy="3870960"/>
                <wp:effectExtent l="38100" t="0" r="38100" b="15240"/>
                <wp:wrapNone/>
                <wp:docPr id="10" name="直接连接符 10"/>
                <wp:cNvGraphicFramePr/>
                <a:graphic xmlns:a="http://schemas.openxmlformats.org/drawingml/2006/main">
                  <a:graphicData uri="http://schemas.microsoft.com/office/word/2010/wordprocessingShape">
                    <wps:wsp>
                      <wps:cNvCnPr/>
                      <wps:spPr>
                        <a:xfrm flipV="1">
                          <a:off x="0" y="0"/>
                          <a:ext cx="0" cy="38709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69pt;margin-top:85.1pt;height:304.8pt;width:0pt;z-index:251669504;mso-width-relative:page;mso-height-relative:page;" filled="f" stroked="t" coordsize="21600,21600" o:gfxdata="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8XPW2QAAAAsBAAAPAAAAAAAAAAEAIAAAACIAAABkcnMvZG93bnJldi54bWxQSwECFAAUAAAACACH&#10;TuJAgbiPguoBAACmAwAADgAAAAAAAAABACAAAAAoAQAAZHJzL2Uyb0RvYy54bWxQSwUGAAAAAAYA&#10;BgBZAQAAhAUAAAAA&#10;">
                <v:fill on="f" focussize="0,0"/>
                <v:stroke color="#000000" joinstyle="round" endarrow="block"/>
                <v:imagedata o:title=""/>
                <o:lock v:ext="edit" aspectratio="f"/>
              </v:line>
            </w:pict>
          </mc:Fallback>
        </mc:AlternateContent>
      </w:r>
      <w:r>
        <w:rPr>
          <w:shd w:val="clear" w:color="auto" w:fill="FFFFFF"/>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3799840</wp:posOffset>
                </wp:positionV>
                <wp:extent cx="457200" cy="495300"/>
                <wp:effectExtent l="4445" t="4445" r="14605" b="14605"/>
                <wp:wrapNone/>
                <wp:docPr id="11" name="文本框 11"/>
                <wp:cNvGraphicFramePr/>
                <a:graphic xmlns:a="http://schemas.openxmlformats.org/drawingml/2006/main">
                  <a:graphicData uri="http://schemas.microsoft.com/office/word/2010/wordprocessingShape">
                    <wps:wsp>
                      <wps:cNvSpPr txBox="1"/>
                      <wps:spPr>
                        <a:xfrm>
                          <a:off x="0" y="0"/>
                          <a:ext cx="45720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ascii="黑体" w:eastAsia="黑体"/>
                                <w:sz w:val="44"/>
                                <w:szCs w:val="44"/>
                              </w:rPr>
                            </w:pPr>
                            <w:r>
                              <w:rPr>
                                <w:rFonts w:hint="eastAsia" w:ascii="黑体" w:eastAsia="黑体"/>
                                <w:sz w:val="44"/>
                                <w:szCs w:val="44"/>
                              </w:rPr>
                              <w:t xml:space="preserve">密 </w:t>
                            </w:r>
                          </w:p>
                        </w:txbxContent>
                      </wps:txbx>
                      <wps:bodyPr upright="1"/>
                    </wps:wsp>
                  </a:graphicData>
                </a:graphic>
              </wp:anchor>
            </w:drawing>
          </mc:Choice>
          <mc:Fallback>
            <w:pict>
              <v:shape id="_x0000_s1026" o:spid="_x0000_s1026" o:spt="202" type="#_x0000_t202" style="position:absolute;left:0pt;margin-left:126pt;margin-top:299.2pt;height:39pt;width:36pt;z-index:251665408;mso-width-relative:page;mso-height-relative:page;" fillcolor="#FFFFFF" filled="t" stroked="t" coordsize="21600,21600" o:gfxdata="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eMdRfaAAAACwEAAA8AAAAAAAAAAQAgAAAAIgAAAGRycy9kb3ducmV2LnhtbFBLAQIUABQAAAAI&#10;AIdO4kDjd++U6wEAAOkDAAAOAAAAAAAAAAEAIAAAACkBAABkcnMvZTJvRG9jLnhtbFBLBQYAAAAA&#10;BgAGAFkBAACGBQAAAAA=&#10;">
                <v:fill on="t" focussize="0,0"/>
                <v:stroke color="#FFFFFF" joinstyle="miter"/>
                <v:imagedata o:title=""/>
                <o:lock v:ext="edit" aspectratio="f"/>
                <v:textbox>
                  <w:txbxContent>
                    <w:p>
                      <w:pPr>
                        <w:jc w:val="center"/>
                        <w:rPr>
                          <w:rFonts w:hint="eastAsia" w:ascii="黑体" w:eastAsia="黑体"/>
                          <w:sz w:val="44"/>
                          <w:szCs w:val="44"/>
                        </w:rPr>
                      </w:pPr>
                      <w:r>
                        <w:rPr>
                          <w:rFonts w:hint="eastAsia" w:ascii="黑体" w:eastAsia="黑体"/>
                          <w:sz w:val="44"/>
                          <w:szCs w:val="44"/>
                        </w:rPr>
                        <w:t xml:space="preserve">密 </w:t>
                      </w:r>
                    </w:p>
                  </w:txbxContent>
                </v:textbox>
              </v:shape>
            </w:pict>
          </mc:Fallback>
        </mc:AlternateContent>
      </w:r>
      <w:r>
        <w:rPr>
          <w:shd w:val="clear" w:color="auto" w:fill="FFFFFF"/>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3700780</wp:posOffset>
                </wp:positionV>
                <wp:extent cx="2400300" cy="299085"/>
                <wp:effectExtent l="4445" t="5080" r="14605" b="19685"/>
                <wp:wrapNone/>
                <wp:docPr id="3" name="文本框 3"/>
                <wp:cNvGraphicFramePr/>
                <a:graphic xmlns:a="http://schemas.openxmlformats.org/drawingml/2006/main">
                  <a:graphicData uri="http://schemas.microsoft.com/office/word/2010/wordprocessingShape">
                    <wps:wsp>
                      <wps:cNvSpPr txBox="1"/>
                      <wps:spPr>
                        <a:xfrm>
                          <a:off x="0" y="0"/>
                          <a:ext cx="2400300" cy="2990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24"/>
                                <w:szCs w:val="24"/>
                              </w:rPr>
                            </w:pPr>
                            <w:r>
                              <w:rPr>
                                <w:rFonts w:hint="eastAsia"/>
                                <w:sz w:val="24"/>
                                <w:szCs w:val="24"/>
                              </w:rPr>
                              <w:t>此处盖公章，不得超出虚线范围</w:t>
                            </w:r>
                          </w:p>
                        </w:txbxContent>
                      </wps:txbx>
                      <wps:bodyPr lIns="0" tIns="0" rIns="0" bIns="0" upright="1"/>
                    </wps:wsp>
                  </a:graphicData>
                </a:graphic>
              </wp:anchor>
            </w:drawing>
          </mc:Choice>
          <mc:Fallback>
            <w:pict>
              <v:shape id="_x0000_s1026" o:spid="_x0000_s1026" o:spt="202" type="#_x0000_t202" style="position:absolute;left:0pt;margin-left:261pt;margin-top:291.4pt;height:23.55pt;width:189pt;z-index:251661312;mso-width-relative:page;mso-height-relative:page;" fillcolor="#FFFFFF" filled="t" stroked="t" coordsize="21600,21600" o:gfxdata="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BRoJ2QAAAAsBAAAPAAAAAAAAAAEAIAAAACIAAABkcnMvZG93bnJldi54&#10;bWxQSwECFAAUAAAACACHTuJAVMNDzPkBAAAMBAAADgAAAAAAAAABACAAAAAoAQAAZHJzL2Uyb0Rv&#10;Yy54bWxQSwUGAAAAAAYABgBZAQAAkwUAAAAA&#10;">
                <v:fill on="t" focussize="0,0"/>
                <v:stroke color="#FFFFFF" joinstyle="miter"/>
                <v:imagedata o:title=""/>
                <o:lock v:ext="edit" aspectratio="f"/>
                <v:textbox inset="0mm,0mm,0mm,0mm">
                  <w:txbxContent>
                    <w:p>
                      <w:pPr>
                        <w:rPr>
                          <w:rFonts w:hint="eastAsia"/>
                          <w:sz w:val="24"/>
                          <w:szCs w:val="24"/>
                        </w:rPr>
                      </w:pPr>
                      <w:r>
                        <w:rPr>
                          <w:rFonts w:hint="eastAsia"/>
                          <w:sz w:val="24"/>
                          <w:szCs w:val="24"/>
                        </w:rPr>
                        <w:t>此处盖公章，不得超出虚线范围</w:t>
                      </w:r>
                    </w:p>
                  </w:txbxContent>
                </v:textbox>
              </v:shape>
            </w:pict>
          </mc:Fallback>
        </mc:AlternateContent>
      </w:r>
      <w:r>
        <w:rPr>
          <w:shd w:val="clear" w:color="auto" w:fill="FFFFFF"/>
        </w:rPr>
        <mc:AlternateContent>
          <mc:Choice Requires="wpc">
            <w:drawing>
              <wp:inline distT="0" distB="0" distL="114300" distR="114300">
                <wp:extent cx="5257800" cy="3070860"/>
                <wp:effectExtent l="0" t="0" r="0" b="0"/>
                <wp:docPr id="14" name="画布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2" name="文本框 12"/>
                        <wps:cNvSpPr txBox="1"/>
                        <wps:spPr>
                          <a:xfrm>
                            <a:off x="2972118" y="2476665"/>
                            <a:ext cx="457137" cy="49504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ascii="黑体" w:eastAsia="黑体"/>
                                  <w:sz w:val="44"/>
                                  <w:szCs w:val="44"/>
                                </w:rPr>
                              </w:pPr>
                              <w:r>
                                <w:rPr>
                                  <w:rFonts w:hint="eastAsia" w:ascii="黑体" w:eastAsia="黑体"/>
                                  <w:sz w:val="44"/>
                                  <w:szCs w:val="44"/>
                                </w:rPr>
                                <w:t xml:space="preserve">封 </w:t>
                              </w:r>
                            </w:p>
                          </w:txbxContent>
                        </wps:txbx>
                        <wps:bodyPr upright="1"/>
                      </wps:wsp>
                      <wps:wsp>
                        <wps:cNvPr id="13" name="文本框 13"/>
                        <wps:cNvSpPr txBox="1"/>
                        <wps:spPr>
                          <a:xfrm>
                            <a:off x="4457446" y="1287545"/>
                            <a:ext cx="457137" cy="496499"/>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ascii="黑体" w:eastAsia="黑体"/>
                                  <w:sz w:val="44"/>
                                  <w:szCs w:val="44"/>
                                </w:rPr>
                              </w:pPr>
                              <w:r>
                                <w:rPr>
                                  <w:rFonts w:hint="eastAsia" w:ascii="黑体" w:eastAsia="黑体"/>
                                  <w:sz w:val="44"/>
                                  <w:szCs w:val="44"/>
                                </w:rPr>
                                <w:t xml:space="preserve">线 </w:t>
                              </w:r>
                            </w:p>
                          </w:txbxContent>
                        </wps:txbx>
                        <wps:bodyPr upright="1"/>
                      </wps:wsp>
                    </wpc:wpc>
                  </a:graphicData>
                </a:graphic>
              </wp:inline>
            </w:drawing>
          </mc:Choice>
          <mc:Fallback>
            <w:pict>
              <v:group id="_x0000_s1026" o:spid="_x0000_s1026" o:spt="203" style="height:241.8pt;width:414pt;" coordsize="5257800,3070860" editas="canvas"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AhD1/PW&#10;AAAABQEAAA8AAAAAAAAAAQAgAAAAIgAAAGRycy9kb3ducmV2LnhtbFBLAQIUABQAAAAIAIdO4kBq&#10;dT9flAIAAI0HAAAOAAAAAAAAAAEAIAAAACUBAABkcnMvZTJvRG9jLnhtbFBLBQYAAAAABgAGAFkB&#10;AAArBgAAAAA=&#10;">
                <o:lock v:ext="edit" aspectratio="f"/>
                <v:shape id="_x0000_s1026" o:spid="_x0000_s1026" style="position:absolute;left:0;top:0;height:3070860;width:5257800;" filled="f" stroked="f" coordsize="21600,21600"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IQ9fz&#10;1gAAAAUBAAAPAAAAAAAAAAEAIAAAACIAAABkcnMvZG93bnJldi54bWxQSwECFAAUAAAACACHTuJA&#10;GN53i1wCAAARBwAADgAAAAAAAAABACAAAAAlAQAAZHJzL2Uyb0RvYy54bWxQSwUGAAAAAAYABgBZ&#10;AQAA8wUAAAAA&#10;">
                  <v:fill on="f" focussize="0,0"/>
                  <v:stroke on="f"/>
                  <v:imagedata o:title=""/>
                  <o:lock v:ext="edit" aspectratio="t"/>
                </v:shape>
                <v:shape id="_x0000_s1026" o:spid="_x0000_s1026" o:spt="202" type="#_x0000_t202" style="position:absolute;left:2972118;top:2476665;height:495041;width:457137;" fillcolor="#FFFFFF" filled="t" stroked="t" coordsize="21600,21600" o:gfxdata="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0u3aI1AAAAAUBAAAPAAAAAAAAAAEAIAAAACIAAABkcnMvZG93bnJldi54bWxQSwEC&#10;FAAUAAAACACHTuJASOFaFPgBAAD1AwAADgAAAAAAAAABACAAAAAjAQAAZHJzL2Uyb0RvYy54bWxQ&#10;SwUGAAAAAAYABgBZAQAAjQUAAAAA&#10;">
                  <v:fill on="t" focussize="0,0"/>
                  <v:stroke color="#FFFFFF" joinstyle="miter"/>
                  <v:imagedata o:title=""/>
                  <o:lock v:ext="edit" aspectratio="f"/>
                  <v:textbox>
                    <w:txbxContent>
                      <w:p>
                        <w:pPr>
                          <w:jc w:val="center"/>
                          <w:rPr>
                            <w:rFonts w:hint="eastAsia" w:ascii="黑体" w:eastAsia="黑体"/>
                            <w:sz w:val="44"/>
                            <w:szCs w:val="44"/>
                          </w:rPr>
                        </w:pPr>
                        <w:r>
                          <w:rPr>
                            <w:rFonts w:hint="eastAsia" w:ascii="黑体" w:eastAsia="黑体"/>
                            <w:sz w:val="44"/>
                            <w:szCs w:val="44"/>
                          </w:rPr>
                          <w:t xml:space="preserve">封 </w:t>
                        </w:r>
                      </w:p>
                    </w:txbxContent>
                  </v:textbox>
                </v:shape>
                <v:shape id="_x0000_s1026" o:spid="_x0000_s1026" o:spt="202" type="#_x0000_t202" style="position:absolute;left:4457446;top:1287545;height:496499;width:457137;" fillcolor="#FFFFFF" filled="t" stroked="t" coordsize="21600,21600" o:gfxdata="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Lt2iNQAAAAFAQAADwAAAAAAAAABACAAAAAiAAAAZHJzL2Rvd25yZXYueG1sUEsB&#10;AhQAFAAAAAgAh07iQAyxrKn5AQAA9QMAAA4AAAAAAAAAAQAgAAAAIwEAAGRycy9lMm9Eb2MueG1s&#10;UEsFBgAAAAAGAAYAWQEAAI4FAAAAAA==&#10;">
                  <v:fill on="t" focussize="0,0"/>
                  <v:stroke color="#FFFFFF" joinstyle="miter"/>
                  <v:imagedata o:title=""/>
                  <o:lock v:ext="edit" aspectratio="f"/>
                  <v:textbox>
                    <w:txbxContent>
                      <w:p>
                        <w:pPr>
                          <w:jc w:val="center"/>
                          <w:rPr>
                            <w:rFonts w:hint="eastAsia" w:ascii="黑体" w:eastAsia="黑体"/>
                            <w:sz w:val="44"/>
                            <w:szCs w:val="44"/>
                          </w:rPr>
                        </w:pPr>
                        <w:r>
                          <w:rPr>
                            <w:rFonts w:hint="eastAsia" w:ascii="黑体" w:eastAsia="黑体"/>
                            <w:sz w:val="44"/>
                            <w:szCs w:val="44"/>
                          </w:rPr>
                          <w:t xml:space="preserve">线 </w:t>
                        </w:r>
                      </w:p>
                    </w:txbxContent>
                  </v:textbox>
                </v:shape>
                <w10:wrap type="none"/>
                <w10:anchorlock/>
              </v:group>
            </w:pict>
          </mc:Fallback>
        </mc:AlternateContent>
      </w:r>
    </w:p>
    <w:p>
      <w:pPr>
        <w:jc w:val="center"/>
        <w:rPr>
          <w:rFonts w:eastAsia="华文仿宋"/>
          <w:sz w:val="48"/>
          <w:szCs w:val="48"/>
          <w:shd w:val="clear" w:color="auto" w:fill="FFFFFF"/>
        </w:rPr>
      </w:pPr>
    </w:p>
    <w:p>
      <w:pPr>
        <w:rPr>
          <w:rFonts w:eastAsia="仿宋_GB2312"/>
          <w:b/>
          <w:sz w:val="21"/>
          <w:szCs w:val="21"/>
          <w:shd w:val="clear" w:color="auto" w:fill="FFFFFF"/>
        </w:rPr>
      </w:pPr>
    </w:p>
    <w:p>
      <w:pPr>
        <w:snapToGrid w:val="0"/>
        <w:spacing w:line="580" w:lineRule="exact"/>
        <w:rPr>
          <w:rFonts w:eastAsia="仿宋_GB2312"/>
          <w:sz w:val="21"/>
          <w:szCs w:val="21"/>
          <w:shd w:val="clear" w:color="auto" w:fill="FFFFFF"/>
        </w:rPr>
      </w:pPr>
      <w:r>
        <w:rPr>
          <w:rFonts w:eastAsia="仿宋_GB2312"/>
          <w:sz w:val="21"/>
          <w:szCs w:val="21"/>
          <w:shd w:val="clear" w:color="auto" w:fill="FFFFFF"/>
        </w:rPr>
        <mc:AlternateContent>
          <mc:Choice Requires="wps">
            <w:drawing>
              <wp:anchor distT="0" distB="0" distL="114300" distR="114300" simplePos="0" relativeHeight="251663360" behindDoc="0" locked="0" layoutInCell="1" allowOverlap="1">
                <wp:simplePos x="0" y="0"/>
                <wp:positionH relativeFrom="column">
                  <wp:posOffset>2489200</wp:posOffset>
                </wp:positionH>
                <wp:positionV relativeFrom="paragraph">
                  <wp:posOffset>702310</wp:posOffset>
                </wp:positionV>
                <wp:extent cx="3200400" cy="388620"/>
                <wp:effectExtent l="5080" t="4445" r="13970" b="6985"/>
                <wp:wrapNone/>
                <wp:docPr id="7" name="文本框 7"/>
                <wp:cNvGraphicFramePr/>
                <a:graphic xmlns:a="http://schemas.openxmlformats.org/drawingml/2006/main">
                  <a:graphicData uri="http://schemas.microsoft.com/office/word/2010/wordprocessingShape">
                    <wps:wsp>
                      <wps:cNvSpPr txBox="1"/>
                      <wps:spPr>
                        <a:xfrm>
                          <a:off x="0" y="0"/>
                          <a:ext cx="3200400" cy="3886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21"/>
                                <w:szCs w:val="21"/>
                              </w:rPr>
                            </w:pPr>
                            <w:r>
                              <w:rPr>
                                <w:rFonts w:hint="eastAsia"/>
                                <w:sz w:val="21"/>
                                <w:szCs w:val="21"/>
                              </w:rPr>
                              <w:t>注：沿虚线按箭头方向折叠</w:t>
                            </w:r>
                          </w:p>
                          <w:p>
                            <w:pPr>
                              <w:rPr>
                                <w:rFonts w:hint="eastAsia"/>
                                <w:sz w:val="24"/>
                                <w:szCs w:val="24"/>
                              </w:rPr>
                            </w:pPr>
                          </w:p>
                          <w:p>
                            <w:pPr>
                              <w:rPr>
                                <w:rFonts w:hint="eastAsia"/>
                                <w:sz w:val="24"/>
                                <w:szCs w:val="24"/>
                              </w:rPr>
                            </w:pPr>
                            <w:r>
                              <w:rPr>
                                <w:rFonts w:hint="eastAsia"/>
                                <w:sz w:val="24"/>
                                <w:szCs w:val="24"/>
                              </w:rPr>
                              <w:t>（注：</w:t>
                            </w:r>
                            <w:r>
                              <w:rPr>
                                <w:sz w:val="24"/>
                                <w:szCs w:val="24"/>
                              </w:rPr>
                              <w:drawing>
                                <wp:inline distT="0" distB="0" distL="114300" distR="114300">
                                  <wp:extent cx="238125" cy="194310"/>
                                  <wp:effectExtent l="0" t="0" r="9525" b="152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stretch>
                                            <a:fillRect/>
                                          </a:stretch>
                                        </pic:blipFill>
                                        <pic:spPr>
                                          <a:xfrm>
                                            <a:off x="0" y="0"/>
                                            <a:ext cx="238125" cy="194310"/>
                                          </a:xfrm>
                                          <a:prstGeom prst="rect">
                                            <a:avLst/>
                                          </a:prstGeom>
                                          <a:noFill/>
                                          <a:ln w="9525">
                                            <a:noFill/>
                                          </a:ln>
                                        </pic:spPr>
                                      </pic:pic>
                                    </a:graphicData>
                                  </a:graphic>
                                </wp:inline>
                              </w:drawing>
                            </w:r>
                            <w:r>
                              <w:rPr>
                                <w:rFonts w:hint="eastAsia"/>
                                <w:sz w:val="24"/>
                                <w:szCs w:val="24"/>
                              </w:rPr>
                              <w:t>为打孔处）</w:t>
                            </w:r>
                          </w:p>
                        </w:txbxContent>
                      </wps:txbx>
                      <wps:bodyPr upright="1"/>
                    </wps:wsp>
                  </a:graphicData>
                </a:graphic>
              </wp:anchor>
            </w:drawing>
          </mc:Choice>
          <mc:Fallback>
            <w:pict>
              <v:shape id="_x0000_s1026" o:spid="_x0000_s1026" o:spt="202" type="#_x0000_t202" style="position:absolute;left:0pt;margin-left:196pt;margin-top:55.3pt;height:30.6pt;width:252pt;z-index:251663360;mso-width-relative:page;mso-height-relative:page;" fillcolor="#FFFFFF" filled="t" stroked="t" coordsize="21600,21600" o:gfxdata="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yCVG2AAAAAsBAAAPAAAAAAAAAAEAIAAAACIAAABkcnMvZG93bnJldi54bWxQSwECFAAUAAAA&#10;CACHTuJAmzAm9u4BAADoAwAADgAAAAAAAAABACAAAAAnAQAAZHJzL2Uyb0RvYy54bWxQSwUGAAAA&#10;AAYABgBZAQAAhwUAAAAA&#10;">
                <v:fill on="t" focussize="0,0"/>
                <v:stroke color="#FFFFFF" joinstyle="miter"/>
                <v:imagedata o:title=""/>
                <o:lock v:ext="edit" aspectratio="f"/>
                <v:textbox>
                  <w:txbxContent>
                    <w:p>
                      <w:pPr>
                        <w:rPr>
                          <w:rFonts w:hint="eastAsia"/>
                          <w:sz w:val="21"/>
                          <w:szCs w:val="21"/>
                        </w:rPr>
                      </w:pPr>
                      <w:r>
                        <w:rPr>
                          <w:rFonts w:hint="eastAsia"/>
                          <w:sz w:val="21"/>
                          <w:szCs w:val="21"/>
                        </w:rPr>
                        <w:t>注：沿虚线按箭头方向折叠</w:t>
                      </w:r>
                    </w:p>
                    <w:p>
                      <w:pPr>
                        <w:rPr>
                          <w:rFonts w:hint="eastAsia"/>
                          <w:sz w:val="24"/>
                          <w:szCs w:val="24"/>
                        </w:rPr>
                      </w:pPr>
                    </w:p>
                    <w:p>
                      <w:pPr>
                        <w:rPr>
                          <w:rFonts w:hint="eastAsia"/>
                          <w:sz w:val="24"/>
                          <w:szCs w:val="24"/>
                        </w:rPr>
                      </w:pPr>
                      <w:r>
                        <w:rPr>
                          <w:rFonts w:hint="eastAsia"/>
                          <w:sz w:val="24"/>
                          <w:szCs w:val="24"/>
                        </w:rPr>
                        <w:t>（注：</w:t>
                      </w:r>
                      <w:r>
                        <w:rPr>
                          <w:sz w:val="24"/>
                          <w:szCs w:val="24"/>
                        </w:rPr>
                        <w:drawing>
                          <wp:inline distT="0" distB="0" distL="114300" distR="114300">
                            <wp:extent cx="238125" cy="194310"/>
                            <wp:effectExtent l="0" t="0" r="9525" b="152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stretch>
                                      <a:fillRect/>
                                    </a:stretch>
                                  </pic:blipFill>
                                  <pic:spPr>
                                    <a:xfrm>
                                      <a:off x="0" y="0"/>
                                      <a:ext cx="238125" cy="194310"/>
                                    </a:xfrm>
                                    <a:prstGeom prst="rect">
                                      <a:avLst/>
                                    </a:prstGeom>
                                    <a:noFill/>
                                    <a:ln w="9525">
                                      <a:noFill/>
                                    </a:ln>
                                  </pic:spPr>
                                </pic:pic>
                              </a:graphicData>
                            </a:graphic>
                          </wp:inline>
                        </w:drawing>
                      </w:r>
                      <w:r>
                        <w:rPr>
                          <w:rFonts w:hint="eastAsia"/>
                          <w:sz w:val="24"/>
                          <w:szCs w:val="24"/>
                        </w:rPr>
                        <w:t>为打孔处）</w:t>
                      </w:r>
                    </w:p>
                  </w:txbxContent>
                </v:textbox>
              </v:shape>
            </w:pict>
          </mc:Fallback>
        </mc:AlternateContent>
      </w:r>
      <w:r>
        <w:rPr>
          <w:rFonts w:eastAsia="仿宋_GB2312"/>
          <w:sz w:val="21"/>
          <w:szCs w:val="21"/>
          <w:shd w:val="clear" w:color="auto" w:fill="FFFFFF"/>
        </w:rPr>
        <mc:AlternateContent>
          <mc:Choice Requires="wps">
            <w:drawing>
              <wp:anchor distT="0" distB="0" distL="114300" distR="114300" simplePos="0" relativeHeight="251662336" behindDoc="0" locked="0" layoutInCell="1" allowOverlap="1">
                <wp:simplePos x="0" y="0"/>
                <wp:positionH relativeFrom="column">
                  <wp:posOffset>2390775</wp:posOffset>
                </wp:positionH>
                <wp:positionV relativeFrom="paragraph">
                  <wp:posOffset>1093470</wp:posOffset>
                </wp:positionV>
                <wp:extent cx="3543300" cy="198120"/>
                <wp:effectExtent l="5080" t="5080" r="13970" b="6350"/>
                <wp:wrapNone/>
                <wp:docPr id="5" name="文本框 5"/>
                <wp:cNvGraphicFramePr/>
                <a:graphic xmlns:a="http://schemas.openxmlformats.org/drawingml/2006/main">
                  <a:graphicData uri="http://schemas.microsoft.com/office/word/2010/wordprocessingShape">
                    <wps:wsp>
                      <wps:cNvSpPr txBox="1"/>
                      <wps:spPr>
                        <a:xfrm>
                          <a:off x="0" y="0"/>
                          <a:ext cx="3543300" cy="1981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sz w:val="24"/>
                                <w:szCs w:val="24"/>
                              </w:rPr>
                            </w:pPr>
                            <w:r>
                              <w:rPr>
                                <w:rFonts w:hint="eastAsia"/>
                                <w:sz w:val="24"/>
                                <w:szCs w:val="24"/>
                              </w:rPr>
                              <w:t>双      面     胶     粘     贴     处</w:t>
                            </w:r>
                          </w:p>
                        </w:txbxContent>
                      </wps:txbx>
                      <wps:bodyPr lIns="0" tIns="0" rIns="0" bIns="0" upright="1"/>
                    </wps:wsp>
                  </a:graphicData>
                </a:graphic>
              </wp:anchor>
            </w:drawing>
          </mc:Choice>
          <mc:Fallback>
            <w:pict>
              <v:shape id="_x0000_s1026" o:spid="_x0000_s1026" o:spt="202" type="#_x0000_t202" style="position:absolute;left:0pt;margin-left:188.25pt;margin-top:86.1pt;height:15.6pt;width:279pt;z-index:251662336;mso-width-relative:page;mso-height-relative:page;" fillcolor="#FFFFFF" filled="t" stroked="t" coordsize="21600,21600" o:gfxdata="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CJQBD2QAAAAsBAAAPAAAAAAAAAAEAIAAAACIAAABkcnMvZG93bnJl&#10;di54bWxQSwECFAAUAAAACACHTuJACcL+FPwBAAAMBAAADgAAAAAAAAABACAAAAAoAQAAZHJzL2Uy&#10;b0RvYy54bWxQSwUGAAAAAAYABgBZAQAAlgUAAAAA&#10;">
                <v:fill on="t" focussize="0,0"/>
                <v:stroke color="#FFFFFF" joinstyle="miter"/>
                <v:imagedata o:title=""/>
                <o:lock v:ext="edit" aspectratio="f"/>
                <v:textbox inset="0mm,0mm,0mm,0mm">
                  <w:txbxContent>
                    <w:p>
                      <w:pPr>
                        <w:jc w:val="center"/>
                        <w:rPr>
                          <w:rFonts w:hint="eastAsia"/>
                          <w:sz w:val="24"/>
                          <w:szCs w:val="24"/>
                        </w:rPr>
                      </w:pPr>
                      <w:r>
                        <w:rPr>
                          <w:rFonts w:hint="eastAsia"/>
                          <w:sz w:val="24"/>
                          <w:szCs w:val="24"/>
                        </w:rPr>
                        <w:t>双      面     胶     粘     贴     处</w:t>
                      </w:r>
                    </w:p>
                  </w:txbxContent>
                </v:textbox>
              </v:shape>
            </w:pict>
          </mc:Fallback>
        </mc:AlternateContent>
      </w:r>
      <w:r>
        <w:rPr>
          <w:rFonts w:eastAsia="仿宋_GB2312"/>
          <w:sz w:val="21"/>
          <w:szCs w:val="21"/>
          <w:shd w:val="clear" w:color="auto" w:fill="FFFFFF"/>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1090930</wp:posOffset>
                </wp:positionV>
                <wp:extent cx="4356100" cy="0"/>
                <wp:effectExtent l="0" t="38100" r="6350" b="38100"/>
                <wp:wrapNone/>
                <wp:docPr id="8" name="直接连接符 8"/>
                <wp:cNvGraphicFramePr/>
                <a:graphic xmlns:a="http://schemas.openxmlformats.org/drawingml/2006/main">
                  <a:graphicData uri="http://schemas.microsoft.com/office/word/2010/wordprocessingShape">
                    <wps:wsp>
                      <wps:cNvCnPr/>
                      <wps:spPr>
                        <a:xfrm flipH="1">
                          <a:off x="0" y="0"/>
                          <a:ext cx="43561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26pt;margin-top:85.9pt;height:0pt;width:343pt;z-index:251668480;mso-width-relative:page;mso-height-relative:page;" filled="f" stroked="t" coordsize="21600,21600" o:gfxdata="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Q0&#10;5PvYAAAACwEAAA8AAAAAAAAAAQAgAAAAIgAAAGRycy9kb3ducmV2LnhtbFBLAQIUABQAAAAIAIdO&#10;4kBAyUTj6gEAAKQDAAAOAAAAAAAAAAEAIAAAACcBAABkcnMvZTJvRG9jLnhtbFBLBQYAAAAABgAG&#10;AFkBAACDBQAAAAA=&#10;">
                <v:fill on="f" focussize="0,0"/>
                <v:stroke color="#000000" joinstyle="round" endarrow="block"/>
                <v:imagedata o:title=""/>
                <o:lock v:ext="edit" aspectratio="f"/>
              </v:line>
            </w:pict>
          </mc:Fallback>
        </mc:AlternateContent>
      </w:r>
    </w:p>
    <w:p>
      <w:pPr>
        <w:pStyle w:val="12"/>
        <w:tabs>
          <w:tab w:val="right" w:leader="dot" w:pos="8400"/>
        </w:tabs>
        <w:topLinePunct/>
        <w:autoSpaceDN w:val="0"/>
        <w:adjustRightInd w:val="0"/>
        <w:snapToGrid w:val="0"/>
        <w:spacing w:line="520" w:lineRule="exact"/>
        <w:ind w:left="0" w:leftChars="0" w:right="-255"/>
        <w:rPr>
          <w:rFonts w:eastAsia="方正仿宋_GBK"/>
          <w:sz w:val="21"/>
          <w:szCs w:val="21"/>
          <w:shd w:val="clear" w:color="auto" w:fill="FFFFFF"/>
        </w:rPr>
      </w:pPr>
    </w:p>
    <w:p>
      <w:pPr>
        <w:tabs>
          <w:tab w:val="left" w:pos="6300"/>
        </w:tabs>
        <w:snapToGrid w:val="0"/>
        <w:spacing w:line="500" w:lineRule="exact"/>
        <w:jc w:val="both"/>
        <w:rPr>
          <w:rFonts w:hint="eastAsia" w:ascii="方正仿宋_GBK" w:hAnsi="宋体" w:eastAsia="方正仿宋_GBK"/>
        </w:rPr>
      </w:pPr>
    </w:p>
    <w:p>
      <w:pPr>
        <w:pStyle w:val="2"/>
        <w:rPr>
          <w:rFonts w:hint="eastAsia" w:ascii="方正仿宋_GBK" w:hAnsi="宋体" w:eastAsia="方正仿宋_GBK"/>
          <w:sz w:val="24"/>
          <w:szCs w:val="24"/>
          <w:lang w:val="en-US" w:eastAsia="zh-CN"/>
        </w:rPr>
      </w:pPr>
    </w:p>
    <w:p>
      <w:pPr>
        <w:spacing w:line="360" w:lineRule="auto"/>
        <w:ind w:firstLine="480" w:firstLineChars="200"/>
        <w:jc w:val="center"/>
        <w:outlineLvl w:val="0"/>
        <w:rPr>
          <w:rFonts w:hint="eastAsia" w:ascii="方正仿宋_GBK" w:hAnsi="宋体" w:eastAsia="方正仿宋_GBK"/>
          <w:sz w:val="24"/>
          <w:szCs w:val="24"/>
        </w:rPr>
      </w:pPr>
    </w:p>
    <w:p>
      <w:pPr>
        <w:pStyle w:val="2"/>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outlineLvl w:val="0"/>
        <w:rPr>
          <w:rFonts w:hint="eastAsia" w:ascii="方正仿宋_GBK" w:hAnsi="宋体" w:eastAsia="方正仿宋_GBK"/>
        </w:rPr>
      </w:pPr>
      <w:r>
        <w:rPr>
          <w:rFonts w:hint="eastAsia" w:ascii="方正仿宋_GBK" w:hAnsi="宋体" w:eastAsia="方正仿宋_GBK"/>
          <w:sz w:val="24"/>
          <w:szCs w:val="24"/>
        </w:rPr>
        <w:t>（结束）</w:t>
      </w:r>
    </w:p>
    <w:p>
      <w:pPr/>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0000000000000000000"/>
    <w:charset w:val="86"/>
    <w:family w:val="swiss"/>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framePr w:wrap="around" w:vAnchor="text" w:hAnchor="margin" w:xAlign="center" w:y="1"/>
      <w:jc w:val="center"/>
      <w:rPr>
        <w:rStyle w:val="15"/>
        <w:rFonts w:hint="eastAsia" w:ascii="宋体"/>
        <w:sz w:val="21"/>
        <w:szCs w:val="21"/>
      </w:rPr>
    </w:pPr>
    <w:r>
      <w:rPr>
        <w:rFonts w:ascii="宋体"/>
        <w:sz w:val="21"/>
        <w:szCs w:val="21"/>
      </w:rPr>
      <w:fldChar w:fldCharType="begin"/>
    </w:r>
    <w:r>
      <w:rPr>
        <w:rStyle w:val="15"/>
        <w:rFonts w:ascii="宋体"/>
        <w:sz w:val="21"/>
        <w:szCs w:val="21"/>
      </w:rPr>
      <w:instrText xml:space="preserve">PAGE  </w:instrText>
    </w:r>
    <w:r>
      <w:rPr>
        <w:rFonts w:ascii="宋体"/>
        <w:sz w:val="21"/>
        <w:szCs w:val="21"/>
      </w:rPr>
      <w:fldChar w:fldCharType="separate"/>
    </w:r>
    <w:r>
      <w:rPr>
        <w:rStyle w:val="15"/>
        <w:rFonts w:ascii="宋体"/>
        <w:sz w:val="21"/>
        <w:szCs w:val="21"/>
      </w:rPr>
      <w:t>- 5 -</w:t>
    </w:r>
    <w:r>
      <w:rPr>
        <w:rFonts w:ascii="宋体"/>
        <w:sz w:val="21"/>
        <w:szCs w:val="21"/>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framePr w:wrap="around" w:vAnchor="text" w:hAnchor="margin" w:xAlign="center" w:y="1"/>
      <w:rPr>
        <w:rStyle w:val="15"/>
      </w:rPr>
    </w:pPr>
  </w:p>
  <w:p>
    <w:pPr>
      <w:pStyle w:val="9"/>
      <w:jc w:val="center"/>
      <w:rPr>
        <w:rFonts w:hint="eastAsia"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jc w:val="center"/>
      <w:rPr>
        <w:rFonts w:hint="eastAsia"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- 11 -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jc w:val="center"/>
      <w:rPr>
        <w:rFonts w:hint="eastAsia"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- 30 -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jc w:val="both"/>
      <w:rPr>
        <w:rFonts w:hint="eastAsia" w:ascii="方正仿宋_GBK" w:eastAsia="方正仿宋_GBK"/>
        <w:sz w:val="21"/>
        <w:szCs w:val="21"/>
      </w:rPr>
    </w:pPr>
    <w:r>
      <w:rPr>
        <w:rFonts w:hint="eastAsia" w:ascii="方正仿宋_GBK" w:eastAsia="方正仿宋_GBK"/>
        <w:sz w:val="21"/>
        <w:szCs w:val="21"/>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jc w:val="both"/>
      <w:rPr>
        <w:rFonts w:hint="eastAsia" w:ascii="方正仿宋_GBK" w:eastAsia="方正仿宋_GBK"/>
        <w:sz w:val="21"/>
        <w:szCs w:val="21"/>
      </w:rPr>
    </w:pPr>
    <w:r>
      <w:rPr>
        <w:rFonts w:hint="eastAsia" w:ascii="方正仿宋_GBK" w:eastAsia="方正仿宋_GBK"/>
        <w:sz w:val="21"/>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25576274">
    <w:nsid w:val="A274FE52"/>
    <w:multiLevelType w:val="singleLevel"/>
    <w:tmpl w:val="A274FE52"/>
    <w:lvl w:ilvl="0" w:tentative="1">
      <w:start w:val="1"/>
      <w:numFmt w:val="decimal"/>
      <w:lvlText w:val="%1."/>
      <w:lvlJc w:val="left"/>
      <w:pPr>
        <w:tabs>
          <w:tab w:val="left" w:pos="312"/>
        </w:tabs>
      </w:pPr>
    </w:lvl>
  </w:abstractNum>
  <w:num w:numId="1">
    <w:abstractNumId w:val="27255762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jc4Nzg3YTYyMTdkNDNlYWMyNjRjNmM0ZTM3YzEifQ=="/>
  </w:docVars>
  <w:rsids>
    <w:rsidRoot w:val="4A3F1D41"/>
    <w:rsid w:val="01954D23"/>
    <w:rsid w:val="07F505B3"/>
    <w:rsid w:val="0B8A3084"/>
    <w:rsid w:val="107560DE"/>
    <w:rsid w:val="11C3226A"/>
    <w:rsid w:val="126A3360"/>
    <w:rsid w:val="13B702C9"/>
    <w:rsid w:val="141B05F6"/>
    <w:rsid w:val="148E100D"/>
    <w:rsid w:val="166C04B5"/>
    <w:rsid w:val="17573250"/>
    <w:rsid w:val="177014B8"/>
    <w:rsid w:val="17EC6AA8"/>
    <w:rsid w:val="1B733C00"/>
    <w:rsid w:val="1B993517"/>
    <w:rsid w:val="1E34308F"/>
    <w:rsid w:val="222A7517"/>
    <w:rsid w:val="251A293E"/>
    <w:rsid w:val="2EF60424"/>
    <w:rsid w:val="2F0A7474"/>
    <w:rsid w:val="30250777"/>
    <w:rsid w:val="311C3AA5"/>
    <w:rsid w:val="32F42001"/>
    <w:rsid w:val="33DE4C4F"/>
    <w:rsid w:val="35422731"/>
    <w:rsid w:val="35696BE1"/>
    <w:rsid w:val="392A4877"/>
    <w:rsid w:val="40E23743"/>
    <w:rsid w:val="41CC4AC2"/>
    <w:rsid w:val="42651D43"/>
    <w:rsid w:val="434A3318"/>
    <w:rsid w:val="438A54B5"/>
    <w:rsid w:val="448A54E4"/>
    <w:rsid w:val="48B616C7"/>
    <w:rsid w:val="4A3F1D41"/>
    <w:rsid w:val="4F512C0C"/>
    <w:rsid w:val="521E70AB"/>
    <w:rsid w:val="525654BB"/>
    <w:rsid w:val="536315AB"/>
    <w:rsid w:val="544117BF"/>
    <w:rsid w:val="549331F2"/>
    <w:rsid w:val="551A4845"/>
    <w:rsid w:val="554D029E"/>
    <w:rsid w:val="57F02AEE"/>
    <w:rsid w:val="58B37589"/>
    <w:rsid w:val="5C4A6D4F"/>
    <w:rsid w:val="5E634AC6"/>
    <w:rsid w:val="6225535B"/>
    <w:rsid w:val="65D65F25"/>
    <w:rsid w:val="671347D2"/>
    <w:rsid w:val="69891185"/>
    <w:rsid w:val="6B29403F"/>
    <w:rsid w:val="6EC36EC2"/>
    <w:rsid w:val="713C0960"/>
    <w:rsid w:val="750F6793"/>
    <w:rsid w:val="75A624BC"/>
    <w:rsid w:val="76E448F0"/>
    <w:rsid w:val="78704E65"/>
    <w:rsid w:val="79692A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kern w:val="2"/>
      <w:sz w:val="32"/>
    </w:rPr>
  </w:style>
  <w:style w:type="paragraph" w:styleId="4">
    <w:name w:val="Body Text First Indent"/>
    <w:basedOn w:val="1"/>
    <w:qFormat/>
    <w:uiPriority w:val="0"/>
    <w:pPr>
      <w:ind w:firstLine="420" w:firstLineChars="100"/>
    </w:pPr>
  </w:style>
  <w:style w:type="paragraph" w:styleId="5">
    <w:name w:val="Body Text Indent"/>
    <w:basedOn w:val="1"/>
    <w:qFormat/>
    <w:uiPriority w:val="0"/>
    <w:pPr>
      <w:spacing w:line="700" w:lineRule="exact"/>
      <w:ind w:left="960"/>
    </w:pPr>
    <w:rPr>
      <w:sz w:val="44"/>
    </w:rPr>
  </w:style>
  <w:style w:type="paragraph" w:styleId="6">
    <w:name w:val="Plain Text"/>
    <w:basedOn w:val="1"/>
    <w:qFormat/>
    <w:uiPriority w:val="0"/>
    <w:rPr>
      <w:rFonts w:ascii="宋体" w:hAnsi="Courier New"/>
      <w:sz w:val="21"/>
    </w:rPr>
  </w:style>
  <w:style w:type="paragraph" w:styleId="7">
    <w:name w:val="Date"/>
    <w:basedOn w:val="1"/>
    <w:next w:val="1"/>
    <w:qFormat/>
    <w:uiPriority w:val="0"/>
  </w:style>
  <w:style w:type="paragraph" w:styleId="8">
    <w:name w:val="Body Text Indent 2"/>
    <w:basedOn w:val="1"/>
    <w:qFormat/>
    <w:uiPriority w:val="0"/>
    <w:pPr>
      <w:snapToGrid w:val="0"/>
      <w:spacing w:line="560" w:lineRule="atLeast"/>
      <w:ind w:firstLine="54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0"/>
    <w:pPr>
      <w:spacing w:line="180" w:lineRule="auto"/>
      <w:jc w:val="center"/>
    </w:pPr>
    <w:rPr>
      <w:sz w:val="30"/>
    </w:rPr>
  </w:style>
  <w:style w:type="paragraph" w:styleId="12">
    <w:name w:val="toc 2"/>
    <w:basedOn w:val="1"/>
    <w:next w:val="1"/>
    <w:qFormat/>
    <w:uiPriority w:val="0"/>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kern w:val="0"/>
      <w:sz w:val="24"/>
    </w:rPr>
  </w:style>
  <w:style w:type="character" w:styleId="15">
    <w:name w:val="page number"/>
    <w:qFormat/>
    <w:uiPriority w:val="0"/>
  </w:style>
  <w:style w:type="character" w:styleId="16">
    <w:name w:val="FollowedHyperlink"/>
    <w:basedOn w:val="14"/>
    <w:qFormat/>
    <w:uiPriority w:val="0"/>
    <w:rPr>
      <w:color w:val="000000"/>
      <w:u w:val="none"/>
    </w:rPr>
  </w:style>
  <w:style w:type="character" w:styleId="17">
    <w:name w:val="Hyperlink"/>
    <w:qFormat/>
    <w:uiPriority w:val="0"/>
    <w:rPr>
      <w:color w:val="0000FF"/>
      <w:u w:val="single"/>
    </w:rPr>
  </w:style>
  <w:style w:type="paragraph" w:customStyle="1" w:styleId="19">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20">
    <w:name w:val="1"/>
    <w:basedOn w:val="1"/>
    <w:next w:val="6"/>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emf"/><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24162</Words>
  <Characters>25304</Characters>
  <Lines>0</Lines>
  <Paragraphs>0</Paragraphs>
  <TotalTime>0</TotalTime>
  <ScaleCrop>false</ScaleCrop>
  <LinksUpToDate>false</LinksUpToDate>
  <CharactersWithSpaces>26842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2022-07-11T02:35:00Z</dcterms:created>
  <dc:creator>Administrator</dc:creator>
  <cp:lastModifiedBy>Administrator</cp:lastModifiedBy>
  <dcterms:modified xsi:type="dcterms:W3CDTF">2023-08-25T06:38:26Z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A21CF8B712C245B1BEF657544542B11D</vt:lpwstr>
  </property>
</Properties>
</file>