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pPr>
        <w:keepNext w:val="0"/>
        <w:keepLines w:val="0"/>
        <w:widowControl/>
        <w:suppressLineNumbers w:val="0"/>
        <w:spacing w:after="150" w:afterAutospacing="0" w:line="300" w:lineRule="atLeast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sz w:val="27"/>
          <w:szCs w:val="27"/>
        </w:rPr>
        <w:t> 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105" w:afterAutospacing="0" w:line="17" w:lineRule="atLeast"/>
        <w:ind w:left="0" w:firstLine="0"/>
        <w:jc w:val="center"/>
        <w:rPr>
          <w:rFonts w:ascii="微软雅黑" w:hAnsi="微软雅黑" w:eastAsia="微软雅黑" w:cs="微软雅黑"/>
          <w:i w:val="0"/>
          <w:caps w:val="0"/>
          <w:spacing w:val="0"/>
          <w:sz w:val="45"/>
          <w:szCs w:val="45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sz w:val="45"/>
          <w:szCs w:val="45"/>
        </w:rPr>
        <w:t>重庆市沙坪坝区住房保障中心采购后勤保障服务(SPB22C02055)竞争性磋商公告</w:t>
      </w:r>
    </w:p>
    <w:p>
      <w:pPr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07790"/>
            <wp:effectExtent l="0" t="0" r="12700" b="16510"/>
            <wp:docPr id="4" name="图片 4" descr="9879654d349bbb678dc400c7ff277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879654d349bbb678dc400c7ff2775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148965"/>
            <wp:effectExtent l="0" t="0" r="10160" b="13335"/>
            <wp:docPr id="5" name="图片 5" descr="c7e886f973e865fb9fab7f84c97c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7e886f973e865fb9fab7f84c97cc4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4004945"/>
            <wp:effectExtent l="0" t="0" r="3175" b="14605"/>
            <wp:docPr id="6" name="图片 6" descr="3076bcffbc3427318eff7dc4bf35a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076bcffbc3427318eff7dc4bf35a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0002AFF" w:usb1="C000247B" w:usb2="00000009" w:usb3="00000000" w:csb0="200001FF" w:csb1="00000000"/>
  </w:font>
  <w:font w:name="Arial">
    <w:panose1 w:val="020B0604020202020204"/>
    <w:charset w:val="01"/>
    <w:family w:val="decorative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roman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3D0254"/>
    <w:rsid w:val="42C03C68"/>
    <w:rsid w:val="503D0254"/>
    <w:rsid w:val="761B257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paragraph" w:styleId="4">
    <w:name w:val="heading 4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2023-02-28T09:19:00Z</dcterms:created>
  <dc:creator>Administrator</dc:creator>
  <cp:lastModifiedBy>Administrator</cp:lastModifiedBy>
  <dcterms:modified xsi:type="dcterms:W3CDTF">2023-02-28T09:48:42Z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</Properties>
</file>