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700" w:lineRule="exact"/>
        <w:contextualSpacing/>
        <w:jc w:val="center"/>
        <w:rPr>
          <w:rFonts w:hint="default" w:ascii="Times New Roman" w:hAnsi="Times New Roman" w:eastAsia="方正小标宋_GBK" w:cs="Times New Roman"/>
          <w:w w:val="9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w w:val="90"/>
          <w:sz w:val="44"/>
          <w:szCs w:val="44"/>
          <w:highlight w:val="none"/>
        </w:rPr>
        <w:t>重庆市沙坪坝区住房和城乡建设委员会</w:t>
      </w: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  <w:t>关于202</w:t>
      </w: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  <w:t>年法治政府建设情况的报告</w:t>
      </w:r>
    </w:p>
    <w:p>
      <w:pPr>
        <w:rPr>
          <w:rFonts w:hint="default" w:ascii="Times New Roman" w:hAnsi="Times New Roman" w:cs="Times New Roman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2024年，在区委、区政府的坚强领导下，区住房城乡建委以习近平新时代中国特色社会主义思想为指</w:t>
      </w:r>
      <w:r>
        <w:rPr>
          <w:rFonts w:hint="eastAsia"/>
          <w:sz w:val="32"/>
          <w:szCs w:val="32"/>
          <w:lang w:eastAsia="zh-CN"/>
        </w:rPr>
        <w:t>导</w:t>
      </w:r>
      <w:r>
        <w:rPr>
          <w:rFonts w:hint="eastAsia" w:eastAsia="方正仿宋_GBK"/>
          <w:sz w:val="32"/>
          <w:szCs w:val="32"/>
        </w:rPr>
        <w:t>，全面贯彻落实党的二十大精神，深入学习贯彻习近平法治思想，对照《法治政府建设实施纲要（2021—2025年）》《2024年全区法治政府建设工作要点》，贯彻落实法治政府建设各项部署，全力推进住房和城乡建设领域事业稳步发展，现将有关情况报告如下。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一、务实创新，深入推动法治政府建设提质增效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（一）持续提升建设审批服务质量。</w:t>
      </w:r>
      <w:r>
        <w:rPr>
          <w:rFonts w:hint="eastAsia" w:eastAsia="方正仿宋_GBK"/>
          <w:sz w:val="32"/>
          <w:szCs w:val="32"/>
        </w:rPr>
        <w:t>2024年度累计办理政务事项1285件，事项办理零超期，年度累计线上回复咨询2057次，现场回复咨询1136次，帮代办事项443次。2024年梳理审批清单，印发《重庆市沙坪坝区工程建设项目审批及办理事项清单（2024版）》，落实清单之外无审批；新落地7个事项“全程网办”，印发《关于进一步推进工程建设项目事项“全程网办”的通知》，提高企业办事便利度；明确高频事项审查标准，印发19个事项的《高频建设许可事项符合性审查要点》，降低审查岗位廉洁风险，系列举措优化政务服务获得企业好评。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（二）创新推动重大改革落实见效。</w:t>
      </w:r>
      <w:r>
        <w:rPr>
          <w:rFonts w:hint="eastAsia" w:eastAsia="方正仿宋_GBK"/>
          <w:sz w:val="32"/>
          <w:szCs w:val="32"/>
        </w:rPr>
        <w:t>牵头推动全区建设工程行政审批制度改革，建立产业项目“用地开工一件事”集成审批服务机制，会同规划自然资源等部门联合制定《沙坪坝区工程建设项目“用地开工一件事”审批服务指南（试行）》，重构工业仓储等产业项目建设审批流程，推动用地规划、不动产权登记、工程规划、施工许可等事项“不见面并联审结”，组建党员领导干部“沙坪坝·项目管家”，高效推动建设项目前期困难化解，项目开工提速约50%。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（三）全面促进法治营商环境优化。</w:t>
      </w:r>
      <w:r>
        <w:rPr>
          <w:rFonts w:hint="eastAsia" w:eastAsia="方正仿宋_GBK"/>
          <w:sz w:val="32"/>
          <w:szCs w:val="32"/>
        </w:rPr>
        <w:t>主动服务精准助力企业降本增效，为企业办理消防审查验收手续提供标准化依申请“顾问指导”，书面“一次性告知”、现场“出谋划策”，研讨出经济便捷的整改方式帮助企业节约整改成本530余万元。梳理企业困境，会同税务部门梳理《税费优惠政策指引》，为设计企业减免企业所得税约200万元。多元指导全面助推企业合规经营，联合应急、公安等13家行业部门印发工作方案，指导企业整改消防安全隐患200余处。发放《城镇排水与污水处理条例》等国家法律法规普法手册150余份，提升排水户法规知晓率。集中开展《重庆市物业管理条例》培训会2场，指导4期物业服务培训，增强物业服务企业法治意识。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（四）着力打造严格公正执法环境。</w:t>
      </w:r>
      <w:r>
        <w:rPr>
          <w:rFonts w:hint="eastAsia" w:eastAsia="方正仿宋_GBK"/>
          <w:sz w:val="32"/>
          <w:szCs w:val="32"/>
        </w:rPr>
        <w:t>加大建设工程质量安全重点领域监管执法力度，开展安全生产治本攻坚三年行动，累计检查项目687个，发现一般安全隐患1685条，隐患及时整改率100%。持续推进全区排水设施安全隐患专项行动，更换问题井盖约138个，安装防坠网约1000套，进行30次污水提升泵站有限空间维护和9次有限空间作业现场安全检查。联合多区域部门利用“双随机、一公开”制度开展房地产经纪机构行政检查，排查整治问题4项。查处公租房违法违约转租出借行为，作出处罚决定2件次，清理退出271户，切实保障了公租房公平善用。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（五）抓实抓牢行政执法能力建设。</w:t>
      </w:r>
      <w:r>
        <w:rPr>
          <w:rFonts w:hint="eastAsia" w:eastAsia="方正仿宋_GBK"/>
          <w:sz w:val="32"/>
          <w:szCs w:val="32"/>
        </w:rPr>
        <w:t>加强行政执法人员培训及资格管理，开展1次执法人员动态清理，执法人员考试通过率100%，组织习近平法治思想及执法知识培训3次。2024年共实施行政处罚84件次，参与全区案卷评查获评优秀执法案卷2件，优良率为100%。优化基层治理联络机制，明确联络员担任危房鉴定人员、加固改造监督人员，累计赴镇街现场技术指导79人次。召开4次行政执法工作会，完成255项执法事项划转，牵头召开住建领域“大综合一体化”执法改革协调会议并建立了常态化联动机制。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（六）系统强化依法行政内外监督。</w:t>
      </w:r>
      <w:r>
        <w:rPr>
          <w:rFonts w:hint="eastAsia" w:eastAsia="方正仿宋_GBK"/>
          <w:sz w:val="32"/>
          <w:szCs w:val="32"/>
        </w:rPr>
        <w:t>落实重大行政决定法制审查机制，90份答复文书经法制审查后作出，26份普通程序行政处罚案件法制审核率100%，重大执法案件经案件评审会议审查率达100%，94份协议经法律、财务、廉政风险审查后订立。重视实质性化解行政纠纷，法律顾问协同参与涉及政府信息公开、履职申请答复等事项的纠纷</w:t>
      </w:r>
      <w:r>
        <w:rPr>
          <w:rFonts w:hint="eastAsia" w:eastAsia="方正仿宋_GBK"/>
          <w:sz w:val="32"/>
          <w:szCs w:val="32"/>
          <w:lang w:eastAsia="zh-CN"/>
        </w:rPr>
        <w:t>调解</w:t>
      </w:r>
      <w:r>
        <w:rPr>
          <w:rFonts w:hint="eastAsia" w:eastAsia="方正仿宋_GBK"/>
          <w:sz w:val="32"/>
          <w:szCs w:val="32"/>
        </w:rPr>
        <w:t>。认真办理司法案件，2024年行政诉讼20件，败诉率较去年同期降低，行政行为被行政复议21次，被确认违法占比较去年同期上升；办好检察建议1份、复议建议1份；坚持每半年分析通报行政执法诉讼情况，总结涉法涉诉行政工作经验，不断提升全委依法行政工作水平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二、严格落实党政主要负责人履行推进法治政府建设第一责任人职责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一是带头深入学习贯彻习近平总书记系列重要讲话精神。深入学习《论坚持全面依法治国》《习近平关于全面依法治国论述摘编》等习近平法治思想10余次，利用线上干部网络学院等学习平台督促法治学习。组织召开1次法治政府工作调度会，定期依法行政工作汇报，高度重视法治政府建设重要改革任务，迅速落实住建领域“大综合一体化”执法改革，常态化管执联动顺畅。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二是把握重大行政决策的法治化发展方向。严格执行“三重一大”决策程序、坚持“民主集中”决策机制，坚持政策文件发布前法制审查，重要决策会议邀请法律顾问列席，充分发挥法律顾问法制审查作用。新制定《重庆市沙坪坝区住房和城乡建设委员会合同管理办法（试行）》，明确背景调查至履约完成全过程的法制审查责任、管理责任，确保行政机关协议签订合法合规。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三是运用法治思维法治方法化解行业矛盾。重视复议诉讼案件办理，做到负责人100%出庭保障群众救济权利。组织开展信访</w:t>
      </w:r>
      <w:r>
        <w:rPr>
          <w:rFonts w:hint="eastAsia"/>
          <w:sz w:val="32"/>
          <w:szCs w:val="32"/>
          <w:lang w:eastAsia="zh-CN"/>
        </w:rPr>
        <w:t>法治</w:t>
      </w:r>
      <w:r>
        <w:rPr>
          <w:rFonts w:hint="eastAsia" w:eastAsia="方正仿宋_GBK"/>
          <w:sz w:val="32"/>
          <w:szCs w:val="32"/>
        </w:rPr>
        <w:t>化工作，明确要求较大疑难的来访答复必经法制审查，确保回应群众诉求合法合理。以党建引领物业行业高质量发展，成立物业行业党委和物业矛盾纠纷调解中心，牵头打造10个红岩物业示范小区，提升基层社会治理水平。筑牢建设工程质量安全屏障，分级分类监管154个在建房屋市政建设项目，严厉打击危及建设工程质量安全违法行为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三、深入剖析，找准法治政府建设“痛难点”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（一）政务服务精准性不足。</w:t>
      </w:r>
      <w:r>
        <w:rPr>
          <w:rFonts w:hint="eastAsia" w:eastAsia="方正仿宋_GBK"/>
          <w:sz w:val="32"/>
          <w:szCs w:val="32"/>
        </w:rPr>
        <w:t>审批制度改革工作协同一致性弱化，对不同阶段项目的需求缺乏全流程、全局性的研判；对建设项目特性缺乏分类研究，导致服务针对性不足，审批服务效率提升还有空间。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（二）依法行政机制保障不足。</w:t>
      </w:r>
      <w:r>
        <w:rPr>
          <w:rFonts w:hint="eastAsia" w:eastAsia="方正仿宋_GBK"/>
          <w:sz w:val="32"/>
          <w:szCs w:val="32"/>
        </w:rPr>
        <w:t>信息公开未充分尽到检索义务、超时答复等违法行为时有发生，暴露出部分执法人员法治意识欠缺，行政机关在依法履职程序方面重视不足，公文流转、承办责任等工作机制不够完善。行政检查缺少事前计划，检查形式较为单一，检查程序规范性不足等问题突出。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（三）数字化牵引法治化仍待破题。</w:t>
      </w:r>
      <w:r>
        <w:rPr>
          <w:rFonts w:hint="eastAsia" w:eastAsia="方正仿宋_GBK"/>
          <w:sz w:val="32"/>
          <w:szCs w:val="32"/>
        </w:rPr>
        <w:t>行政执法全过程以纸质记录为主、数字监管应用不足、送达效率不高等问题尚待进一步破解。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四、真抓实干，助力法治政府建设“出良效”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（一）深化审批制度改革。</w:t>
      </w:r>
      <w:r>
        <w:rPr>
          <w:rFonts w:hint="eastAsia" w:eastAsia="方正仿宋_GBK"/>
          <w:sz w:val="32"/>
          <w:szCs w:val="32"/>
        </w:rPr>
        <w:t>抓好建设工程审批“一件事”改革，联动各阶段工程建设审批部门深化前期服务，研究更具实效性的协同服务机制，探索项目服务廉洁备案制，将“指导服务”“廉洁监督”“加速开工”落到实处，让企业真正受益。做好服务过程记录和项目审批数据分析，重视增强企业实际获得感体验感，提高服务针对性和效率。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（二）强化法制审查保障。</w:t>
      </w:r>
      <w:r>
        <w:rPr>
          <w:rFonts w:hint="eastAsia" w:eastAsia="方正仿宋_GBK"/>
          <w:sz w:val="32"/>
          <w:szCs w:val="32"/>
        </w:rPr>
        <w:t>落实法律风险事前防范机制，邀请法律顾问、法学专家充实行政执法监督力量，确保各项执法工作经法律研判后作出。完善公文流转督办机制，提升流转效率，明确责任分工，重点抓好与群众切身利益相关的决定、规范性文件等审核，通过前置调查、研判等方式做好行政执法保障。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（三）常抓执法监管效能。</w:t>
      </w:r>
      <w:r>
        <w:rPr>
          <w:rFonts w:hint="eastAsia" w:eastAsia="方正仿宋_GBK"/>
          <w:sz w:val="32"/>
          <w:szCs w:val="32"/>
        </w:rPr>
        <w:t>全面开展涉企行政检查合法合理性自查，严格规范涉企行政检查。充分运用“执法＋监督”数字化执法系统，提升行政执法规范化水平。发挥好“双随机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一公开”等多元化执法的监督作用，将传统“执法+管理”思维转变为“执法+服务”思维。着力强化安全生产、建筑市场等重点领域执法力度，重视对违法行为的预防教育，起到惩戒一案治理一域的作用。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特此报告。</w:t>
      </w:r>
    </w:p>
    <w:p>
      <w:pPr>
        <w:pStyle w:val="2"/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spacing w:line="600" w:lineRule="exact"/>
        <w:ind w:firstLine="640" w:firstLineChars="200"/>
        <w:contextualSpacing/>
        <w:jc w:val="right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 xml:space="preserve"> 重庆市沙坪坝区住房和城乡建设委员会</w:t>
      </w:r>
    </w:p>
    <w:p>
      <w:pPr>
        <w:spacing w:line="600" w:lineRule="exact"/>
        <w:ind w:firstLine="640" w:firstLineChars="200"/>
        <w:contextualSpacing/>
        <w:jc w:val="left"/>
        <w:rPr>
          <w:rFonts w:hint="default" w:ascii="Times New Roman" w:hAnsi="Times New Roman" w:cs="Times New Roman"/>
          <w:color w:val="000000"/>
          <w:spacing w:val="-1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 xml:space="preserve">                    </w:t>
      </w:r>
      <w:r>
        <w:rPr>
          <w:rFonts w:hint="eastAsia" w:cs="Times New Roman"/>
          <w:color w:val="000000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000000"/>
          <w:szCs w:val="32"/>
        </w:rPr>
        <w:t>202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szCs w:val="32"/>
        </w:rPr>
        <w:t>年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szCs w:val="32"/>
        </w:rPr>
        <w:t>月</w:t>
      </w:r>
      <w:r>
        <w:rPr>
          <w:rFonts w:hint="eastAsia" w:cs="Times New Roman"/>
          <w:color w:val="000000"/>
          <w:szCs w:val="32"/>
          <w:lang w:val="en-US" w:eastAsia="zh-CN"/>
        </w:rPr>
        <w:t>28</w:t>
      </w:r>
      <w:r>
        <w:rPr>
          <w:rFonts w:hint="default" w:ascii="Times New Roman" w:hAnsi="Times New Roman" w:cs="Times New Roman"/>
          <w:color w:val="000000"/>
          <w:szCs w:val="32"/>
        </w:rPr>
        <w:t>日</w:t>
      </w:r>
    </w:p>
    <w:p>
      <w:pPr>
        <w:spacing w:line="600" w:lineRule="exact"/>
        <w:ind w:firstLine="600" w:firstLineChars="200"/>
        <w:contextualSpacing/>
        <w:rPr>
          <w:rFonts w:hint="default" w:ascii="Times New Roman" w:hAnsi="Times New Roman" w:cs="Times New Roman"/>
          <w:color w:val="000000"/>
          <w:spacing w:val="-10"/>
          <w:szCs w:val="32"/>
        </w:rPr>
      </w:pPr>
      <w:r>
        <w:rPr>
          <w:rFonts w:hint="default" w:ascii="Times New Roman" w:hAnsi="Times New Roman" w:cs="Times New Roman"/>
          <w:color w:val="000000"/>
          <w:spacing w:val="-10"/>
          <w:szCs w:val="32"/>
        </w:rPr>
        <w:t>（</w:t>
      </w:r>
      <w:r>
        <w:rPr>
          <w:rFonts w:hint="default" w:ascii="Times New Roman" w:hAnsi="Times New Roman" w:cs="Times New Roman"/>
          <w:color w:val="000000"/>
          <w:szCs w:val="32"/>
        </w:rPr>
        <w:t>此件公开发布</w:t>
      </w:r>
      <w:r>
        <w:rPr>
          <w:rFonts w:hint="default" w:ascii="Times New Roman" w:hAnsi="Times New Roman" w:cs="Times New Roman"/>
          <w:color w:val="000000"/>
          <w:spacing w:val="-10"/>
          <w:szCs w:val="32"/>
        </w:rPr>
        <w:t>）</w:t>
      </w:r>
    </w:p>
    <w:p>
      <w:pPr>
        <w:jc w:val="right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</w:p>
    <w:p>
      <w:pPr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01BAB"/>
    <w:rsid w:val="00893649"/>
    <w:rsid w:val="0E1373B7"/>
    <w:rsid w:val="1ADF238C"/>
    <w:rsid w:val="25D23219"/>
    <w:rsid w:val="30401BAB"/>
    <w:rsid w:val="371C142E"/>
    <w:rsid w:val="3C9368AF"/>
    <w:rsid w:val="47A65E5C"/>
    <w:rsid w:val="482C0F74"/>
    <w:rsid w:val="54AC09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unhideWhenUsed/>
    <w:qFormat/>
    <w:uiPriority w:val="10"/>
    <w:pPr>
      <w:spacing w:before="240" w:beforeLines="0" w:after="60" w:afterLines="0"/>
      <w:jc w:val="center"/>
      <w:outlineLvl w:val="0"/>
    </w:pPr>
    <w:rPr>
      <w:rFonts w:hint="default" w:ascii="Cambria" w:hAnsi="Cambria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3037</Words>
  <Characters>3138</Characters>
  <Lines>0</Lines>
  <Paragraphs>0</Paragraphs>
  <TotalTime>0</TotalTime>
  <ScaleCrop>false</ScaleCrop>
  <LinksUpToDate>false</LinksUpToDate>
  <CharactersWithSpaces>3162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2025-02-28T02:47:00Z</dcterms:created>
  <dc:creator>冉宇</dc:creator>
  <cp:lastModifiedBy>Administrator</cp:lastModifiedBy>
  <dcterms:modified xsi:type="dcterms:W3CDTF">2025-02-28T08:45:31Z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ADD71CA1DCC64E58BC872B47F1C11E1E_11</vt:lpwstr>
  </property>
  <property fmtid="{D5CDD505-2E9C-101B-9397-08002B2CF9AE}" pid="4" name="KSOTemplateDocerSaveRecord">
    <vt:lpwstr>eyJoZGlkIjoiNzY5MzA5Mzk3NmJkMmVmNTFkMzViYzljYmU5MDRmNGMiLCJ1c2VySWQiOiIxMTk5NzczNjU2In0=</vt:lpwstr>
  </property>
</Properties>
</file>