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&amp;quot" w:hAnsi="&amp;quot" w:eastAsia="&amp;quot" w:cs="&amp;quot"/>
          <w:i w:val="0"/>
          <w:caps w:val="0"/>
          <w:color w:val="333333"/>
          <w:spacing w:val="0"/>
          <w:sz w:val="45"/>
          <w:szCs w:val="45"/>
          <w:u w:val="none"/>
          <w:bdr w:val="none" w:color="auto" w:sz="0" w:space="0"/>
        </w:rPr>
        <w:t>重庆市住房和城乡建设委员会关于下达</w:t>
      </w:r>
      <w:bookmarkStart w:id="0" w:name="_GoBack"/>
      <w:r>
        <w:rPr>
          <w:rFonts w:ascii="&amp;quot" w:hAnsi="&amp;quot" w:eastAsia="&amp;quot" w:cs="&amp;quot"/>
          <w:i w:val="0"/>
          <w:caps w:val="0"/>
          <w:color w:val="333333"/>
          <w:spacing w:val="0"/>
          <w:sz w:val="45"/>
          <w:szCs w:val="45"/>
          <w:u w:val="none"/>
          <w:bdr w:val="none" w:color="auto" w:sz="0" w:space="0"/>
        </w:rPr>
        <w:t>2023年第二批农村低收入群体等重点对象危房改造计划的通知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600" w:right="600" w:firstLine="0"/>
        <w:jc w:val="left"/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有关区县（自治县）住房城乡建委，万盛经开区住房城乡建设局：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600" w:right="600" w:firstLine="480"/>
        <w:jc w:val="left"/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为动态保障农村低收入群体等重点对象住房安全，根据各区县申报农村危房改造计划情况，现将2023年第二批农村低收入群体等重点对象危房改造计划下达（具体详见附件）。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600" w:right="600" w:firstLine="480"/>
        <w:jc w:val="left"/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请你们及时将下达的2023年第二批农村危房改造计划分解下达到相关乡镇（街道），采取有力措施加快推进，确保农村危房改造任务于2023年底前全部开工（2023年12月底前竣工率达到90%以上）、2024年6月底前全部竣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600" w:right="600" w:firstLine="480"/>
        <w:jc w:val="left"/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附件：2023年第二批农村低收入群体等重点对象危房改造计划表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600" w:right="600" w:firstLine="480"/>
        <w:jc w:val="right"/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重庆市住房和城乡建设委员会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600" w:right="600" w:firstLine="480"/>
        <w:jc w:val="right"/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2023年3月30日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94825"/>
    <w:rsid w:val="7D1948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2023-06-08T02:30:00Z</dcterms:created>
  <dc:creator>Administrator</dc:creator>
  <cp:lastModifiedBy>Administrator</cp:lastModifiedBy>
  <dcterms:modified xsi:type="dcterms:W3CDTF">2023-06-08T02:31:34Z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