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135"/>
        <w:gridCol w:w="825"/>
        <w:gridCol w:w="238"/>
        <w:gridCol w:w="1125"/>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3"/>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巨灾保险项目　</w:t>
            </w:r>
          </w:p>
        </w:tc>
        <w:tc>
          <w:tcPr>
            <w:tcW w:w="1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xml:space="preserve"> </w:t>
            </w:r>
            <w:r>
              <w:rPr>
                <w:rFonts w:hint="eastAsia" w:cs="Times New Roman"/>
                <w:kern w:val="0"/>
                <w:sz w:val="20"/>
                <w:szCs w:val="20"/>
                <w:lang w:val="en-US" w:eastAsia="zh-CN"/>
              </w:rPr>
              <w:t>321.8</w:t>
            </w: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321.8</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1.为全区常住人口购买人身伤亡等共9类保险费用175.552万元；标准为1.6元/人；</w:t>
            </w:r>
          </w:p>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sz w:val="20"/>
                <w:szCs w:val="20"/>
              </w:rPr>
              <w:t>2.为全区常住人口购买政府救助保险费用146.3万元；标准为3.5元/户。</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中共中央关于全面深化改革若干重大问题的决定》《重庆市人民政府办公厅关于开展巨灾保险的实施意见》（渝府办发〔2017〕121号）重庆市沙坪坝区人民政府办公室关于印发《沙坪坝区巨灾保险工作实施方案》的通知（沙府办发〔2022〕643号）《重庆市沙坪坝区2022年-2024年巨灾保险合作协议》。</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2024年1月前完成2024年巨灾保险的购买工作，及时完成2024年绩效申报工作。</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增加救助款</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万元</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50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完成理赔人数</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50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理赔完成时限</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天</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15</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群众满意率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95</w:t>
            </w:r>
          </w:p>
        </w:tc>
      </w:tr>
    </w:tbl>
    <w:p>
      <w:pPr>
        <w:sectPr>
          <w:pgSz w:w="16838" w:h="11906" w:orient="landscape"/>
          <w:pgMar w:top="1531" w:right="2098" w:bottom="1531" w:left="1984" w:header="851" w:footer="992" w:gutter="0"/>
          <w:pgNumType w:fmt="decimal"/>
          <w:cols w:space="720" w:num="1"/>
          <w:rtlGutter w:val="0"/>
          <w:docGrid w:type="lines" w:linePitch="312" w:charSpace="0"/>
        </w:sectPr>
      </w:pPr>
    </w:p>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135"/>
        <w:gridCol w:w="825"/>
        <w:gridCol w:w="238"/>
        <w:gridCol w:w="1125"/>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3"/>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default" w:ascii="Times New Roman" w:hAnsi="Times New Roman" w:cs="Times New Roman"/>
                <w:kern w:val="0"/>
                <w:sz w:val="20"/>
              </w:rPr>
              <w:t>12350</w:t>
            </w:r>
            <w:r>
              <w:rPr>
                <w:rFonts w:hint="eastAsia" w:ascii="宋体" w:hAnsi="宋体" w:cs="宋体"/>
                <w:kern w:val="0"/>
                <w:sz w:val="20"/>
              </w:rPr>
              <w:t>举报奖励项目　</w:t>
            </w:r>
          </w:p>
        </w:tc>
        <w:tc>
          <w:tcPr>
            <w:tcW w:w="1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10</w:t>
            </w: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10</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sz w:val="20"/>
                <w:szCs w:val="20"/>
              </w:rPr>
              <w:t>对社会公众举报安全生产违法、非法行为的给予500元至30万元不等的资金奖励。</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重庆市应急管理局重庆市财政局关于印发《重庆市安全生产举报奖励办法》的通知（渝应急发〔2021〕32号）。</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每月根据举报、查处违法非法案件据实发放奖励资金。</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受理群众举报案例数</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件</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120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举报案件受理率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100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资金使用率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80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举报群众满意度</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bl>
    <w:p/>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135"/>
        <w:gridCol w:w="825"/>
        <w:gridCol w:w="238"/>
        <w:gridCol w:w="1125"/>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3"/>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default" w:ascii="Times New Roman" w:hAnsi="Times New Roman" w:cs="Times New Roman"/>
                <w:kern w:val="0"/>
                <w:sz w:val="20"/>
              </w:rPr>
              <w:t>基础办公类项目</w:t>
            </w:r>
            <w:r>
              <w:rPr>
                <w:rFonts w:hint="eastAsia" w:ascii="宋体" w:hAnsi="宋体" w:cs="宋体"/>
                <w:kern w:val="0"/>
                <w:sz w:val="20"/>
              </w:rPr>
              <w:t>　</w:t>
            </w:r>
          </w:p>
        </w:tc>
        <w:tc>
          <w:tcPr>
            <w:tcW w:w="1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32.76</w:t>
            </w: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32.76</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sz w:val="20"/>
                <w:szCs w:val="20"/>
              </w:rPr>
              <w:t>为保证2024年机关正常运行，更好地履职尽责。提供办公、印刷、差旅、咨询等费用。</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1.根据机关运行及履职尽责需要</w:t>
            </w:r>
            <w:r>
              <w:rPr>
                <w:rFonts w:hint="eastAsia" w:cs="Times New Roman"/>
                <w:kern w:val="0"/>
                <w:sz w:val="20"/>
                <w:szCs w:val="20"/>
                <w:lang w:eastAsia="zh-CN"/>
              </w:rPr>
              <w:t>，</w:t>
            </w:r>
            <w:r>
              <w:rPr>
                <w:rFonts w:hint="default" w:ascii="Times New Roman" w:hAnsi="Times New Roman" w:eastAsia="方正仿宋_GBK" w:cs="Times New Roman"/>
                <w:sz w:val="20"/>
                <w:szCs w:val="20"/>
              </w:rPr>
              <w:t>提供办公、印刷、差旅、咨询等费用</w:t>
            </w:r>
            <w:r>
              <w:rPr>
                <w:rFonts w:hint="default" w:ascii="Times New Roman" w:hAnsi="Times New Roman" w:eastAsia="方正仿宋_GBK" w:cs="Times New Roman"/>
                <w:kern w:val="0"/>
                <w:sz w:val="20"/>
                <w:szCs w:val="20"/>
              </w:rPr>
              <w:t>。</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保证全年机关正常运行。</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成本控制率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服务准时率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资金使用率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员工满意度</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bl>
    <w:p/>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135"/>
        <w:gridCol w:w="825"/>
        <w:gridCol w:w="238"/>
        <w:gridCol w:w="1125"/>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3"/>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default" w:ascii="Times New Roman" w:hAnsi="Times New Roman" w:cs="Times New Roman"/>
                <w:kern w:val="0"/>
                <w:sz w:val="20"/>
              </w:rPr>
              <w:t>运行成本类项目</w:t>
            </w:r>
            <w:r>
              <w:rPr>
                <w:rFonts w:hint="eastAsia" w:ascii="宋体" w:hAnsi="宋体" w:cs="宋体"/>
                <w:kern w:val="0"/>
                <w:sz w:val="20"/>
              </w:rPr>
              <w:t>　</w:t>
            </w:r>
          </w:p>
        </w:tc>
        <w:tc>
          <w:tcPr>
            <w:tcW w:w="1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21.96</w:t>
            </w: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21.96</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sz w:val="20"/>
                <w:szCs w:val="20"/>
              </w:rPr>
              <w:t>为保证2024年机关正常运行，更好地履职尽责。提供水、电、租赁等费用。</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1.根据机关运行及履职尽责需要</w:t>
            </w:r>
            <w:r>
              <w:rPr>
                <w:rFonts w:hint="eastAsia" w:cs="Times New Roman"/>
                <w:kern w:val="0"/>
                <w:sz w:val="20"/>
                <w:szCs w:val="20"/>
                <w:lang w:eastAsia="zh-CN"/>
              </w:rPr>
              <w:t>，</w:t>
            </w:r>
            <w:r>
              <w:rPr>
                <w:rFonts w:hint="default" w:ascii="Times New Roman" w:hAnsi="Times New Roman" w:eastAsia="方正仿宋_GBK" w:cs="Times New Roman"/>
                <w:sz w:val="20"/>
                <w:szCs w:val="20"/>
              </w:rPr>
              <w:t>提供水、电、租赁等费用</w:t>
            </w:r>
            <w:r>
              <w:rPr>
                <w:rFonts w:hint="default" w:ascii="Times New Roman" w:hAnsi="Times New Roman" w:eastAsia="方正仿宋_GBK" w:cs="Times New Roman"/>
                <w:kern w:val="0"/>
                <w:sz w:val="20"/>
                <w:szCs w:val="20"/>
              </w:rPr>
              <w:t>。</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保证全年机关正常运行。</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成本控制率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服务质量</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资金使用率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员工满意度</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bl>
    <w:p/>
    <w:p>
      <w:pPr>
        <w:sectPr>
          <w:pgSz w:w="16838" w:h="11906" w:orient="landscape"/>
          <w:pgMar w:top="1531" w:right="2098" w:bottom="1531" w:left="1984" w:header="851" w:footer="992" w:gutter="0"/>
          <w:pgNumType w:fmt="decimal"/>
          <w:cols w:space="720" w:num="1"/>
          <w:rtlGutter w:val="0"/>
          <w:docGrid w:type="lines" w:linePitch="312" w:charSpace="0"/>
        </w:sectPr>
      </w:pPr>
    </w:p>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135"/>
        <w:gridCol w:w="825"/>
        <w:gridCol w:w="238"/>
        <w:gridCol w:w="1125"/>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3"/>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default" w:ascii="Times New Roman" w:hAnsi="Times New Roman" w:cs="Times New Roman"/>
                <w:kern w:val="0"/>
                <w:sz w:val="20"/>
              </w:rPr>
              <w:t>会议培训类项目</w:t>
            </w:r>
            <w:r>
              <w:rPr>
                <w:rFonts w:hint="eastAsia" w:ascii="宋体" w:hAnsi="宋体" w:cs="宋体"/>
                <w:kern w:val="0"/>
                <w:sz w:val="20"/>
              </w:rPr>
              <w:t>　</w:t>
            </w:r>
          </w:p>
        </w:tc>
        <w:tc>
          <w:tcPr>
            <w:tcW w:w="1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4.32</w:t>
            </w: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4.32</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sz w:val="20"/>
                <w:szCs w:val="20"/>
              </w:rPr>
              <w:t>为保证2024年机关正常运行，更好地履职尽责。提供会议及培训费用。</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1.根据机关运行及履职尽责需要</w:t>
            </w:r>
            <w:r>
              <w:rPr>
                <w:rFonts w:hint="eastAsia" w:cs="Times New Roman"/>
                <w:kern w:val="0"/>
                <w:sz w:val="20"/>
                <w:szCs w:val="20"/>
                <w:lang w:eastAsia="zh-CN"/>
              </w:rPr>
              <w:t>，</w:t>
            </w:r>
            <w:r>
              <w:rPr>
                <w:rFonts w:hint="default" w:ascii="Times New Roman" w:hAnsi="Times New Roman" w:eastAsia="方正仿宋_GBK" w:cs="Times New Roman"/>
                <w:sz w:val="20"/>
                <w:szCs w:val="20"/>
              </w:rPr>
              <w:t>提供会议及培训等费用</w:t>
            </w:r>
            <w:r>
              <w:rPr>
                <w:rFonts w:hint="default" w:ascii="Times New Roman" w:hAnsi="Times New Roman" w:eastAsia="方正仿宋_GBK" w:cs="Times New Roman"/>
                <w:kern w:val="0"/>
                <w:sz w:val="20"/>
                <w:szCs w:val="20"/>
              </w:rPr>
              <w:t>。</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保证全年机关正常运行。</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成本控制率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507"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服务质量</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资金使用率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员工满意度</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bl>
    <w:p>
      <w:pPr>
        <w:sectPr>
          <w:pgSz w:w="16838" w:h="11906" w:orient="landscape"/>
          <w:pgMar w:top="1531" w:right="2098" w:bottom="1531" w:left="1984" w:header="851" w:footer="992" w:gutter="0"/>
          <w:pgNumType w:fmt="decimal"/>
          <w:cols w:space="720" w:num="1"/>
          <w:rtlGutter w:val="0"/>
          <w:docGrid w:type="lines" w:linePitch="312" w:charSpace="0"/>
        </w:sectPr>
      </w:pPr>
    </w:p>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135"/>
        <w:gridCol w:w="825"/>
        <w:gridCol w:w="238"/>
        <w:gridCol w:w="1125"/>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0"/>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3"/>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default" w:ascii="Times New Roman" w:hAnsi="Times New Roman" w:cs="Times New Roman"/>
                <w:kern w:val="0"/>
                <w:sz w:val="20"/>
              </w:rPr>
              <w:t>设备采购类项目</w:t>
            </w:r>
          </w:p>
        </w:tc>
        <w:tc>
          <w:tcPr>
            <w:tcW w:w="1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1.2</w:t>
            </w: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1.2</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sz w:val="20"/>
                <w:szCs w:val="20"/>
              </w:rPr>
              <w:t>为保证2024年机关正常运行，更好地履职尽责。提供电脑购置费用。</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1.根据机关运行及履职尽责需要</w:t>
            </w:r>
            <w:r>
              <w:rPr>
                <w:rFonts w:hint="eastAsia" w:cs="Times New Roman"/>
                <w:kern w:val="0"/>
                <w:sz w:val="20"/>
                <w:szCs w:val="20"/>
                <w:lang w:eastAsia="zh-CN"/>
              </w:rPr>
              <w:t>，</w:t>
            </w:r>
            <w:r>
              <w:rPr>
                <w:rFonts w:hint="default" w:ascii="Times New Roman" w:hAnsi="Times New Roman" w:eastAsia="方正仿宋_GBK" w:cs="Times New Roman"/>
                <w:sz w:val="20"/>
                <w:szCs w:val="20"/>
              </w:rPr>
              <w:t>提供</w:t>
            </w:r>
            <w:r>
              <w:rPr>
                <w:rFonts w:hint="eastAsia" w:cs="Times New Roman"/>
                <w:sz w:val="20"/>
                <w:szCs w:val="20"/>
                <w:lang w:val="en-US" w:eastAsia="zh-CN"/>
              </w:rPr>
              <w:t>办公电脑采购</w:t>
            </w:r>
            <w:r>
              <w:rPr>
                <w:rFonts w:hint="default" w:ascii="Times New Roman" w:hAnsi="Times New Roman" w:eastAsia="方正仿宋_GBK" w:cs="Times New Roman"/>
                <w:sz w:val="20"/>
                <w:szCs w:val="20"/>
              </w:rPr>
              <w:t>等费用</w:t>
            </w:r>
            <w:r>
              <w:rPr>
                <w:rFonts w:hint="default" w:ascii="Times New Roman" w:hAnsi="Times New Roman" w:eastAsia="方正仿宋_GBK" w:cs="Times New Roman"/>
                <w:kern w:val="0"/>
                <w:sz w:val="20"/>
                <w:szCs w:val="20"/>
              </w:rPr>
              <w:t>。</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保证全年机关正常运行。</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成本控制率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507"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服务质量</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资金使用率</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员工满意度</w:t>
            </w:r>
          </w:p>
        </w:tc>
        <w:tc>
          <w:tcPr>
            <w:tcW w:w="109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bl>
    <w:p>
      <w:pPr>
        <w:sectPr>
          <w:pgSz w:w="16838" w:h="11906" w:orient="landscape"/>
          <w:pgMar w:top="1531" w:right="2098" w:bottom="1531" w:left="1984" w:header="851" w:footer="992" w:gutter="0"/>
          <w:pgNumType w:fmt="decimal"/>
          <w:cols w:space="720" w:num="1"/>
          <w:rtlGutter w:val="0"/>
          <w:docGrid w:type="lines" w:linePitch="312" w:charSpace="0"/>
        </w:sectPr>
      </w:pPr>
    </w:p>
    <w:tbl>
      <w:tblPr>
        <w:tblStyle w:val="3"/>
        <w:tblW w:w="15041" w:type="dxa"/>
        <w:jc w:val="center"/>
        <w:tblInd w:w="93" w:type="dxa"/>
        <w:tblLayout w:type="fixed"/>
        <w:tblCellMar>
          <w:top w:w="0" w:type="dxa"/>
          <w:left w:w="108" w:type="dxa"/>
          <w:bottom w:w="0" w:type="dxa"/>
          <w:right w:w="108" w:type="dxa"/>
        </w:tblCellMar>
      </w:tblPr>
      <w:tblGrid>
        <w:gridCol w:w="2220"/>
        <w:gridCol w:w="1620"/>
        <w:gridCol w:w="1500"/>
        <w:gridCol w:w="960"/>
        <w:gridCol w:w="85"/>
        <w:gridCol w:w="13"/>
        <w:gridCol w:w="37"/>
        <w:gridCol w:w="825"/>
        <w:gridCol w:w="200"/>
        <w:gridCol w:w="25"/>
        <w:gridCol w:w="13"/>
        <w:gridCol w:w="1062"/>
        <w:gridCol w:w="63"/>
        <w:gridCol w:w="323"/>
        <w:gridCol w:w="6095"/>
      </w:tblGrid>
      <w:tr>
        <w:tblPrEx>
          <w:tblLayout w:type="fixed"/>
          <w:tblCellMar>
            <w:top w:w="0" w:type="dxa"/>
            <w:left w:w="108" w:type="dxa"/>
            <w:bottom w:w="0" w:type="dxa"/>
            <w:right w:w="108" w:type="dxa"/>
          </w:tblCellMar>
        </w:tblPrEx>
        <w:trPr>
          <w:trHeight w:val="735" w:hRule="atLeast"/>
          <w:jc w:val="center"/>
        </w:trPr>
        <w:tc>
          <w:tcPr>
            <w:tcW w:w="15041" w:type="dxa"/>
            <w:gridSpan w:val="15"/>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4"/>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6"/>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eastAsia="zh-CN"/>
              </w:rPr>
              <w:t>自然灾害救灾资金项目</w:t>
            </w:r>
          </w:p>
        </w:tc>
        <w:tc>
          <w:tcPr>
            <w:tcW w:w="16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xml:space="preserve"> </w:t>
            </w:r>
            <w:r>
              <w:rPr>
                <w:rFonts w:hint="eastAsia" w:cs="Times New Roman"/>
                <w:kern w:val="0"/>
                <w:sz w:val="20"/>
                <w:szCs w:val="20"/>
                <w:lang w:val="en-US" w:eastAsia="zh-CN"/>
              </w:rPr>
              <w:t>20</w:t>
            </w: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 xml:space="preserve">  20</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762"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4"/>
            <w:tcBorders>
              <w:top w:val="single" w:color="auto" w:sz="4" w:space="0"/>
              <w:left w:val="nil"/>
              <w:bottom w:val="single" w:color="auto" w:sz="4" w:space="0"/>
              <w:right w:val="single" w:color="000000" w:sz="4" w:space="0"/>
            </w:tcBorders>
            <w:vAlign w:val="center"/>
          </w:tcPr>
          <w:p>
            <w:pPr>
              <w:spacing w:beforeLines="0" w:afterLines="0" w:line="255" w:lineRule="exact"/>
              <w:ind w:left="20"/>
              <w:rPr>
                <w:rFonts w:hint="eastAsia" w:ascii="Times New Roman" w:hAnsi="Times New Roman" w:eastAsia="方正仿宋_GBK" w:cs="Times New Roman"/>
                <w:kern w:val="0"/>
                <w:sz w:val="20"/>
                <w:szCs w:val="20"/>
                <w:lang w:eastAsia="zh-CN"/>
              </w:rPr>
            </w:pPr>
            <w:r>
              <w:rPr>
                <w:rFonts w:hint="eastAsia" w:cs="Times New Roman"/>
                <w:kern w:val="0"/>
                <w:sz w:val="20"/>
                <w:szCs w:val="20"/>
                <w:lang w:eastAsia="zh-CN"/>
              </w:rPr>
              <w:t>开展受灾群众应急期救助、过渡期救助、因灾遇难人员家属抚慰、因灾倒损房屋恢复重建等救助。</w:t>
            </w:r>
          </w:p>
        </w:tc>
      </w:tr>
      <w:tr>
        <w:tblPrEx>
          <w:tblLayout w:type="fixed"/>
          <w:tblCellMar>
            <w:top w:w="0" w:type="dxa"/>
            <w:left w:w="108" w:type="dxa"/>
            <w:bottom w:w="0" w:type="dxa"/>
            <w:right w:w="108" w:type="dxa"/>
          </w:tblCellMar>
        </w:tblPrEx>
        <w:trPr>
          <w:trHeight w:val="106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《中共中央关于全面深化改革若干重大问题的决定》</w:t>
            </w:r>
          </w:p>
        </w:tc>
      </w:tr>
      <w:tr>
        <w:tblPrEx>
          <w:tblLayout w:type="fixed"/>
          <w:tblCellMar>
            <w:top w:w="0" w:type="dxa"/>
            <w:left w:w="108" w:type="dxa"/>
            <w:bottom w:w="0" w:type="dxa"/>
            <w:right w:w="108" w:type="dxa"/>
          </w:tblCellMar>
        </w:tblPrEx>
        <w:trPr>
          <w:trHeight w:val="587"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完成2024年自然灾害受灾群众的救助工作。</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4"/>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3" w:type="dxa"/>
            <w:gridSpan w:val="4"/>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2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18"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资金下达及时率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30</w:t>
            </w:r>
            <w:r>
              <w:rPr>
                <w:rFonts w:hint="default" w:ascii="Times New Roman" w:hAnsi="Times New Roman" w:eastAsia="方正仿宋_GBK" w:cs="Times New Roman"/>
                <w:i w:val="0"/>
                <w:color w:val="000000"/>
                <w:kern w:val="0"/>
                <w:sz w:val="20"/>
                <w:szCs w:val="20"/>
                <w:u w:val="none"/>
                <w:lang w:val="en-US" w:eastAsia="zh-CN" w:bidi="ar"/>
              </w:rPr>
              <w:t>%</w:t>
            </w:r>
          </w:p>
        </w:tc>
        <w:tc>
          <w:tcPr>
            <w:tcW w:w="1063"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万元</w:t>
            </w:r>
          </w:p>
        </w:tc>
        <w:tc>
          <w:tcPr>
            <w:tcW w:w="11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资金下达准确率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30</w:t>
            </w:r>
            <w:r>
              <w:rPr>
                <w:rFonts w:hint="default" w:ascii="Times New Roman" w:hAnsi="Times New Roman" w:eastAsia="方正仿宋_GBK" w:cs="Times New Roman"/>
                <w:i w:val="0"/>
                <w:color w:val="000000"/>
                <w:kern w:val="0"/>
                <w:sz w:val="20"/>
                <w:szCs w:val="20"/>
                <w:u w:val="none"/>
                <w:lang w:val="en-US" w:eastAsia="zh-CN" w:bidi="ar"/>
              </w:rPr>
              <w:t>%</w:t>
            </w:r>
          </w:p>
        </w:tc>
        <w:tc>
          <w:tcPr>
            <w:tcW w:w="1063"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w:t>
            </w:r>
          </w:p>
        </w:tc>
        <w:tc>
          <w:tcPr>
            <w:tcW w:w="11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资金下达完整性</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3"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天</w:t>
            </w:r>
          </w:p>
        </w:tc>
        <w:tc>
          <w:tcPr>
            <w:tcW w:w="11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15</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服务对象</w:t>
            </w:r>
            <w:r>
              <w:rPr>
                <w:rFonts w:hint="default" w:ascii="Times New Roman" w:hAnsi="Times New Roman" w:eastAsia="方正仿宋_GBK" w:cs="Times New Roman"/>
                <w:i w:val="0"/>
                <w:color w:val="000000"/>
                <w:kern w:val="0"/>
                <w:sz w:val="20"/>
                <w:szCs w:val="20"/>
                <w:u w:val="none"/>
                <w:lang w:val="en-US" w:eastAsia="zh-CN" w:bidi="ar"/>
              </w:rPr>
              <w:t>满意率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1</w:t>
            </w:r>
            <w:r>
              <w:rPr>
                <w:rFonts w:hint="default" w:ascii="Times New Roman" w:hAnsi="Times New Roman" w:eastAsia="方正仿宋_GBK" w:cs="Times New Roman"/>
                <w:i w:val="0"/>
                <w:color w:val="000000"/>
                <w:kern w:val="0"/>
                <w:sz w:val="20"/>
                <w:szCs w:val="20"/>
                <w:u w:val="none"/>
                <w:lang w:val="en-US" w:eastAsia="zh-CN" w:bidi="ar"/>
              </w:rPr>
              <w:t>0%</w:t>
            </w:r>
          </w:p>
        </w:tc>
        <w:tc>
          <w:tcPr>
            <w:tcW w:w="1063"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1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735" w:hRule="atLeast"/>
          <w:jc w:val="center"/>
        </w:trPr>
        <w:tc>
          <w:tcPr>
            <w:tcW w:w="15041" w:type="dxa"/>
            <w:gridSpan w:val="15"/>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4"/>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6"/>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应急管理基层基础建设项目　</w:t>
            </w:r>
          </w:p>
        </w:tc>
        <w:tc>
          <w:tcPr>
            <w:tcW w:w="16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xml:space="preserve"> </w:t>
            </w:r>
            <w:r>
              <w:rPr>
                <w:rFonts w:hint="eastAsia" w:cs="Times New Roman"/>
                <w:kern w:val="0"/>
                <w:sz w:val="20"/>
                <w:szCs w:val="20"/>
                <w:lang w:val="en-US" w:eastAsia="zh-CN"/>
              </w:rPr>
              <w:t>21</w:t>
            </w: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r>
              <w:rPr>
                <w:rFonts w:hint="eastAsia" w:cs="Times New Roman"/>
                <w:kern w:val="0"/>
                <w:sz w:val="20"/>
                <w:szCs w:val="20"/>
                <w:lang w:val="en-US" w:eastAsia="zh-CN"/>
              </w:rPr>
              <w:t>21</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加强应急管理基层基础建设，强化人员、物资、服务、后勤保障，扎实推进应急监管能力提升。实施全民安全素养提升行动，深化开展安全宣传进企业、进社区、进家庭、进校园、进农村活动，创新开展安全生产月、“5·12”防灾减灾日、“最美应急人”等活动，强化重要节点、重要事项、重要政策安全宣传和新闻发布。深化举报奖励工作宣传发动，扩大有奖举报知晓率、参与率。</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重庆市安全生产委员会办公室《关于学好用好&lt;中国应急管理报&gt;等主流媒体强化应急管理新闻舆论阵地建设的通知》（渝安办〔2020〕94号）；2.《重庆市应急管理局办公室关于开展2020-2021年度区县应急工作人员人身意外伤害保险工作的通知 》（渝应急办〔2020〕17号）</w:t>
            </w:r>
            <w:r>
              <w:rPr>
                <w:rFonts w:hint="eastAsia" w:cs="Times New Roman"/>
                <w:kern w:val="0"/>
                <w:sz w:val="20"/>
                <w:szCs w:val="20"/>
                <w:lang w:eastAsia="zh-CN"/>
              </w:rPr>
              <w:t>。</w:t>
            </w: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sz w:val="20"/>
                <w:szCs w:val="20"/>
              </w:rPr>
              <w:t>普及安全生产知识，提升应急人员能力，完善执法装备，推进全区基层基础建设。</w:t>
            </w: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4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113"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0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81"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保险购买数量</w:t>
            </w:r>
          </w:p>
        </w:tc>
        <w:tc>
          <w:tcPr>
            <w:tcW w:w="104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113" w:type="dxa"/>
            <w:gridSpan w:val="6"/>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份</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预算执行率</w:t>
            </w:r>
          </w:p>
        </w:tc>
        <w:tc>
          <w:tcPr>
            <w:tcW w:w="104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113" w:type="dxa"/>
            <w:gridSpan w:val="6"/>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应急知识宣传率</w:t>
            </w:r>
          </w:p>
        </w:tc>
        <w:tc>
          <w:tcPr>
            <w:tcW w:w="104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13" w:type="dxa"/>
            <w:gridSpan w:val="6"/>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80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群众满意率</w:t>
            </w:r>
          </w:p>
        </w:tc>
        <w:tc>
          <w:tcPr>
            <w:tcW w:w="104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13" w:type="dxa"/>
            <w:gridSpan w:val="6"/>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735" w:hRule="atLeast"/>
          <w:jc w:val="center"/>
        </w:trPr>
        <w:tc>
          <w:tcPr>
            <w:tcW w:w="15041" w:type="dxa"/>
            <w:gridSpan w:val="15"/>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4"/>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6"/>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　应急救援能力建设及应急救援项目</w:t>
            </w:r>
          </w:p>
        </w:tc>
        <w:tc>
          <w:tcPr>
            <w:tcW w:w="16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xml:space="preserve"> </w:t>
            </w:r>
            <w:r>
              <w:rPr>
                <w:rFonts w:hint="eastAsia" w:cs="Times New Roman"/>
                <w:kern w:val="0"/>
                <w:sz w:val="20"/>
                <w:szCs w:val="20"/>
                <w:lang w:val="en-US" w:eastAsia="zh-CN"/>
              </w:rPr>
              <w:t>20.52</w:t>
            </w: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r>
              <w:rPr>
                <w:rFonts w:hint="eastAsia" w:cs="Times New Roman"/>
                <w:kern w:val="0"/>
                <w:sz w:val="20"/>
                <w:szCs w:val="20"/>
                <w:lang w:val="en-US" w:eastAsia="zh-CN"/>
              </w:rPr>
              <w:t>20.52</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开展应急救援及救灾；开展应急指挥中心标准化建设；开展自然灾害普查成果运用</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中共中央关于全面深化改革若干重大问题的决定》；2.《重庆市人民政府办公厅关于开展巨灾保险的实施意见》（渝府办发〔2017〕121号）；3.重庆市沙坪坝区人民政府办公室关于印发《沙坪坝区巨灾保险工作实施方案》的通知（沙府办发〔2022〕643号）；4.《重庆市沙坪坝区2022年-2021年巨灾保险合作协议》。　</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4"/>
            <w:tcBorders>
              <w:top w:val="single" w:color="auto" w:sz="4" w:space="0"/>
              <w:left w:val="nil"/>
              <w:bottom w:val="single" w:color="auto" w:sz="4" w:space="0"/>
              <w:right w:val="single" w:color="000000" w:sz="4" w:space="0"/>
            </w:tcBorders>
            <w:vAlign w:val="center"/>
          </w:tcPr>
          <w:p>
            <w:pPr>
              <w:spacing w:beforeLines="0" w:afterLines="0" w:line="255" w:lineRule="exact"/>
              <w:ind w:left="20"/>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sz w:val="20"/>
                <w:szCs w:val="20"/>
              </w:rPr>
              <w:t>1.完成自然灾害应急、安全生产演练</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2.完成应急预案编制</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3.完成自然灾害隐患普查。</w:t>
            </w: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58"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100" w:type="dxa"/>
            <w:gridSpan w:val="5"/>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06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81"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次生事故发生起数</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ascii="Times New Roman" w:hAnsi="Times New Roman" w:cs="Times New Roman"/>
                <w:i w:val="0"/>
                <w:color w:val="000000"/>
                <w:kern w:val="0"/>
                <w:sz w:val="20"/>
                <w:szCs w:val="20"/>
                <w:u w:val="none"/>
                <w:lang w:val="en-US" w:eastAsia="zh-CN" w:bidi="ar"/>
              </w:rPr>
              <w:t>30</w:t>
            </w:r>
            <w:r>
              <w:rPr>
                <w:rFonts w:hint="default" w:ascii="Times New Roman" w:hAnsi="Times New Roman" w:eastAsia="方正仿宋_GBK" w:cs="Times New Roman"/>
                <w:i w:val="0"/>
                <w:color w:val="000000"/>
                <w:kern w:val="0"/>
                <w:sz w:val="20"/>
                <w:szCs w:val="20"/>
                <w:u w:val="none"/>
                <w:lang w:val="en-US" w:eastAsia="zh-CN" w:bidi="ar"/>
              </w:rPr>
              <w:t>%</w:t>
            </w:r>
          </w:p>
        </w:tc>
        <w:tc>
          <w:tcPr>
            <w:tcW w:w="1100" w:type="dxa"/>
            <w:gridSpan w:val="5"/>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起</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5</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减少次生损失</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ascii="Times New Roman" w:hAnsi="Times New Roman" w:cs="Times New Roman"/>
                <w:i w:val="0"/>
                <w:color w:val="000000"/>
                <w:kern w:val="0"/>
                <w:sz w:val="20"/>
                <w:szCs w:val="20"/>
                <w:u w:val="none"/>
                <w:lang w:val="en-US" w:eastAsia="zh-CN" w:bidi="ar"/>
              </w:rPr>
              <w:t>30</w:t>
            </w:r>
            <w:r>
              <w:rPr>
                <w:rFonts w:hint="default" w:ascii="Times New Roman" w:hAnsi="Times New Roman" w:eastAsia="方正仿宋_GBK" w:cs="Times New Roman"/>
                <w:i w:val="0"/>
                <w:color w:val="000000"/>
                <w:kern w:val="0"/>
                <w:sz w:val="20"/>
                <w:szCs w:val="20"/>
                <w:u w:val="none"/>
                <w:lang w:val="en-US" w:eastAsia="zh-CN" w:bidi="ar"/>
              </w:rPr>
              <w:t>%</w:t>
            </w:r>
          </w:p>
        </w:tc>
        <w:tc>
          <w:tcPr>
            <w:tcW w:w="1100" w:type="dxa"/>
            <w:gridSpan w:val="5"/>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万元</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50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应急处置参与率</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100" w:type="dxa"/>
            <w:gridSpan w:val="5"/>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95</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群众满意率</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ascii="Times New Roman" w:hAnsi="Times New Roman" w:cs="Times New Roman"/>
                <w:i w:val="0"/>
                <w:color w:val="000000"/>
                <w:kern w:val="0"/>
                <w:sz w:val="20"/>
                <w:szCs w:val="20"/>
                <w:u w:val="none"/>
                <w:lang w:val="en-US" w:eastAsia="zh-CN" w:bidi="ar"/>
              </w:rPr>
              <w:t>10</w:t>
            </w:r>
            <w:r>
              <w:rPr>
                <w:rFonts w:hint="default" w:ascii="Times New Roman" w:hAnsi="Times New Roman" w:eastAsia="方正仿宋_GBK" w:cs="Times New Roman"/>
                <w:i w:val="0"/>
                <w:color w:val="000000"/>
                <w:kern w:val="0"/>
                <w:sz w:val="20"/>
                <w:szCs w:val="20"/>
                <w:u w:val="none"/>
                <w:lang w:val="en-US" w:eastAsia="zh-CN" w:bidi="ar"/>
              </w:rPr>
              <w:t>%</w:t>
            </w:r>
          </w:p>
        </w:tc>
        <w:tc>
          <w:tcPr>
            <w:tcW w:w="1100" w:type="dxa"/>
            <w:gridSpan w:val="5"/>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6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735" w:hRule="atLeast"/>
          <w:jc w:val="center"/>
        </w:trPr>
        <w:tc>
          <w:tcPr>
            <w:tcW w:w="15041" w:type="dxa"/>
            <w:gridSpan w:val="15"/>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55"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4"/>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6"/>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安全生产隐患整治项目　</w:t>
            </w:r>
          </w:p>
        </w:tc>
        <w:tc>
          <w:tcPr>
            <w:tcW w:w="16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xml:space="preserve"> </w:t>
            </w:r>
            <w:r>
              <w:rPr>
                <w:rFonts w:hint="eastAsia" w:cs="Times New Roman"/>
                <w:kern w:val="0"/>
                <w:sz w:val="20"/>
                <w:szCs w:val="20"/>
                <w:lang w:val="en-US" w:eastAsia="zh-CN"/>
              </w:rPr>
              <w:t>6</w:t>
            </w: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r>
              <w:rPr>
                <w:rFonts w:hint="eastAsia" w:cs="Times New Roman"/>
                <w:kern w:val="0"/>
                <w:sz w:val="20"/>
                <w:szCs w:val="20"/>
                <w:lang w:val="en-US" w:eastAsia="zh-CN"/>
              </w:rPr>
              <w:t>6</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eastAsia" w:cs="Times New Roman"/>
                <w:sz w:val="20"/>
                <w:szCs w:val="20"/>
                <w:lang w:val="en-US" w:eastAsia="zh-CN"/>
              </w:rPr>
              <w:t>对整治资金存在困难的区级应急抢险工程项目、区政府挂牌整治重大安全隐患整治项目、区政府领导批示的安全隐患整治项目、无主隐患或危及公共安全隐患整治项目整治工作给予支持，确保风险隐患得到及时整治。各项目由各镇街、部门和有关单位排查、梳理、上报，经区应急局初审符合资金使用规定后，提出资金安排方案，报区政府审批后使用。</w:t>
            </w:r>
          </w:p>
        </w:tc>
      </w:tr>
      <w:tr>
        <w:tblPrEx>
          <w:tblLayout w:type="fixed"/>
          <w:tblCellMar>
            <w:top w:w="0" w:type="dxa"/>
            <w:left w:w="108" w:type="dxa"/>
            <w:bottom w:w="0" w:type="dxa"/>
            <w:right w:w="108" w:type="dxa"/>
          </w:tblCellMar>
        </w:tblPrEx>
        <w:trPr>
          <w:trHeight w:val="85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r>
              <w:rPr>
                <w:rFonts w:hint="eastAsia" w:cs="Times New Roman"/>
                <w:kern w:val="0"/>
                <w:sz w:val="20"/>
                <w:szCs w:val="20"/>
                <w:lang w:eastAsia="zh-CN"/>
              </w:rPr>
              <w:t>中华人民共和国安全生产法</w:t>
            </w:r>
            <w:r>
              <w:rPr>
                <w:rFonts w:hint="default" w:ascii="Times New Roman" w:hAnsi="Times New Roman" w:eastAsia="方正仿宋_GBK" w:cs="Times New Roman"/>
                <w:kern w:val="0"/>
                <w:sz w:val="20"/>
                <w:szCs w:val="20"/>
              </w:rPr>
              <w:t>》《安全生产事故隐患排查治理暂行规定》（安监总局令第16号 ）《关于深化平安重庆建设加强安全生产三基”工作的实施意见》（渝委办发〔2014〕1号）《关于修订&lt;沙坪坝区安全生产和自然灾害防治专项资金管理办法&gt;的通知》（沙应急〔2022〕19号）等法律法规和政策文件。　</w:t>
            </w:r>
          </w:p>
        </w:tc>
      </w:tr>
      <w:tr>
        <w:tblPrEx>
          <w:tblLayout w:type="fixed"/>
          <w:tblCellMar>
            <w:top w:w="0" w:type="dxa"/>
            <w:left w:w="108" w:type="dxa"/>
            <w:bottom w:w="0" w:type="dxa"/>
            <w:right w:w="108" w:type="dxa"/>
          </w:tblCellMar>
        </w:tblPrEx>
        <w:trPr>
          <w:trHeight w:val="711"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对各镇街、部门和有关单位排查发现的、按程序申报并经区领导审批的隐患整治项目，及时给予相应资金补助，确保风险隐患得到有效治理，维护人民群众生命财产安全。　</w:t>
            </w:r>
            <w:r>
              <w:rPr>
                <w:rFonts w:hint="default" w:ascii="Times New Roman" w:hAnsi="Times New Roman" w:eastAsia="方正仿宋_GBK" w:cs="Times New Roman"/>
                <w:sz w:val="20"/>
                <w:szCs w:val="20"/>
              </w:rPr>
              <w:t>逐步整治安全隐患，切实降低事故风险、减少事故发生。</w:t>
            </w:r>
          </w:p>
        </w:tc>
      </w:tr>
      <w:tr>
        <w:tblPrEx>
          <w:tblLayout w:type="fixed"/>
          <w:tblCellMar>
            <w:top w:w="0" w:type="dxa"/>
            <w:left w:w="108" w:type="dxa"/>
            <w:bottom w:w="0" w:type="dxa"/>
            <w:right w:w="108" w:type="dxa"/>
          </w:tblCellMar>
        </w:tblPrEx>
        <w:trPr>
          <w:trHeight w:val="51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58"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6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100"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81"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510"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隐患整改率</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2"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0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95</w:t>
            </w:r>
          </w:p>
        </w:tc>
      </w:tr>
      <w:tr>
        <w:tblPrEx>
          <w:tblLayout w:type="fixed"/>
          <w:tblCellMar>
            <w:top w:w="0" w:type="dxa"/>
            <w:left w:w="108" w:type="dxa"/>
            <w:bottom w:w="0" w:type="dxa"/>
            <w:right w:w="108" w:type="dxa"/>
          </w:tblCellMar>
        </w:tblPrEx>
        <w:trPr>
          <w:trHeight w:val="510"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减少事故数</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062"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起数</w:t>
            </w:r>
          </w:p>
        </w:tc>
        <w:tc>
          <w:tcPr>
            <w:tcW w:w="110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eastAsia" w:ascii="Times New Roman" w:hAnsi="Times New Roman" w:cs="Times New Roman"/>
                <w:i w:val="0"/>
                <w:color w:val="000000"/>
                <w:kern w:val="0"/>
                <w:sz w:val="20"/>
                <w:szCs w:val="20"/>
                <w:u w:val="none"/>
                <w:lang w:val="en-US" w:eastAsia="zh-CN" w:bidi="ar"/>
              </w:rPr>
              <w:t>3</w:t>
            </w:r>
          </w:p>
        </w:tc>
      </w:tr>
      <w:tr>
        <w:tblPrEx>
          <w:tblLayout w:type="fixed"/>
          <w:tblCellMar>
            <w:top w:w="0" w:type="dxa"/>
            <w:left w:w="108" w:type="dxa"/>
            <w:bottom w:w="0" w:type="dxa"/>
            <w:right w:w="108" w:type="dxa"/>
          </w:tblCellMar>
        </w:tblPrEx>
        <w:trPr>
          <w:trHeight w:val="510"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项目完成率</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2"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0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80</w:t>
            </w:r>
          </w:p>
        </w:tc>
      </w:tr>
      <w:tr>
        <w:tblPrEx>
          <w:tblLayout w:type="fixed"/>
          <w:tblCellMar>
            <w:top w:w="0" w:type="dxa"/>
            <w:left w:w="108" w:type="dxa"/>
            <w:bottom w:w="0" w:type="dxa"/>
            <w:right w:w="108" w:type="dxa"/>
          </w:tblCellMar>
        </w:tblPrEx>
        <w:trPr>
          <w:trHeight w:val="510"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群众安全感</w:t>
            </w:r>
          </w:p>
        </w:tc>
        <w:tc>
          <w:tcPr>
            <w:tcW w:w="1058"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62"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10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819" w:hRule="atLeast"/>
          <w:jc w:val="center"/>
        </w:trPr>
        <w:tc>
          <w:tcPr>
            <w:tcW w:w="15041" w:type="dxa"/>
            <w:gridSpan w:val="15"/>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09"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4"/>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6"/>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生产经营单位安全监管项目　</w:t>
            </w:r>
          </w:p>
        </w:tc>
        <w:tc>
          <w:tcPr>
            <w:tcW w:w="16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21.6</w:t>
            </w: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r>
              <w:rPr>
                <w:rFonts w:hint="eastAsia" w:cs="Times New Roman"/>
                <w:kern w:val="0"/>
                <w:sz w:val="20"/>
                <w:szCs w:val="20"/>
                <w:lang w:val="en-US" w:eastAsia="zh-CN"/>
              </w:rPr>
              <w:t>21.6</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开展危险化学品烟花爆竹安全生产打非治违、政府购买技术服务、安全生产标准化管理、企业安全管理能力提升、监管执法等活动。</w:t>
            </w:r>
          </w:p>
        </w:tc>
      </w:tr>
      <w:tr>
        <w:tblPrEx>
          <w:tblLayout w:type="fixed"/>
          <w:tblCellMar>
            <w:top w:w="0" w:type="dxa"/>
            <w:left w:w="108" w:type="dxa"/>
            <w:bottom w:w="0" w:type="dxa"/>
            <w:right w:w="108" w:type="dxa"/>
          </w:tblCellMar>
        </w:tblPrEx>
        <w:trPr>
          <w:trHeight w:val="68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r>
              <w:rPr>
                <w:rFonts w:hint="eastAsia" w:cs="Times New Roman"/>
                <w:kern w:val="0"/>
                <w:sz w:val="20"/>
                <w:szCs w:val="20"/>
                <w:lang w:eastAsia="zh-CN"/>
              </w:rPr>
              <w:t>中华人民共和国</w:t>
            </w:r>
            <w:bookmarkStart w:id="0" w:name="_GoBack"/>
            <w:r>
              <w:rPr>
                <w:rFonts w:hint="eastAsia" w:cs="Times New Roman"/>
                <w:kern w:val="0"/>
                <w:sz w:val="20"/>
                <w:szCs w:val="20"/>
                <w:lang w:eastAsia="zh-CN"/>
              </w:rPr>
              <w:t>安全生产法</w:t>
            </w:r>
            <w:bookmarkEnd w:id="0"/>
            <w:r>
              <w:rPr>
                <w:rFonts w:hint="default" w:ascii="Times New Roman" w:hAnsi="Times New Roman" w:eastAsia="方正仿宋_GBK" w:cs="Times New Roman"/>
                <w:kern w:val="0"/>
                <w:sz w:val="20"/>
                <w:szCs w:val="20"/>
              </w:rPr>
              <w:t>》《重庆市安全生产委员会办公室关于印发2023年安全生产重点行业领域工作要点的通知》（渝应急发〔2023〕6号）《重庆市安全生产委员会办公室关于印发2020年全市工贸行业安全生产工作要点的通知》（渝安办〔2020〕11号）《重庆市人民政府关于印发2021年全市安全生产与自然灾害防治工作要点的通知》渝府发〔2021〕1号。</w:t>
            </w:r>
          </w:p>
        </w:tc>
      </w:tr>
      <w:tr>
        <w:tblPrEx>
          <w:tblLayout w:type="fixed"/>
          <w:tblCellMar>
            <w:top w:w="0" w:type="dxa"/>
            <w:left w:w="108" w:type="dxa"/>
            <w:bottom w:w="0" w:type="dxa"/>
            <w:right w:w="108" w:type="dxa"/>
          </w:tblCellMar>
        </w:tblPrEx>
        <w:trPr>
          <w:trHeight w:val="68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sz w:val="20"/>
                <w:szCs w:val="20"/>
              </w:rPr>
              <w:t>应用重庆市工贸八大行业安全生产管理系统开展监督检查覆盖率达到90%，企业安全能力提升培训教育企业负责人超过</w:t>
            </w:r>
            <w:r>
              <w:rPr>
                <w:rFonts w:hint="eastAsia" w:cs="Times New Roman"/>
                <w:sz w:val="20"/>
                <w:szCs w:val="20"/>
                <w:lang w:val="en-US" w:eastAsia="zh-CN"/>
              </w:rPr>
              <w:t>5</w:t>
            </w:r>
            <w:r>
              <w:rPr>
                <w:rFonts w:hint="default" w:ascii="Times New Roman" w:hAnsi="Times New Roman" w:eastAsia="方正仿宋_GBK" w:cs="Times New Roman"/>
                <w:sz w:val="20"/>
                <w:szCs w:val="20"/>
              </w:rPr>
              <w:t>0人次，安全生产标准化评审率达到100%，购买专家技术服务人次不超过180人次，非法违法核查率100%。</w:t>
            </w: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4"/>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50"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07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81"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应用执法系统基层单位数量</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22</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安全教育培训人数</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人次</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300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安全生产标准化评审率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100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专家服务预算执行率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90 </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非法违法核查率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 xml:space="preserve">100 </w:t>
            </w:r>
          </w:p>
        </w:tc>
      </w:tr>
      <w:tr>
        <w:tblPrEx>
          <w:tblLayout w:type="fixed"/>
          <w:tblCellMar>
            <w:top w:w="0" w:type="dxa"/>
            <w:left w:w="108" w:type="dxa"/>
            <w:bottom w:w="0" w:type="dxa"/>
            <w:right w:w="108" w:type="dxa"/>
          </w:tblCellMar>
        </w:tblPrEx>
        <w:trPr>
          <w:trHeight w:val="819" w:hRule="atLeast"/>
          <w:jc w:val="center"/>
        </w:trPr>
        <w:tc>
          <w:tcPr>
            <w:tcW w:w="15041" w:type="dxa"/>
            <w:gridSpan w:val="15"/>
            <w:tcBorders>
              <w:top w:val="nil"/>
              <w:left w:val="nil"/>
              <w:bottom w:val="nil"/>
              <w:right w:val="nil"/>
            </w:tcBorders>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Layout w:type="fixed"/>
          <w:tblCellMar>
            <w:top w:w="0" w:type="dxa"/>
            <w:left w:w="108" w:type="dxa"/>
            <w:bottom w:w="0" w:type="dxa"/>
            <w:right w:w="108" w:type="dxa"/>
          </w:tblCellMar>
        </w:tblPrEx>
        <w:trPr>
          <w:trHeight w:val="509" w:hRule="atLeast"/>
          <w:jc w:val="center"/>
        </w:trPr>
        <w:tc>
          <w:tcPr>
            <w:tcW w:w="3840" w:type="dxa"/>
            <w:gridSpan w:val="2"/>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重庆市沙坪坝区应急管理局</w:t>
            </w:r>
          </w:p>
        </w:tc>
        <w:tc>
          <w:tcPr>
            <w:tcW w:w="150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vAlign w:val="center"/>
          </w:tcPr>
          <w:p>
            <w:pPr>
              <w:widowControl/>
              <w:jc w:val="center"/>
              <w:rPr>
                <w:rFonts w:ascii="宋体" w:hAnsi="宋体" w:cs="宋体"/>
                <w:b/>
                <w:bCs/>
                <w:kern w:val="0"/>
                <w:sz w:val="36"/>
                <w:szCs w:val="36"/>
              </w:rPr>
            </w:pPr>
          </w:p>
        </w:tc>
        <w:tc>
          <w:tcPr>
            <w:tcW w:w="960" w:type="dxa"/>
            <w:gridSpan w:val="4"/>
            <w:tcBorders>
              <w:top w:val="nil"/>
              <w:left w:val="nil"/>
              <w:bottom w:val="nil"/>
              <w:right w:val="nil"/>
            </w:tcBorders>
            <w:vAlign w:val="center"/>
          </w:tcPr>
          <w:p>
            <w:pPr>
              <w:widowControl/>
              <w:jc w:val="center"/>
              <w:rPr>
                <w:rFonts w:ascii="宋体" w:hAnsi="宋体" w:cs="宋体"/>
                <w:b/>
                <w:bCs/>
                <w:kern w:val="0"/>
                <w:sz w:val="36"/>
                <w:szCs w:val="36"/>
              </w:rPr>
            </w:pPr>
          </w:p>
        </w:tc>
        <w:tc>
          <w:tcPr>
            <w:tcW w:w="1686" w:type="dxa"/>
            <w:gridSpan w:val="6"/>
            <w:tcBorders>
              <w:top w:val="nil"/>
              <w:left w:val="nil"/>
              <w:bottom w:val="nil"/>
              <w:right w:val="nil"/>
            </w:tcBorders>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Layout w:type="fixed"/>
          <w:tblCellMar>
            <w:top w:w="0" w:type="dxa"/>
            <w:left w:w="108" w:type="dxa"/>
            <w:bottom w:w="0" w:type="dxa"/>
            <w:right w:w="108" w:type="dxa"/>
          </w:tblCellMar>
        </w:tblPrEx>
        <w:trPr>
          <w:trHeight w:val="555"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rPr>
            </w:pPr>
            <w:r>
              <w:rPr>
                <w:rFonts w:hint="eastAsia" w:ascii="宋体" w:hAnsi="宋体" w:cs="宋体"/>
                <w:kern w:val="0"/>
                <w:sz w:val="20"/>
              </w:rPr>
              <w:t>应急</w:t>
            </w:r>
            <w:r>
              <w:rPr>
                <w:rFonts w:hint="eastAsia" w:ascii="宋体" w:hAnsi="宋体" w:cs="宋体"/>
                <w:kern w:val="0"/>
                <w:sz w:val="20"/>
                <w:lang w:val="en-US" w:eastAsia="zh-CN"/>
              </w:rPr>
              <w:t>服装尾款</w:t>
            </w:r>
            <w:r>
              <w:rPr>
                <w:rFonts w:hint="eastAsia" w:ascii="宋体" w:hAnsi="宋体" w:cs="宋体"/>
                <w:kern w:val="0"/>
                <w:sz w:val="20"/>
              </w:rPr>
              <w:t>项目　</w:t>
            </w:r>
          </w:p>
        </w:tc>
        <w:tc>
          <w:tcPr>
            <w:tcW w:w="16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r>
              <w:rPr>
                <w:rFonts w:hint="eastAsia" w:ascii="宋体" w:hAnsi="宋体" w:cs="宋体"/>
                <w:kern w:val="0"/>
                <w:sz w:val="20"/>
                <w:lang w:val="en-US" w:eastAsia="zh-CN"/>
              </w:rPr>
              <w:t>重庆市沙坪坝区应急管理局</w:t>
            </w:r>
          </w:p>
        </w:tc>
      </w:tr>
      <w:tr>
        <w:tblPrEx>
          <w:tblLayout w:type="fixed"/>
          <w:tblCellMar>
            <w:top w:w="0" w:type="dxa"/>
            <w:left w:w="108" w:type="dxa"/>
            <w:bottom w:w="0" w:type="dxa"/>
            <w:right w:w="108" w:type="dxa"/>
          </w:tblCellMar>
        </w:tblPrEx>
        <w:trPr>
          <w:trHeight w:val="555"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cs="Times New Roman"/>
                <w:kern w:val="0"/>
                <w:sz w:val="20"/>
                <w:lang w:eastAsia="zh-CN"/>
              </w:rPr>
              <w:t>2024</w:t>
            </w:r>
            <w:r>
              <w:rPr>
                <w:rFonts w:hint="eastAsia" w:ascii="宋体" w:hAnsi="宋体" w:cs="宋体"/>
                <w:kern w:val="0"/>
                <w:sz w:val="20"/>
              </w:rPr>
              <w:t>年预算</w:t>
            </w:r>
          </w:p>
        </w:tc>
        <w:tc>
          <w:tcPr>
            <w:tcW w:w="504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14.92</w:t>
            </w: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r>
              <w:rPr>
                <w:rFonts w:hint="eastAsia" w:cs="Times New Roman"/>
                <w:kern w:val="0"/>
                <w:sz w:val="20"/>
                <w:szCs w:val="20"/>
                <w:lang w:val="en-US" w:eastAsia="zh-CN"/>
              </w:rPr>
              <w:t>14.92</w:t>
            </w:r>
          </w:p>
        </w:tc>
      </w:tr>
      <w:tr>
        <w:tblPrEx>
          <w:tblLayout w:type="fixed"/>
          <w:tblCellMar>
            <w:top w:w="0" w:type="dxa"/>
            <w:left w:w="108" w:type="dxa"/>
            <w:bottom w:w="0" w:type="dxa"/>
            <w:right w:w="108" w:type="dxa"/>
          </w:tblCellMar>
        </w:tblPrEx>
        <w:trPr>
          <w:trHeight w:val="55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p>
        </w:tc>
        <w:tc>
          <w:tcPr>
            <w:tcW w:w="1686" w:type="dxa"/>
            <w:gridSpan w:val="6"/>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609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为区应急局、镇街应急系统工作人员和应急队员配发应急服装</w:t>
            </w:r>
            <w:r>
              <w:rPr>
                <w:rFonts w:hint="default"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680"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1.经市政府同意，市财政局、市应急局协商印发的《关于做好应急系统换装工作的通知》（渝应急发〔2020〕89号）。　</w:t>
            </w:r>
          </w:p>
        </w:tc>
      </w:tr>
      <w:tr>
        <w:tblPrEx>
          <w:tblLayout w:type="fixed"/>
          <w:tblCellMar>
            <w:top w:w="0" w:type="dxa"/>
            <w:left w:w="108" w:type="dxa"/>
            <w:bottom w:w="0" w:type="dxa"/>
            <w:right w:w="108" w:type="dxa"/>
          </w:tblCellMar>
        </w:tblPrEx>
        <w:trPr>
          <w:trHeight w:val="605" w:hRule="atLeast"/>
          <w:jc w:val="center"/>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4"/>
            <w:tcBorders>
              <w:top w:val="single" w:color="auto" w:sz="4" w:space="0"/>
              <w:left w:val="nil"/>
              <w:bottom w:val="single" w:color="auto" w:sz="4" w:space="0"/>
              <w:right w:val="single" w:color="000000" w:sz="4" w:space="0"/>
            </w:tcBorders>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sz w:val="20"/>
                <w:szCs w:val="20"/>
              </w:rPr>
              <w:t>完成对区应急局、镇街应急系统工作人员和应急队员配发应急服装。</w:t>
            </w:r>
            <w:r>
              <w:rPr>
                <w:rFonts w:hint="default" w:ascii="Times New Roman" w:hAnsi="Times New Roman" w:eastAsia="方正仿宋_GBK" w:cs="Times New Roman"/>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22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312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1095" w:type="dxa"/>
            <w:gridSpan w:val="4"/>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1050"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1075"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6481"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装备配置完成率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保障人数</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人</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50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服务对象满意度</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资金及时下达率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r>
        <w:tblPrEx>
          <w:tblLayout w:type="fixed"/>
          <w:tblCellMar>
            <w:top w:w="0" w:type="dxa"/>
            <w:left w:w="108" w:type="dxa"/>
            <w:bottom w:w="0" w:type="dxa"/>
            <w:right w:w="108" w:type="dxa"/>
          </w:tblCellMar>
        </w:tblPrEx>
        <w:trPr>
          <w:trHeight w:val="495" w:hRule="atLeast"/>
          <w:jc w:val="center"/>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312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资金利用率</w:t>
            </w:r>
          </w:p>
        </w:tc>
        <w:tc>
          <w:tcPr>
            <w:tcW w:w="1095"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20%</w:t>
            </w:r>
          </w:p>
        </w:tc>
        <w:tc>
          <w:tcPr>
            <w:tcW w:w="1050"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107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w:t>
            </w:r>
          </w:p>
        </w:tc>
        <w:tc>
          <w:tcPr>
            <w:tcW w:w="6481" w:type="dxa"/>
            <w:gridSpan w:val="3"/>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color w:val="000000"/>
                <w:kern w:val="0"/>
                <w:sz w:val="20"/>
                <w:szCs w:val="20"/>
                <w:u w:val="none"/>
                <w:lang w:val="en-US" w:eastAsia="zh-CN" w:bidi="ar"/>
              </w:rPr>
              <w:t>90%</w:t>
            </w:r>
          </w:p>
        </w:tc>
      </w:tr>
    </w:tbl>
    <w:p/>
    <w:p/>
    <w:sectPr>
      <w:pgSz w:w="16838" w:h="11906" w:orient="landscape"/>
      <w:pgMar w:top="1531" w:right="2098" w:bottom="1531" w:left="198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D2EB2"/>
    <w:rsid w:val="1DF96F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2024-01-24T03:57:16Z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