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工贸企业粉尘防爆安全规定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w:t>
      </w:r>
      <w:r>
        <w:rPr>
          <w:rFonts w:hint="eastAsia" w:ascii="楷体_GB2312" w:hAnsi="楷体_GB2312" w:eastAsia="楷体_GB2312" w:cs="楷体_GB2312"/>
          <w:color w:val="333333"/>
          <w:sz w:val="32"/>
          <w:szCs w:val="32"/>
          <w:shd w:val="clear" w:color="auto" w:fill="FFFFFF"/>
          <w:lang w:val="en-US" w:eastAsia="zh-CN"/>
        </w:rPr>
        <w:t>7</w:t>
      </w:r>
      <w:r>
        <w:rPr>
          <w:rFonts w:hint="eastAsia" w:ascii="楷体_GB2312" w:hAnsi="楷体_GB2312" w:eastAsia="楷体_GB2312" w:cs="楷体_GB2312"/>
          <w:color w:val="333333"/>
          <w:sz w:val="32"/>
          <w:szCs w:val="32"/>
          <w:shd w:val="clear" w:color="auto" w:fill="FFFFFF"/>
        </w:rPr>
        <w:t>月2</w:t>
      </w:r>
      <w:r>
        <w:rPr>
          <w:rFonts w:hint="eastAsia" w:ascii="楷体_GB2312" w:hAnsi="楷体_GB2312" w:eastAsia="楷体_GB2312" w:cs="楷体_GB2312"/>
          <w:color w:val="333333"/>
          <w:sz w:val="32"/>
          <w:szCs w:val="32"/>
          <w:shd w:val="clear" w:color="auto" w:fill="FFFFFF"/>
          <w:lang w:val="en-US" w:eastAsia="zh-CN"/>
        </w:rPr>
        <w:t>5</w:t>
      </w:r>
      <w:r>
        <w:rPr>
          <w:rFonts w:hint="eastAsia" w:ascii="楷体_GB2312" w:hAnsi="楷体_GB2312" w:eastAsia="楷体_GB2312" w:cs="楷体_GB2312"/>
          <w:color w:val="333333"/>
          <w:sz w:val="32"/>
          <w:szCs w:val="32"/>
          <w:shd w:val="clear" w:color="auto" w:fill="FFFFFF"/>
        </w:rPr>
        <w:t>日应急管理部令第6号公布，自2021年9月1日起施行）</w:t>
      </w:r>
      <w:bookmarkStart w:id="0" w:name="_GoBack"/>
      <w:bookmarkEnd w:id="0"/>
    </w:p>
    <w:p>
      <w:pPr>
        <w:rPr>
          <w:rFonts w:ascii="宋体" w:hAnsi="宋体" w:eastAsia="宋体" w:cs="宋体"/>
          <w:color w:val="333333"/>
          <w:sz w:val="36"/>
          <w:szCs w:val="36"/>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为了加强工贸企业粉尘防爆安全工作，预防和减少粉尘爆炸事故，保障从业人员生命安全，根据《中华人民共和国安全生产法》等法律法规，制定本规定。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第二条 </w:t>
      </w:r>
      <w:r>
        <w:rPr>
          <w:rFonts w:hint="eastAsia" w:ascii="仿宋_GB2312" w:hAnsi="仿宋_GB2312" w:eastAsia="仿宋_GB2312" w:cs="仿宋_GB2312"/>
          <w:color w:val="333333"/>
          <w:sz w:val="32"/>
          <w:szCs w:val="32"/>
          <w:shd w:val="clear" w:color="auto" w:fill="FFFFFF"/>
        </w:rPr>
        <w:t xml:space="preserve"> 存在可燃性粉尘爆炸危险的冶金、有色、建材、机械、轻工、纺织、烟草、商贸等工贸企业（以下简称粉尘涉爆企业）的粉尘防爆安全工作及其监督管理，适用本规定。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第三条 </w:t>
      </w:r>
      <w:r>
        <w:rPr>
          <w:rFonts w:hint="eastAsia" w:ascii="仿宋_GB2312" w:hAnsi="仿宋_GB2312" w:eastAsia="仿宋_GB2312" w:cs="仿宋_GB2312"/>
          <w:color w:val="333333"/>
          <w:sz w:val="32"/>
          <w:szCs w:val="32"/>
          <w:shd w:val="clear" w:color="auto" w:fill="FFFFFF"/>
        </w:rPr>
        <w:t xml:space="preserve"> 本规定所称可燃性粉尘，是指在大气条件下，能与气态氧化剂（主要是空气）发生剧烈氧化反应的粉尘、纤维或者飞絮。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本规定所称粉尘爆炸危险场所，是指存在可燃性粉尘和气态氧化剂（主要是空气）的场所，根据爆炸性环境出现的频率或者持续的时间，可划分为不同危险区域。</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对粉尘防爆安全工作负主体责任，应当具备有关法律法规、规章、国家标准或者行业标准规定的粉尘防爆安全生产条件，建立健全全员安全生产责任制和相关规章制度，加强安全生产标准化、信息化建设，构建安全风险分级管控和隐患排查治理双重预防机制，健全风险防范化解机制，确保安全生产。</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县级以上地方人民政府负责粉尘涉爆企业安全生产监督管理的部门（以下统称负责粉尘涉爆企业安全监管的部门），根据本级人民政府规定的职责，按照分级属地的原则，对本行政区域内粉尘涉爆企业的粉尘防爆安全工作实施监督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国务院应急管理部门应当加强指导监督。</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安全生产保障</w:t>
      </w:r>
    </w:p>
    <w:p>
      <w:pPr>
        <w:ind w:firstLine="640" w:firstLineChars="200"/>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第六条 </w:t>
      </w:r>
      <w:r>
        <w:rPr>
          <w:rFonts w:hint="eastAsia" w:ascii="仿宋_GB2312" w:hAnsi="仿宋_GB2312" w:eastAsia="仿宋_GB2312" w:cs="仿宋_GB2312"/>
          <w:color w:val="333333"/>
          <w:sz w:val="32"/>
          <w:szCs w:val="32"/>
          <w:shd w:val="clear" w:color="auto" w:fill="FFFFFF"/>
        </w:rPr>
        <w:t xml:space="preserve"> 粉尘涉爆企业主要负责人是粉尘防爆安全工作的第一责任人，其他负责人在各自职责范围内对粉尘防爆安全工作负责。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粉尘涉爆企业应当在本单位安全生产责任制中明确主要负责人、相关部门负责人、生产车间负责人及粉尘作业岗位人员粉尘防爆安全职责。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第七条 </w:t>
      </w:r>
      <w:r>
        <w:rPr>
          <w:rFonts w:hint="eastAsia" w:ascii="仿宋_GB2312" w:hAnsi="仿宋_GB2312" w:eastAsia="仿宋_GB2312" w:cs="仿宋_GB2312"/>
          <w:color w:val="333333"/>
          <w:sz w:val="32"/>
          <w:szCs w:val="32"/>
          <w:shd w:val="clear" w:color="auto" w:fill="FFFFFF"/>
        </w:rPr>
        <w:t xml:space="preserve"> 粉尘涉爆企业应当结合企业实际情况建立和落实粉尘防爆安全管理制度。粉尘防爆安全管理制度应当包括下列内容：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（一）粉尘爆炸风险辨识评估和管控；</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（二）粉尘爆炸事故隐患排查治理；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（三）粉尘作业岗位安全操作规程；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（四）粉尘防爆专项安全生产教育和培训；</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（五）粉尘清理和处置；</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（六）除尘系统和相关安全设施设备运行、维护及检修、维修管理；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（七）粉尘爆炸事故应急处置和救援。</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粉尘涉爆企业应当如实记录粉尘防爆专项安全生产教育和培训的时间、内容及考核等情况，纳入员工教育和培训档案。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粉尘涉爆企业应当为粉尘作业岗位从业人员提供符合国家标准或者行业标准的劳动防护用品，并监督、教育从业人员按照使用规则佩戴、使用。</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粉尘涉爆企业应当在粉尘爆炸较大危险因素的工艺、场所、设施设备和岗位，设置安全警示标志。</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涉及粉尘爆炸危险的工艺、场所、设施设备等发生变更的，粉尘涉爆企业应当重新进行安全风险辨识评估。</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根据《粉尘防爆安全规程》等有关国家标准或者行业标准，结合粉尘爆炸风险管控措施，建立事故隐患排查清单，明确和细化排查事项、具体内容、排查周期及责任人员，及时组织开展事故隐患排查治理，如实记录隐患排查治理情况，并向从业人员通报。</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构成工贸行业重大事故隐患判定标准规定的重大事故隐患的，应当按照有关规定制定治理方案，落实措施、责任、资金、时限和应急预案，及时消除事故隐患。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粉尘涉爆企业新建、改建、扩建涉及粉尘爆炸危险的工程项目安全设施的设计、施工应当按照《粉尘防爆安全规程》等有关国家标准或者行业标准，在安全设施设计文件、施工方案中明确粉尘防爆的相关内容。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设计单位应当对安全设施粉尘防爆相关的设计负责，施工单位应当按照设计进行施工，并对施工质量负责。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针对粉碎、研磨、造粒、砂光等易产生机械点燃源的工艺，粉尘涉爆企业应当规范采取杂物去除或者火花探测消除等防范点燃源措施，并定期清理维护，做好相关记录。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第十七条 </w:t>
      </w:r>
      <w:r>
        <w:rPr>
          <w:rFonts w:hint="eastAsia" w:ascii="仿宋_GB2312" w:hAnsi="仿宋_GB2312" w:eastAsia="仿宋_GB2312" w:cs="仿宋_GB2312"/>
          <w:color w:val="333333"/>
          <w:sz w:val="32"/>
          <w:szCs w:val="32"/>
          <w:shd w:val="clear" w:color="auto" w:fill="FFFFFF"/>
        </w:rPr>
        <w:t xml:space="preserve"> 粉尘防爆相关的泄爆、隔爆、抑爆、惰化、锁气卸灰、除杂、监测、报警、火花探测消除等安全设备的设计、制造、安装、使用、检测、维修、改造和报废，应当符合《粉尘防爆安全规程》等有关国家标准或者行业标准，相关设计、制造、安装单位应当提供相关设备安全性能和使用说明等资料，对安全设备的安全性能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铝镁等金属粉尘和镁合金废屑的收集、贮存等处置环节，应当避免粉尘废屑大量堆积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  </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对粉尘爆炸危险场所设备设施或者除尘系统的检修维修作业，应当实行专项作业审批。作业前，应当制定专项方案；对存在粉尘沉积的除尘器、管道等设施设备进行动火作业前，应当清理干净内部积尘和作业区域的可燃性粉尘。作业时，生产设备应当处于停止运行状态，检修维修工具应当采用防止产生火花的防爆工具。作业后，应当妥善清理现场，作业点最高温度恢复到常温后方可重新开始生产。</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应当做好粉尘爆炸危险场所设施设备的维护保养，加强对检修承包单位的安全管理，在承包协议中明确规定双方的安全生产权利义务，对检修承包单位的检修方案中涉及粉尘防爆的安全措施和应急处置措施进行审核，并监督承包单位落实。</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安全生产技术服务机构为粉尘涉爆企业提供粉尘防爆相关的安全评价、检测、检验、风险评估、隐患排查等安全生产技术服务，应当按照法律、法规、规章和《粉尘防爆安全规程》等有关国家标准或者行业标准开展工作，保证其出具的报告和作出的结果真实、准确、完整，不得弄虚作假。</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监督检查</w:t>
      </w:r>
    </w:p>
    <w:p>
      <w:pPr>
        <w:ind w:firstLine="640" w:firstLineChars="200"/>
        <w:jc w:val="left"/>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负责粉尘涉爆企业安全监管的部门应当按照分级属地原则，加强对企业粉尘防爆安全工作的监督检查，制定并落实年度监督检查计划，将粉尘作业人数多、爆炸风险较高的企业作为重点检查对象。</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负责粉尘涉爆企业安全监管的部门对企业实施监督检查时，应当重点检查下列内容: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（一）粉尘防爆安全生产责任制和相关安全管理制度的建立、落实情况;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（二）粉尘爆炸风险清单和辨识管控信息档案;</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（三）粉尘爆炸事故隐患排查治理台账;</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（四）粉尘清理和处置记录;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（五）粉尘防爆专项安全生产教育和培训记录；</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（六）粉尘爆炸危险场所检修、维修、动火等作业安全管理情况；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（七）安全设备定期维护保养、检测或者检查等情况；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（八）涉及粉尘爆炸危险的安全设施与主体工程同时设计、同时施工、同时投入生产和使用情况；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（九）应急预案的制定、演练情况。</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应当按照工贸行业重大事故隐患判定标准、执法检查重点事项等有关标准和规定，对企业除尘系统、防火防爆、粉尘清理处置等重点部位和关键环节的粉尘防爆安全措施落实情况进行监督检查，督促企业落实粉尘防爆安全生产主体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仿宋_GB2312" w:hAnsi="仿宋_GB2312" w:eastAsia="仿宋_GB2312" w:cs="仿宋_GB2312"/>
          <w:color w:val="333333"/>
          <w:sz w:val="32"/>
          <w:szCs w:val="32"/>
          <w:shd w:val="clear" w:color="auto" w:fill="FFFFFF"/>
        </w:rPr>
        <w:t xml:space="preserve"> 负责粉尘涉爆企业安全监管的部门可以根据需要，委托安全生产技术服务机构提供安全评价、检测、检验、隐患排查等技术服务，并承担相关费用。安全生产技术服务机构对其出具的有关报告和作出的结果负责。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安全生产技术服务机构出具的有关报告或者作出的结果可以作为行政执法的依据之一。</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粉尘涉爆企业不得拒绝、阻挠负责粉尘涉爆企业安全监管的部门委托的安全生产技术服务机构开展技术服务工作。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负责粉尘涉爆企业安全监管的部门应当加强对监督检查人员的粉尘防爆专业知识培训，使其了解相关法律法规和标准要求，掌握执法检查重点事项和重大事故隐患判定标准，提高其行政执法能力。</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法律责任</w:t>
      </w:r>
    </w:p>
    <w:p>
      <w:pPr>
        <w:ind w:firstLine="640" w:firstLineChars="200"/>
        <w:jc w:val="left"/>
        <w:rPr>
          <w:rFonts w:ascii="黑体" w:hAnsi="黑体" w:eastAsia="黑体" w:cs="黑体"/>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（一）未在产生、输送、收集、贮存可燃性粉尘，并且有较大危险因素的场所、设施和设备上设置明显的安全警示标志的；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（二）粉尘防爆安全设备的安装、使用、检测、改造和报废不符合国家标准或者行业标准的；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（三）未对粉尘防爆安全设备进行经常性维护、保养和定期检测或者检查的；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（四）未为粉尘作业岗位相关从业人员提供符合国家标准或者行业标准的劳动防护用品的；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（五）关闭、破坏直接关系粉尘防爆安全的监控、报警、防控等设备、设施，或者篡改、隐瞒、销毁其相关数据、信息的。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第二十八条 </w:t>
      </w:r>
      <w:r>
        <w:rPr>
          <w:rFonts w:hint="eastAsia" w:ascii="仿宋_GB2312" w:hAnsi="仿宋_GB2312" w:eastAsia="仿宋_GB2312" w:cs="仿宋_GB2312"/>
          <w:color w:val="333333"/>
          <w:sz w:val="32"/>
          <w:szCs w:val="32"/>
          <w:shd w:val="clear" w:color="auto" w:fill="FFFFFF"/>
        </w:rPr>
        <w:t xml:space="preserve"> 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（一）未按照规定对有关负责人和粉尘作业岗位相关从业人员进行粉尘防爆专项安全生产教育和培训，或者未如实记录专项安全生产教育和培训情况的；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（二）未如实记录粉尘防爆隐患排查治理情况或者未向从业人员通报的；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（三）未制定有关粉尘爆炸事故应急救援预案或者未定期组织演练的。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第二十九条 </w:t>
      </w:r>
      <w:r>
        <w:rPr>
          <w:rFonts w:hint="eastAsia" w:ascii="仿宋_GB2312" w:hAnsi="仿宋_GB2312" w:eastAsia="仿宋_GB2312" w:cs="仿宋_GB2312"/>
          <w:color w:val="333333"/>
          <w:sz w:val="32"/>
          <w:szCs w:val="32"/>
          <w:shd w:val="clear" w:color="auto" w:fill="FFFFFF"/>
        </w:rPr>
        <w:t xml:space="preserve"> 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第三十条 </w:t>
      </w:r>
      <w:r>
        <w:rPr>
          <w:rFonts w:hint="eastAsia" w:ascii="仿宋_GB2312" w:hAnsi="仿宋_GB2312" w:eastAsia="仿宋_GB2312" w:cs="仿宋_GB2312"/>
          <w:color w:val="333333"/>
          <w:sz w:val="32"/>
          <w:szCs w:val="32"/>
          <w:shd w:val="clear" w:color="auto" w:fill="FFFFFF"/>
        </w:rPr>
        <w:t xml:space="preserve"> 粉尘涉爆企业有下列情形之一的，由负责粉尘涉爆企业安全监管的部门责令限期改正，处3万元以下的罚款，对其直接负责的主管人员和其他直接责任人员处1万元以下的罚款：</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（一）企业新建、改建、扩建工程项目安全设施没有进行粉尘防爆安全设计，或者未按照设计进行施工的；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（二）未按照规定建立粉尘防爆安全管理制度或者内容不符合企业实际的；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（三）未按照规定辨识评估管控粉尘爆炸安全风险，未建立安全风险清单或者未及时维护相关信息档案的；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（四）粉尘防爆安全设备未正常运行的。</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安全生产技术服务机构接受委托开展技术服务工作，出具失实报告的，依照《中华人民共和国安全生产法》有关规定，责令停业整顿，并处</w:t>
      </w:r>
      <w:r>
        <w:rPr>
          <w:rFonts w:ascii="仿宋_GB2312" w:hAnsi="仿宋_GB2312" w:eastAsia="仿宋_GB2312" w:cs="仿宋_GB2312"/>
          <w:color w:val="333333"/>
          <w:sz w:val="32"/>
          <w:szCs w:val="32"/>
          <w:shd w:val="clear" w:color="auto" w:fill="FFFFFF"/>
        </w:rPr>
        <w:t>3</w:t>
      </w:r>
      <w:r>
        <w:rPr>
          <w:rFonts w:hint="eastAsia" w:ascii="仿宋_GB2312" w:hAnsi="仿宋_GB2312" w:eastAsia="仿宋_GB2312" w:cs="仿宋_GB2312"/>
          <w:color w:val="333333"/>
          <w:sz w:val="32"/>
          <w:szCs w:val="32"/>
          <w:shd w:val="clear" w:color="auto" w:fill="FFFFFF"/>
        </w:rPr>
        <w:t>万元以上</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万元以下的罚款；给他人造成损害的，依法承担赔偿责任。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安全生产技术服务机构接受委托开展技术服务工作，出具虚假报告的，依照《中华人民共和国安全生产法》有关规定，没收违法所得；违法所得在</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万元以上的，并处违法所得</w:t>
      </w:r>
      <w:r>
        <w:rPr>
          <w:rFonts w:ascii="仿宋_GB2312" w:hAnsi="仿宋_GB2312" w:eastAsia="仿宋_GB2312" w:cs="仿宋_GB2312"/>
          <w:color w:val="333333"/>
          <w:sz w:val="32"/>
          <w:szCs w:val="32"/>
          <w:shd w:val="clear" w:color="auto" w:fill="FFFFFF"/>
        </w:rPr>
        <w:t>2</w:t>
      </w:r>
      <w:r>
        <w:rPr>
          <w:rFonts w:hint="eastAsia" w:ascii="仿宋_GB2312" w:hAnsi="仿宋_GB2312" w:eastAsia="仿宋_GB2312" w:cs="仿宋_GB2312"/>
          <w:color w:val="333333"/>
          <w:sz w:val="32"/>
          <w:szCs w:val="32"/>
          <w:shd w:val="clear" w:color="auto" w:fill="FFFFFF"/>
        </w:rPr>
        <w:t>倍以上</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倍以下的罚款；没有违法所得或者违法所得不足</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万元的，单处或者并处</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万元以上</w:t>
      </w:r>
      <w:r>
        <w:rPr>
          <w:rFonts w:ascii="仿宋_GB2312" w:hAnsi="仿宋_GB2312" w:eastAsia="仿宋_GB2312" w:cs="仿宋_GB2312"/>
          <w:color w:val="333333"/>
          <w:sz w:val="32"/>
          <w:szCs w:val="32"/>
          <w:shd w:val="clear" w:color="auto" w:fill="FFFFFF"/>
        </w:rPr>
        <w:t>20</w:t>
      </w:r>
      <w:r>
        <w:rPr>
          <w:rFonts w:hint="eastAsia" w:ascii="仿宋_GB2312" w:hAnsi="仿宋_GB2312" w:eastAsia="仿宋_GB2312" w:cs="仿宋_GB2312"/>
          <w:color w:val="333333"/>
          <w:sz w:val="32"/>
          <w:szCs w:val="32"/>
          <w:shd w:val="clear" w:color="auto" w:fill="FFFFFF"/>
        </w:rPr>
        <w:t>万元以下的罚款；对其直接负责的主管人员和其他直接责任人员处</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万元以上</w:t>
      </w:r>
      <w:r>
        <w:rPr>
          <w:rFonts w:ascii="仿宋_GB2312" w:hAnsi="仿宋_GB2312" w:eastAsia="仿宋_GB2312" w:cs="仿宋_GB2312"/>
          <w:color w:val="333333"/>
          <w:sz w:val="32"/>
          <w:szCs w:val="32"/>
          <w:shd w:val="clear" w:color="auto" w:fill="FFFFFF"/>
        </w:rPr>
        <w:t>10</w:t>
      </w:r>
      <w:r>
        <w:rPr>
          <w:rFonts w:hint="eastAsia" w:ascii="仿宋_GB2312" w:hAnsi="仿宋_GB2312" w:eastAsia="仿宋_GB2312" w:cs="仿宋_GB2312"/>
          <w:color w:val="333333"/>
          <w:sz w:val="32"/>
          <w:szCs w:val="32"/>
          <w:shd w:val="clear" w:color="auto" w:fill="FFFFFF"/>
        </w:rPr>
        <w:t>万元以下的罚款；给他人造成损害的，与粉尘涉爆企业承担连带赔偿责任；构成犯罪的，依照刑法有关规定追究刑事责任。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对有前款违法行为的安全生产技术服务机构及其直接责任人员，吊销其相应资质和资格，</w:t>
      </w:r>
      <w:r>
        <w:rPr>
          <w:rFonts w:ascii="仿宋_GB2312" w:hAnsi="仿宋_GB2312" w:eastAsia="仿宋_GB2312" w:cs="仿宋_GB2312"/>
          <w:color w:val="333333"/>
          <w:sz w:val="32"/>
          <w:szCs w:val="32"/>
          <w:shd w:val="clear" w:color="auto" w:fill="FFFFFF"/>
        </w:rPr>
        <w:t>5</w:t>
      </w:r>
      <w:r>
        <w:rPr>
          <w:rFonts w:hint="eastAsia" w:ascii="仿宋_GB2312" w:hAnsi="仿宋_GB2312" w:eastAsia="仿宋_GB2312" w:cs="仿宋_GB2312"/>
          <w:color w:val="333333"/>
          <w:sz w:val="32"/>
          <w:szCs w:val="32"/>
          <w:shd w:val="clear" w:color="auto" w:fill="FFFFFF"/>
        </w:rPr>
        <w:t>年内不得从事安全评价、认证、检测、检验等工作，情节严重的，实行终身行业和职业禁入。</w:t>
      </w:r>
    </w:p>
    <w:p>
      <w:pPr>
        <w:ind w:firstLine="640" w:firstLineChars="200"/>
        <w:rPr>
          <w:rFonts w:hint="eastAsia" w:ascii="仿宋_GB2312" w:hAnsi="仿宋_GB2312" w:eastAsia="仿宋_GB2312" w:cs="仿宋_GB2312"/>
          <w:color w:val="333333"/>
          <w:sz w:val="32"/>
          <w:szCs w:val="32"/>
          <w:shd w:val="clear" w:color="auto" w:fill="FFFFFF"/>
        </w:rPr>
      </w:pPr>
    </w:p>
    <w:p>
      <w:pPr>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第五章 附 </w:t>
      </w:r>
      <w:r>
        <w:rPr>
          <w:rFonts w:ascii="黑体" w:hAnsi="黑体" w:eastAsia="黑体" w:cs="黑体"/>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则</w:t>
      </w:r>
    </w:p>
    <w:p>
      <w:pPr>
        <w:ind w:firstLine="640" w:firstLineChars="200"/>
        <w:jc w:val="left"/>
        <w:rPr>
          <w:rFonts w:ascii="黑体" w:hAnsi="黑体" w:eastAsia="黑体" w:cs="黑体"/>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本规定自</w:t>
      </w:r>
      <w:r>
        <w:rPr>
          <w:rFonts w:ascii="仿宋_GB2312" w:hAnsi="仿宋_GB2312" w:eastAsia="仿宋_GB2312" w:cs="仿宋_GB2312"/>
          <w:color w:val="333333"/>
          <w:sz w:val="32"/>
          <w:szCs w:val="32"/>
          <w:shd w:val="clear" w:color="auto" w:fill="FFFFFF"/>
        </w:rPr>
        <w:t>2021</w:t>
      </w:r>
      <w:r>
        <w:rPr>
          <w:rFonts w:hint="eastAsia" w:ascii="仿宋_GB2312" w:hAnsi="仿宋_GB2312" w:eastAsia="仿宋_GB2312" w:cs="仿宋_GB2312"/>
          <w:color w:val="333333"/>
          <w:sz w:val="32"/>
          <w:szCs w:val="32"/>
          <w:shd w:val="clear" w:color="auto" w:fill="FFFFFF"/>
        </w:rPr>
        <w:t>年</w:t>
      </w:r>
      <w:r>
        <w:rPr>
          <w:rFonts w:ascii="仿宋_GB2312" w:hAnsi="仿宋_GB2312" w:eastAsia="仿宋_GB2312" w:cs="仿宋_GB2312"/>
          <w:color w:val="333333"/>
          <w:sz w:val="32"/>
          <w:szCs w:val="32"/>
          <w:shd w:val="clear" w:color="auto" w:fill="FFFFFF"/>
        </w:rPr>
        <w:t>9</w:t>
      </w:r>
      <w:r>
        <w:rPr>
          <w:rFonts w:hint="eastAsia" w:ascii="仿宋_GB2312" w:hAnsi="仿宋_GB2312" w:eastAsia="仿宋_GB2312" w:cs="仿宋_GB2312"/>
          <w:color w:val="333333"/>
          <w:sz w:val="32"/>
          <w:szCs w:val="32"/>
          <w:shd w:val="clear" w:color="auto" w:fill="FFFFFF"/>
        </w:rPr>
        <w:t>月</w:t>
      </w:r>
      <w:r>
        <w:rPr>
          <w:rFonts w:ascii="仿宋_GB2312" w:hAnsi="仿宋_GB2312" w:eastAsia="仿宋_GB2312" w:cs="仿宋_GB2312"/>
          <w:color w:val="333333"/>
          <w:sz w:val="32"/>
          <w:szCs w:val="32"/>
          <w:shd w:val="clear" w:color="auto" w:fill="FFFFFF"/>
        </w:rPr>
        <w:t>1</w:t>
      </w:r>
      <w:r>
        <w:rPr>
          <w:rFonts w:hint="eastAsia" w:ascii="仿宋_GB2312" w:hAnsi="仿宋_GB2312" w:eastAsia="仿宋_GB2312" w:cs="仿宋_GB2312"/>
          <w:color w:val="333333"/>
          <w:sz w:val="32"/>
          <w:szCs w:val="32"/>
          <w:shd w:val="clear" w:color="auto" w:fill="FFFFFF"/>
        </w:rPr>
        <w:t>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ascii="宋体" w:hAnsi="宋体" w:eastAsia="宋体" w:cs="宋体"/>
        <w:b/>
        <w:bCs/>
        <w:color w:val="005192"/>
        <w:sz w:val="28"/>
        <w:szCs w:val="44"/>
      </w:rPr>
    </w:pPr>
    <w:r>
      <w:rPr>
        <w:rFonts w:hint="eastAsia" w:eastAsia="仿宋"/>
        <w:sz w:val="32"/>
        <w:szCs w:val="48"/>
      </w:rPr>
      <w:t xml:space="preserve">  </w:t>
    </w:r>
    <w:r>
      <w:rPr>
        <w:rFonts w:hint="eastAsia" w:ascii="宋体" w:hAnsi="宋体" w:eastAsia="宋体" w:cs="宋体"/>
        <w:b/>
        <w:bCs/>
        <w:color w:val="005192"/>
        <w:sz w:val="28"/>
        <w:szCs w:val="44"/>
      </w:rPr>
      <w:t xml:space="preserve">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75E5C"/>
    <w:rsid w:val="00385ED7"/>
    <w:rsid w:val="0053253A"/>
    <w:rsid w:val="005F0A96"/>
    <w:rsid w:val="008B5498"/>
    <w:rsid w:val="009B279D"/>
    <w:rsid w:val="00D82D3A"/>
    <w:rsid w:val="00EC1D6C"/>
    <w:rsid w:val="00FF24F0"/>
    <w:rsid w:val="015E274A"/>
    <w:rsid w:val="019E71BD"/>
    <w:rsid w:val="04B679C3"/>
    <w:rsid w:val="080F63D8"/>
    <w:rsid w:val="09341458"/>
    <w:rsid w:val="0B0912D7"/>
    <w:rsid w:val="0E3F0A27"/>
    <w:rsid w:val="152D2DCA"/>
    <w:rsid w:val="1DEC284C"/>
    <w:rsid w:val="1E6523AC"/>
    <w:rsid w:val="22440422"/>
    <w:rsid w:val="264A4817"/>
    <w:rsid w:val="2D110D5C"/>
    <w:rsid w:val="308570F6"/>
    <w:rsid w:val="31A15F24"/>
    <w:rsid w:val="3637097E"/>
    <w:rsid w:val="395347B5"/>
    <w:rsid w:val="39A232A0"/>
    <w:rsid w:val="39E745AA"/>
    <w:rsid w:val="3B5A6BBB"/>
    <w:rsid w:val="3EDA13A6"/>
    <w:rsid w:val="42F058B7"/>
    <w:rsid w:val="436109F6"/>
    <w:rsid w:val="441A38D4"/>
    <w:rsid w:val="4BC77339"/>
    <w:rsid w:val="4C9236C5"/>
    <w:rsid w:val="505C172E"/>
    <w:rsid w:val="50A971B4"/>
    <w:rsid w:val="52F46F0B"/>
    <w:rsid w:val="53D8014D"/>
    <w:rsid w:val="55E064E0"/>
    <w:rsid w:val="572C6D10"/>
    <w:rsid w:val="586A0DD7"/>
    <w:rsid w:val="5DC34279"/>
    <w:rsid w:val="608816D1"/>
    <w:rsid w:val="60EF4E7F"/>
    <w:rsid w:val="665233C1"/>
    <w:rsid w:val="6AD9688B"/>
    <w:rsid w:val="6AEB0553"/>
    <w:rsid w:val="6D0E3F22"/>
    <w:rsid w:val="74A6224F"/>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908</Words>
  <Characters>5180</Characters>
  <Lines>43</Lines>
  <Paragraphs>12</Paragraphs>
  <TotalTime>96</TotalTime>
  <ScaleCrop>false</ScaleCrop>
  <LinksUpToDate>false</LinksUpToDate>
  <CharactersWithSpaces>6076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home</cp:lastModifiedBy>
  <cp:lastPrinted>2021-10-26T03:30:00Z</cp:lastPrinted>
  <dcterms:modified xsi:type="dcterms:W3CDTF">2023-03-24T06:06:19Z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