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20" w:firstLineChars="100"/>
        <w:jc w:val="center"/>
        <w:rPr>
          <w:rFonts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沙应急〔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w w:val="100"/>
          <w:kern w:val="0"/>
          <w:sz w:val="44"/>
          <w:szCs w:val="44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w w:val="95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w w:val="100"/>
          <w:kern w:val="0"/>
          <w:sz w:val="44"/>
          <w:szCs w:val="44"/>
          <w:lang w:eastAsia="zh-CN"/>
        </w:rPr>
        <w:t>重庆市沙坪坝区应急管理局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9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w w:val="95"/>
          <w:kern w:val="0"/>
          <w:sz w:val="44"/>
          <w:szCs w:val="44"/>
          <w:lang w:eastAsia="zh-CN"/>
        </w:rPr>
        <w:t>关于印发</w:t>
      </w:r>
      <w:r>
        <w:rPr>
          <w:rFonts w:hint="default" w:ascii="Times New Roman" w:hAnsi="Times New Roman" w:eastAsia="方正小标宋_GBK" w:cs="Times New Roman"/>
          <w:color w:val="auto"/>
          <w:w w:val="95"/>
          <w:kern w:val="0"/>
          <w:sz w:val="44"/>
          <w:szCs w:val="44"/>
        </w:rPr>
        <w:t>《</w:t>
      </w:r>
      <w:r>
        <w:rPr>
          <w:rFonts w:hint="eastAsia" w:ascii="Times New Roman" w:hAnsi="Times New Roman" w:eastAsia="方正小标宋_GBK" w:cs="Times New Roman"/>
          <w:color w:val="auto"/>
          <w:w w:val="95"/>
          <w:kern w:val="0"/>
          <w:sz w:val="44"/>
          <w:szCs w:val="44"/>
          <w:lang w:eastAsia="zh-CN"/>
        </w:rPr>
        <w:t>沙坪坝区工贸行业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  <w:t>安全生产专项整治“百日清零行动”和安全生产</w:t>
      </w:r>
      <w:r>
        <w:rPr>
          <w:rFonts w:hint="eastAsia" w:ascii="Times New Roman" w:hAnsi="Times New Roman" w:eastAsia="方正小标宋_GBK" w:cs="Times New Roman"/>
          <w:color w:val="auto"/>
          <w:w w:val="95"/>
          <w:kern w:val="0"/>
          <w:sz w:val="44"/>
          <w:szCs w:val="44"/>
          <w:lang w:eastAsia="zh-CN"/>
        </w:rPr>
        <w:t>大检查工作方案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95"/>
          <w:sz w:val="44"/>
          <w:szCs w:val="44"/>
        </w:rPr>
        <w:t>》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95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各镇街、管委会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现将《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沙坪坝区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工贸行业安全生产专项整治“百日清零行动”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安全生产大检查工作方案》印发给你们，请认真贯彻执行。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3520" w:firstLineChars="11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重庆市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沙坪坝区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应急管理局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280" w:rightChars="4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2022年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baseline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（此件公开发布）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w w:val="95"/>
          <w:kern w:val="0"/>
          <w:sz w:val="44"/>
          <w:szCs w:val="44"/>
          <w:lang w:eastAsia="zh-CN"/>
        </w:rPr>
        <w:t>沙坪坝区工贸行业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  <w:t>安全生产专项整治“百日清零行动”和安全生产</w:t>
      </w:r>
      <w:r>
        <w:rPr>
          <w:rFonts w:hint="eastAsia" w:ascii="Times New Roman" w:hAnsi="Times New Roman" w:eastAsia="方正小标宋_GBK" w:cs="Times New Roman"/>
          <w:color w:val="auto"/>
          <w:w w:val="95"/>
          <w:kern w:val="0"/>
          <w:sz w:val="44"/>
          <w:szCs w:val="44"/>
          <w:lang w:eastAsia="zh-CN"/>
        </w:rPr>
        <w:t>大检查工作方案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为贯彻落实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国务院安委会加强安全生产工作“十五条硬措施”工作要求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4月26日全市安全稳定工作会议精神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按照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《重庆市应急管理局关于印发全市工贸行业安全生产专项整治“百日清零行动”工作方案的通知》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（渝应急发〔2022〕28号）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、《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重庆市沙坪坝区安全生产委员会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关于开展全区安全生产大检查工作的通知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val="en-US"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沙安委〔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文件精神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全面辨识防控安全风险，压紧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压实企业主体责任，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扎实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开展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工贸行业安全生产专项整治“百日清零行动”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安全生产大检查，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持续营造良好安全稳定氛围，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制定本方案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实施范围</w:t>
      </w:r>
    </w:p>
    <w:p>
      <w:pPr>
        <w:pStyle w:val="2"/>
        <w:numPr>
          <w:ilvl w:val="0"/>
          <w:numId w:val="0"/>
        </w:numPr>
        <w:ind w:left="0" w:leftChars="0"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 w:bidi="ar-SA"/>
        </w:rPr>
        <w:t>全区冶金、有色、机械、建材、轻工、纺织、烟草、商贸等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 w:bidi="ar-SA"/>
        </w:rPr>
        <w:t>工贸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 w:bidi="ar-SA"/>
        </w:rPr>
        <w:t>八大行业企业（以下简称企业）。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 w:bidi="ar-SA"/>
        </w:rPr>
        <w:t>工作目标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按照“安全大检查、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迎接党的二十大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”工作要求，围绕“从根本上消除事故隐患、从根本上解决问题”总体要求，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全面完成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钢铁、铝加工（深井铸造）、粉尘涉爆等三类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重点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企业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重大隐患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清零任务，打赢工贸行业安全生产专项整治三年行动收官战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全面开展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企业重点岗位、设备、场所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风险辨识，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明确管控措施及责任人；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</w:rPr>
        <w:t>建立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</w:rPr>
        <w:t>一线岗位从业人员“两单两卡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一会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制度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加强隐患排查、教育培训、应急演练，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做到“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知风险、明职责、会操作、能应急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督促指导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履行安全生产主体责任，积极开展标准化创建工作，完善安全管理制度、落实安全管理措施、提高安全管理水平；开展工贸行业安全生产大检查，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治理一批重大事故隐患和突出违法行为，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切实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防控生产安全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事故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以实际行动迎接党的二十大胜利召开。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工作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措施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营造浓厚安全氛围。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企业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全面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加强安全宣传工作，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日前在厂区内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悬挂3条（幅）以上的安全宣传标语，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形式可以用横幅、屏幕、黑板报、海报等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标语至少要包含“安全大检查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迎接党的二十大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”和一条安全生产举报奖励宣传标语（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标语参考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附件1）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（二）强化安全责任挂牌公示。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企业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及时更新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“三个责任人”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公示牌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按照工贸分级监管办法分别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明确企业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主要责任人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、部门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监管责任人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、行政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领导责任人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姓名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、职务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及电话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，并将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公示牌张贴在厂门口、宣传栏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明显位置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（挂牌规则详见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（三）严格落实节点值班值守制度。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在党的二十大、中秋、国庆等关键时间以及开复工、极端天气等重要时间节点，企业要编制值班、应急排班表，企业主要负责人、安全管理人员、关键岗位人员等要在岗在位、认真履职，确保生产安全。</w:t>
      </w:r>
    </w:p>
    <w:p>
      <w:pPr>
        <w:ind w:firstLine="631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（四）切实履行企业主体责任。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企业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lang w:val="en-US" w:eastAsia="zh-CN" w:bidi="ar-SA"/>
        </w:rPr>
        <w:t>进一步落实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安全生产主体责任，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对照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沙坪坝区工贸企业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安全生产违法行为自查自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清单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（风险明白卡）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》（附件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主动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开展自查自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，查漏补缺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，切实消除安全隐患。重点抓好以下4个方面：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全面开展风险辨识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岗位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设备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场所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风险辨识，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逐一分析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主要风险、事故诱因、技术控制措施、管理控制措施、应急物资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准备和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应急处置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措施，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形成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XX企业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安全风险辨识管控清单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》（附件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，并分别明确各个风险点位安全管理责任人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2.扎实开展隐患排查。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企业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根据风险辨识清单，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结合设备点检维护和人员安全操作，务实制定各风险岗位、设备、场所“日周月”隐患排查表。按照主要负责人带头查、车间（部门）负责人重点查、一线工人（班组长）日常查的原则将排查责任分解落实到位。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日周月隐患排查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要有记录，查出的隐患要建立台账，逐一明确整改措施，落实整改责任人，及时消除安全隐患。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强化安全教育培训。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企业扎实开展员工教育培训，重点培训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安全生产规章制度、岗位安全操作规程、安全风险辨识及管控措施、事故应急处理措施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等风险辨识管控和“两单两卡”知识。电工、焊工等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特种作业人员要持有效《特种作业操作证》上岗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作业；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新进员工（含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劳务派遣员工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）要开展三级安全教育，培训学时不少于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学时；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企业主要负责人和安全生产管理人员每年再培训时间不少于12学时。</w:t>
      </w:r>
    </w:p>
    <w:p>
      <w:pPr>
        <w:pStyle w:val="2"/>
        <w:ind w:firstLine="640" w:firstLineChars="200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4.认真开展应急演练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根据风险辨识管控清单中的主要风险修订完善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应急预案，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配齐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应急物资，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强化应急演练，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确保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突发情况下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应急处置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及时，减少事故损失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综合应急预案或专项应急预案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演练要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每年至少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组织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一次，现场处置方案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演练要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每半年至少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组织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一次。应急演练结束后，要对演练效果进行评估，对预案存在的问题及时修正，并形成应急演练记录备查。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）全面落实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“两单两卡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一会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”。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风险辨识管控清单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发动员工积极参与，采用编口诀、三字经、顺口溜等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简洁好记的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方式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“知风险、明职责、会操作、能应急”四个方面内容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编制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XX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安全卡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），并张贴到相应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风险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设备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场所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或发放到相关员工手中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。各企业要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将“两单两卡”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入班前会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和员工培训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必讲内容，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切实提升一线员工安全意识和安全操作技能，确保一线岗位从业人员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记得住、讲得明、做得到。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）积极开展安全标准化创建达标。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全面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启动标准化创建达标工作，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完善安全管理制度，积极整改问题隐患，确保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6月底前现场隐患基本整改完毕，8月底前达到评审验收条件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。2022年底前，全区规上工业企业和纳入城乡结合部整治范围的“四涉一有限一使用”企业安全生产标准化达标率要实现100%。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（七）扎实开展三类重点企业“百日清零”。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粉尘涉爆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企业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主要负责人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签订《安全生产承诺书》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（附件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，并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对照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《沙坪坝区粉尘涉爆企业重点整治事项检查清单》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（附件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）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组织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开展“粉6条”重大安全隐患自查自改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。企业主要负责人、安全管理人员、一线岗位工人熟知“粉6条”具体内容。粉尘涉爆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企业要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于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6月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25日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前将企业主要负责人签字确认后的《安全生产承诺书》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（附件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《沙坪坝区粉尘涉爆企业重点整治事项检查清单》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（附件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）报送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属地镇街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四、相关要求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（一）安排部署，强力推进。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区应急局成立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“百日清零行动”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和安全生产大检查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工作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专项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领导小组，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区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应急局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副局长熊春蓉任组长，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工贸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科科长谭钧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任副组长，组员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区应急局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工贸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科全体干部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instrText xml:space="preserve"> HYPERLINK "mailto:成立领导小组（6月6日前）。5月31日前，市应急局成立以党委委员、副局长陈绍丛任组长的全市工贸行业安全生产专项整治\“百日清零行动\”工作领导小组，市应急局工贸处处长陈昌华任副组长，组员由市应急局工贸处、长寿分局和有关专家组成。6月3日前，各区县要结合辖区实际制定\“百日清零行动\”工作方案，对照成立以行业主管部门分管负责人为组长的\“百日清零行动\”工作领导小组，统筹辖区工作开展。6月3日前报送工作方案及联络人至市应急局工贸处（cqaj4c@163.com）。" </w:instrTex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各镇街、管委会要高度重视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在6月15日前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对照本方案开展工作部署和业务培训，将“百日清零行动”和安全生产大检查工作动员部署到辖区企业，下发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企业层面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工作资料（附件1、2、3、4、5、6、7），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并按照工贸安全分级监管办法，于6月30日前收集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沙坪坝区工贸企业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安全生产违法行为自查自纠清单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（风险明白卡）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《XX企业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安全风险辨识管控清单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《安全生产承诺书》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（附件6）和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《沙坪坝区粉尘涉爆企业重点整治事项检查清单》（附件7）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留存备查，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逐一明确工作措施要求，指导督促辖区企业按时间进度稳步推进。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_GBK" w:cs="Times New Roman"/>
          <w:color w:val="0000FF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（二）对标对表，严格执法。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区应急局、各镇街和管委会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要落实“走出机关、严格执法”工作要求，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按照工贸安全分级监管办法，充分运用工贸行业安全生产管理系统，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扎实开展“百日清零行动”专项大检查。重点检查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沙坪坝区工贸企业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安全生产违法行为自查自纠清单》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内容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（附件3）和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“粉6条”重点整治事项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（附件6），对照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《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沙坪坝区粉尘涉爆企业基础台账清单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》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（附件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）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进一步摸清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辖区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粉尘涉爆企业安全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底数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情况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若新发现粉尘涉爆企业要及时录入工贸安全监管系统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并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上报区应急局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napToGrid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（三）及时收集，按时报送。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各镇街、管委会要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按时收集报送相关工作进度情况，于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报送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《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沙坪坝区粉尘涉爆企业基础台账清单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》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（附件8）；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月起，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每月2日前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收集报送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《沙坪坝区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标准化创建工作进度表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》（附件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（四）</w:t>
      </w:r>
      <w:r>
        <w:rPr>
          <w:rFonts w:hint="eastAsia" w:ascii="方正楷体_GBK" w:hAnsi="方正楷体_GBK" w:eastAsia="方正楷体_GBK" w:cs="方正楷体_GBK"/>
          <w:snapToGrid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强化督导，务求实效。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镇街、管委会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工作措施开展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纳入执法监督检查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重点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内容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工作落实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进度滞后的企业，要严格执法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，督促推进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；对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情节严重、拒不整改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的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企业，要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及时联系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我局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依法严肃查处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方正仿宋_GBK" w:hAnsi="方正仿宋_GBK" w:cs="方正仿宋_GBK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同时，区应急局将各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镇街</w:t>
      </w:r>
      <w:r>
        <w:rPr>
          <w:rFonts w:hint="eastAsia" w:ascii="方正仿宋_GBK" w:hAnsi="方正仿宋_GBK" w:cs="方正仿宋_GBK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、管委会开展“百日清零行动”及安全生产大检查工作情况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纳入综合督查重要内容，运用通报、约谈、警示等措施强化工作问效</w:t>
      </w:r>
      <w:r>
        <w:rPr>
          <w:rFonts w:hint="eastAsia" w:ascii="方正仿宋_GBK" w:hAnsi="方正仿宋_GBK" w:cs="方正仿宋_GBK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保障各项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工作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措施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落地见效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，确保重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节点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全区工贸行业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安全生产形势持续稳定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联 系 人：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 xml:space="preserve">陈嘉兴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张  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联系电话：65465922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电子邮箱：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instrText xml:space="preserve"> HYPERLINK "mailto:spbajj3k@163.com" </w:instrTex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11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spbajj3k@163.com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安全宣传标语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（参考）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2.三个责任人挂牌公示规则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leftChars="600" w:right="0" w:rightChars="0" w:hanging="320" w:hangingChars="1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沙坪坝区工贸企业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安全生产违法行为自查自纠清单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（风险明白卡）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安全风险辨识管控清单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.XX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leftChars="600" w:right="0" w:rightChars="0" w:hanging="32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安全生产承诺书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leftChars="600" w:right="0" w:rightChars="0" w:hanging="32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沙坪坝区粉尘涉爆企业重点整治事项检查清单</w:t>
      </w:r>
    </w:p>
    <w:p>
      <w:pPr>
        <w:pStyle w:val="2"/>
        <w:ind w:firstLine="1920" w:firstLineChars="6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沙坪坝区粉尘涉爆企业基础台账清单</w:t>
      </w:r>
    </w:p>
    <w:p>
      <w:pPr>
        <w:pStyle w:val="2"/>
        <w:ind w:firstLine="1920" w:firstLineChars="6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沙坪坝区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标准化创建工作进度表</w:t>
      </w: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D6C7"/>
    <w:multiLevelType w:val="singleLevel"/>
    <w:tmpl w:val="2820D6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WNhOGFiM2E1YWZjNzBiNzA2NGIxNGY3MzM5NDMifQ=="/>
  </w:docVars>
  <w:rsids>
    <w:rsidRoot w:val="62431C67"/>
    <w:rsid w:val="0329301D"/>
    <w:rsid w:val="03A35007"/>
    <w:rsid w:val="0474437E"/>
    <w:rsid w:val="06D2359A"/>
    <w:rsid w:val="07035F04"/>
    <w:rsid w:val="07885CF0"/>
    <w:rsid w:val="088227B7"/>
    <w:rsid w:val="095F57C8"/>
    <w:rsid w:val="0B372EC4"/>
    <w:rsid w:val="0BB84642"/>
    <w:rsid w:val="0D80444A"/>
    <w:rsid w:val="0FB47DB9"/>
    <w:rsid w:val="150C0679"/>
    <w:rsid w:val="18C8253E"/>
    <w:rsid w:val="18DE5E49"/>
    <w:rsid w:val="192D1698"/>
    <w:rsid w:val="1A941474"/>
    <w:rsid w:val="1C6E7E6B"/>
    <w:rsid w:val="1CC26090"/>
    <w:rsid w:val="1D342403"/>
    <w:rsid w:val="1DB3596F"/>
    <w:rsid w:val="1E727D04"/>
    <w:rsid w:val="1F4968E7"/>
    <w:rsid w:val="258A41EA"/>
    <w:rsid w:val="29DE69AF"/>
    <w:rsid w:val="2C3B6861"/>
    <w:rsid w:val="2EB91DEF"/>
    <w:rsid w:val="315E1922"/>
    <w:rsid w:val="328F3EB2"/>
    <w:rsid w:val="36D25C59"/>
    <w:rsid w:val="387E1D90"/>
    <w:rsid w:val="394D5621"/>
    <w:rsid w:val="3A2C6633"/>
    <w:rsid w:val="3D907D2A"/>
    <w:rsid w:val="3E173CD0"/>
    <w:rsid w:val="400910E1"/>
    <w:rsid w:val="405A12FD"/>
    <w:rsid w:val="41E9174E"/>
    <w:rsid w:val="432F1B9E"/>
    <w:rsid w:val="43417AD7"/>
    <w:rsid w:val="444D205C"/>
    <w:rsid w:val="446C0CD0"/>
    <w:rsid w:val="45994CB1"/>
    <w:rsid w:val="459E60A6"/>
    <w:rsid w:val="46B003C1"/>
    <w:rsid w:val="493A5FDA"/>
    <w:rsid w:val="4B00227C"/>
    <w:rsid w:val="4B27210C"/>
    <w:rsid w:val="4D853487"/>
    <w:rsid w:val="4E4D6647"/>
    <w:rsid w:val="518E1E3B"/>
    <w:rsid w:val="52E43827"/>
    <w:rsid w:val="543E2000"/>
    <w:rsid w:val="544803CF"/>
    <w:rsid w:val="5449029B"/>
    <w:rsid w:val="545C7FCE"/>
    <w:rsid w:val="54AE0538"/>
    <w:rsid w:val="579F58C6"/>
    <w:rsid w:val="57B14F18"/>
    <w:rsid w:val="592F43D2"/>
    <w:rsid w:val="5DA55009"/>
    <w:rsid w:val="5DD9486E"/>
    <w:rsid w:val="5DE23D31"/>
    <w:rsid w:val="5E91624E"/>
    <w:rsid w:val="5E951B17"/>
    <w:rsid w:val="62431C67"/>
    <w:rsid w:val="625F1CE7"/>
    <w:rsid w:val="63B62E27"/>
    <w:rsid w:val="65213D8C"/>
    <w:rsid w:val="66150D4B"/>
    <w:rsid w:val="67DC015F"/>
    <w:rsid w:val="6B027B8E"/>
    <w:rsid w:val="6E5C1FDE"/>
    <w:rsid w:val="6FF465A9"/>
    <w:rsid w:val="702A34D2"/>
    <w:rsid w:val="71D46B5E"/>
    <w:rsid w:val="71ED2A56"/>
    <w:rsid w:val="73502AE6"/>
    <w:rsid w:val="73712752"/>
    <w:rsid w:val="76282923"/>
    <w:rsid w:val="7669212E"/>
    <w:rsid w:val="780D7E47"/>
    <w:rsid w:val="797D7F1B"/>
    <w:rsid w:val="79970C0B"/>
    <w:rsid w:val="7A326A2B"/>
    <w:rsid w:val="7A5447F9"/>
    <w:rsid w:val="7A7B7EBA"/>
    <w:rsid w:val="7BF86BD0"/>
    <w:rsid w:val="7ED226E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hint="eastAsia" w:ascii="仿宋_GB2312" w:hAnsi="Calibri" w:eastAsia="仿宋_GB2312" w:cs="Times New Roman"/>
      <w:color w:val="000000"/>
      <w:kern w:val="0"/>
      <w:sz w:val="24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pPr>
      <w:ind w:firstLine="648" w:firstLineChars="200"/>
    </w:pPr>
    <w:rPr>
      <w:rFonts w:ascii="方正黑体_GBK" w:hAnsi="Courier New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unhideWhenUsed/>
    <w:qFormat/>
    <w:uiPriority w:val="0"/>
    <w:pPr>
      <w:spacing w:after="0"/>
      <w:ind w:firstLine="420" w:firstLineChars="200"/>
    </w:pPr>
    <w:rPr>
      <w:rFonts w:ascii="Calibri" w:hAnsi="Calibri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正文首行缩进 21"/>
    <w:basedOn w:val="4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4090</Words>
  <Characters>4158</Characters>
  <Lines>0</Lines>
  <Paragraphs>0</Paragraphs>
  <ScaleCrop>false</ScaleCrop>
  <LinksUpToDate>false</LinksUpToDate>
  <CharactersWithSpaces>4191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2022-05-23T01:21:00Z</dcterms:created>
  <dc:creator>Administrator</dc:creator>
  <cp:lastModifiedBy>admin</cp:lastModifiedBy>
  <cp:lastPrinted>2022-06-02T09:52:00Z</cp:lastPrinted>
  <dcterms:modified xsi:type="dcterms:W3CDTF">2023-02-28T03:04:17Z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293B11C903614933B6F15B668D0F3FE2</vt:lpwstr>
  </property>
</Properties>
</file>