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outlineLvl w:val="9"/>
        <w:rPr>
          <w:rFonts w:hint="eastAsia" w:ascii="Times New Roman" w:hAnsi="Times New Roman"/>
        </w:rPr>
      </w:pP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Times New Roman" w:hAnsi="Times New Roman" w:eastAsia="黑体"/>
          <w:sz w:val="36"/>
        </w:rPr>
      </w:pPr>
    </w:p>
    <w:p>
      <w:pPr>
        <w:pStyle w:val="2"/>
        <w:keepNext w:val="0"/>
        <w:keepLines w:val="0"/>
        <w:pageBreakBefore w:val="0"/>
        <w:widowControl w:val="0"/>
        <w:kinsoku/>
        <w:wordWrap/>
        <w:overflowPunct w:val="0"/>
        <w:topLinePunct w:val="0"/>
        <w:autoSpaceDE/>
        <w:autoSpaceDN/>
        <w:bidi w:val="0"/>
        <w:adjustRightInd/>
        <w:snapToGrid/>
        <w:spacing w:line="580" w:lineRule="exact"/>
        <w:ind w:left="0" w:leftChars="0" w:firstLine="0" w:firstLineChars="0"/>
        <w:jc w:val="center"/>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1500" w:lineRule="exact"/>
        <w:jc w:val="center"/>
        <w:textAlignment w:val="auto"/>
        <w:outlineLvl w:val="9"/>
        <w:rPr>
          <w:rFonts w:hint="eastAsia" w:ascii="Times New Roman" w:hAnsi="Times New Roman" w:eastAsia="方正小标宋_GBK" w:cs="Times New Roman"/>
          <w:b w:val="0"/>
          <w:bCs w:val="0"/>
          <w:color w:val="FF0000"/>
          <w:spacing w:val="-17"/>
          <w:w w:val="45"/>
          <w:sz w:val="144"/>
          <w:szCs w:val="144"/>
        </w:rPr>
      </w:pPr>
      <w:r>
        <w:rPr>
          <w:rFonts w:hint="eastAsia" w:ascii="Times New Roman" w:hAnsi="Times New Roman" w:eastAsia="方正小标宋_GBK" w:cs="方正小标宋_GBK"/>
          <w:b w:val="0"/>
          <w:bCs w:val="0"/>
          <w:color w:val="FF0000"/>
          <w:spacing w:val="-17"/>
          <w:w w:val="45"/>
          <w:sz w:val="144"/>
          <w:szCs w:val="144"/>
        </w:rPr>
        <w:t>重庆市沙坪坝区</w:t>
      </w:r>
      <w:r>
        <w:rPr>
          <w:rFonts w:hint="eastAsia" w:ascii="Times New Roman" w:hAnsi="Times New Roman" w:eastAsia="方正小标宋_GBK" w:cs="方正小标宋_GBK"/>
          <w:b w:val="0"/>
          <w:bCs w:val="0"/>
          <w:color w:val="FF0000"/>
          <w:spacing w:val="-17"/>
          <w:w w:val="45"/>
          <w:sz w:val="144"/>
          <w:szCs w:val="144"/>
          <w:lang w:eastAsia="zh-CN"/>
        </w:rPr>
        <w:t>医疗</w:t>
      </w:r>
      <w:r>
        <w:rPr>
          <w:rFonts w:hint="eastAsia" w:ascii="Times New Roman" w:hAnsi="Times New Roman" w:eastAsia="方正小标宋_GBK" w:cs="方正小标宋_GBK"/>
          <w:b w:val="0"/>
          <w:bCs w:val="0"/>
          <w:color w:val="FF0000"/>
          <w:spacing w:val="-17"/>
          <w:w w:val="45"/>
          <w:sz w:val="144"/>
          <w:szCs w:val="144"/>
        </w:rPr>
        <w:t>保障局文件</w:t>
      </w:r>
    </w:p>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outlineLvl w:val="9"/>
        <w:rPr>
          <w:rFonts w:hint="eastAsia"/>
        </w:rPr>
      </w:pPr>
    </w:p>
    <w:p>
      <w:pPr>
        <w:pStyle w:val="2"/>
        <w:keepNext w:val="0"/>
        <w:keepLines w:val="0"/>
        <w:pageBreakBefore w:val="0"/>
        <w:widowControl w:val="0"/>
        <w:kinsoku/>
        <w:wordWrap/>
        <w:overflowPunct w:val="0"/>
        <w:topLinePunct w:val="0"/>
        <w:autoSpaceDE/>
        <w:autoSpaceDN/>
        <w:bidi w:val="0"/>
        <w:adjustRightInd/>
        <w:snapToGrid/>
        <w:spacing w:line="400" w:lineRule="exact"/>
        <w:ind w:firstLine="0"/>
        <w:jc w:val="center"/>
        <w:textAlignment w:val="auto"/>
        <w:outlineLvl w:val="9"/>
        <w:rPr>
          <w:rFonts w:hint="eastAsia"/>
        </w:rPr>
      </w:pPr>
    </w:p>
    <w:p>
      <w:pPr>
        <w:jc w:val="center"/>
        <w:rPr>
          <w:rFonts w:hint="eastAsia" w:ascii="Times New Roman" w:hAnsi="Times New Roman" w:eastAsia="方正仿宋_GBK" w:cs="Times New Roman"/>
          <w:sz w:val="32"/>
        </w:rPr>
      </w:pPr>
      <w:r>
        <w:rPr>
          <w:rFonts w:hint="eastAsia" w:ascii="Times New Roman" w:hAnsi="Times New Roman" w:eastAsia="方正仿宋_GBK" w:cs="Times New Roman"/>
          <w:sz w:val="32"/>
        </w:rPr>
        <w:t>沙</w:t>
      </w:r>
      <w:r>
        <w:rPr>
          <w:rFonts w:hint="eastAsia" w:ascii="Times New Roman" w:hAnsi="Times New Roman" w:eastAsia="方正仿宋_GBK" w:cs="Times New Roman"/>
          <w:sz w:val="32"/>
          <w:lang w:eastAsia="zh-CN"/>
        </w:rPr>
        <w:t>医保</w:t>
      </w:r>
      <w:r>
        <w:rPr>
          <w:rFonts w:hint="eastAsia" w:ascii="Times New Roman" w:hAnsi="Times New Roman" w:eastAsia="方正仿宋_GBK" w:cs="Times New Roman"/>
          <w:sz w:val="32"/>
        </w:rPr>
        <w:t>发〔</w:t>
      </w:r>
      <w:r>
        <w:rPr>
          <w:rFonts w:hint="eastAsia" w:cs="Times New Roman"/>
          <w:sz w:val="32"/>
          <w:lang w:val="en-US" w:eastAsia="zh-CN"/>
        </w:rPr>
        <w:t>2023</w:t>
      </w:r>
      <w:r>
        <w:rPr>
          <w:rFonts w:hint="eastAsia" w:ascii="Times New Roman" w:hAnsi="Times New Roman" w:eastAsia="方正仿宋_GBK" w:cs="Times New Roman"/>
          <w:sz w:val="32"/>
        </w:rPr>
        <w:t>〕</w:t>
      </w:r>
      <w:r>
        <w:rPr>
          <w:rFonts w:hint="eastAsia" w:cs="Times New Roman"/>
          <w:sz w:val="32"/>
          <w:lang w:val="en-US" w:eastAsia="zh-CN"/>
        </w:rPr>
        <w:t>1</w:t>
      </w:r>
      <w:r>
        <w:rPr>
          <w:rFonts w:hint="eastAsia" w:ascii="Times New Roman" w:hAnsi="Times New Roman" w:eastAsia="方正仿宋_GBK" w:cs="Times New Roman"/>
          <w:sz w:val="32"/>
        </w:rPr>
        <w:t>号</w:t>
      </w:r>
    </w:p>
    <w:p>
      <w:pPr>
        <w:keepNext w:val="0"/>
        <w:keepLines w:val="0"/>
        <w:pageBreakBefore w:val="0"/>
        <w:widowControl w:val="0"/>
        <w:tabs>
          <w:tab w:val="left" w:pos="3885"/>
        </w:tabs>
        <w:kinsoku/>
        <w:wordWrap/>
        <w:overflowPunct/>
        <w:topLinePunct w:val="0"/>
        <w:autoSpaceDE/>
        <w:autoSpaceDN/>
        <w:bidi w:val="0"/>
        <w:adjustRightInd/>
        <w:snapToGrid/>
        <w:spacing w:line="400" w:lineRule="exact"/>
        <w:jc w:val="center"/>
        <w:textAlignment w:val="auto"/>
        <w:outlineLvl w:val="9"/>
        <w:rPr>
          <w:rFonts w:ascii="Times New Roman" w:hAnsi="Times New Roman" w:eastAsia="黑体"/>
          <w:sz w:val="36"/>
        </w:rPr>
      </w:pPr>
      <w:r>
        <w:rPr>
          <w:rFonts w:ascii="Times New Roman" w:hAnsi="Times New Roman" w:eastAsia="仿宋_GB2312" w:cs="Times New Roman"/>
          <w:sz w:val="20"/>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6985</wp:posOffset>
                </wp:positionV>
                <wp:extent cx="5608320" cy="4445"/>
                <wp:effectExtent l="0" t="10795" r="11430" b="13335"/>
                <wp:wrapNone/>
                <wp:docPr id="3" name="直线 11"/>
                <wp:cNvGraphicFramePr/>
                <a:graphic xmlns:a="http://schemas.openxmlformats.org/drawingml/2006/main">
                  <a:graphicData uri="http://schemas.microsoft.com/office/word/2010/wordprocessingShape">
                    <wps:wsp>
                      <wps:cNvCnPr/>
                      <wps:spPr>
                        <a:xfrm>
                          <a:off x="0" y="0"/>
                          <a:ext cx="5608320" cy="4445"/>
                        </a:xfrm>
                        <a:prstGeom prst="line">
                          <a:avLst/>
                        </a:prstGeom>
                        <a:ln w="22225" cap="flat" cmpd="sng">
                          <a:solidFill>
                            <a:srgbClr val="FF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65pt;margin-top:0.55pt;height:0.35pt;width:441.6pt;z-index:251660288;mso-width-relative:page;mso-height-relative:page;" filled="f" stroked="t" coordsize="21600,21600" o:gfxdata="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t96V21AAAAAUBAAAPAAAAAAAAAAEAIAAAACIAAABk&#10;cnMvZG93bnJldi54bWxQSwECFAAUAAAACACHTuJAO3pFWNEBAACSAwAADgAAAAAAAAABACAAAAAj&#10;AQAAZHJzL2Uyb0RvYy54bWxQSwUGAAAAAAYABgBZAQAAZgUAAAAA&#10;">
                <v:fill on="f" focussize="0,0"/>
                <v:stroke weight="1.75pt" color="#FF0000" joinstyle="round"/>
                <v:imagedata o:title=""/>
                <o:lock v:ext="edit" aspectratio="f"/>
              </v:line>
            </w:pict>
          </mc:Fallback>
        </mc:AlternateConten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color w:val="000000"/>
          <w:sz w:val="44"/>
          <w:szCs w:val="44"/>
          <w:lang w:val="en-US" w:eastAsia="zh-CN"/>
        </w:rPr>
      </w:pPr>
      <w:r>
        <w:rPr>
          <w:rFonts w:hint="eastAsia" w:ascii="方正小标宋_GBK" w:hAnsi="方正小标宋_GBK" w:eastAsia="方正小标宋_GBK" w:cs="方正小标宋_GBK"/>
          <w:color w:val="000000"/>
          <w:sz w:val="44"/>
          <w:szCs w:val="44"/>
          <w:lang w:val="en-US" w:eastAsia="zh-CN"/>
        </w:rPr>
        <w:t>重庆市沙坪坝区医疗保障局</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小标宋_GBK" w:cs="Times New Roman"/>
          <w:kern w:val="0"/>
          <w:sz w:val="44"/>
          <w:szCs w:val="44"/>
          <w:lang w:val="en-US" w:eastAsia="zh-CN"/>
        </w:rPr>
      </w:pPr>
      <w:r>
        <w:rPr>
          <w:rFonts w:hint="default" w:ascii="Times New Roman" w:hAnsi="Times New Roman" w:eastAsia="方正小标宋_GBK" w:cs="Times New Roman"/>
          <w:kern w:val="0"/>
          <w:sz w:val="44"/>
          <w:szCs w:val="44"/>
        </w:rPr>
        <w:t>关于</w:t>
      </w:r>
      <w:r>
        <w:rPr>
          <w:rFonts w:hint="eastAsia" w:ascii="Times New Roman" w:hAnsi="Times New Roman" w:eastAsia="方正小标宋_GBK" w:cs="Times New Roman"/>
          <w:kern w:val="0"/>
          <w:sz w:val="44"/>
          <w:szCs w:val="44"/>
          <w:lang w:val="en-US" w:eastAsia="zh-CN"/>
        </w:rPr>
        <w:t>拨付</w:t>
      </w:r>
      <w:r>
        <w:rPr>
          <w:rFonts w:hint="eastAsia" w:eastAsia="方正小标宋_GBK" w:cs="Times New Roman"/>
          <w:kern w:val="0"/>
          <w:sz w:val="44"/>
          <w:szCs w:val="44"/>
          <w:lang w:val="en-US" w:eastAsia="zh-CN"/>
        </w:rPr>
        <w:t>第三批</w:t>
      </w:r>
      <w:r>
        <w:rPr>
          <w:rFonts w:hint="eastAsia" w:ascii="Times New Roman" w:hAnsi="Times New Roman" w:eastAsia="方正小标宋_GBK" w:cs="Times New Roman"/>
          <w:kern w:val="0"/>
          <w:sz w:val="44"/>
          <w:szCs w:val="44"/>
          <w:lang w:val="en-US" w:eastAsia="zh-CN"/>
        </w:rPr>
        <w:t>国家组织药品集中采购</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小标宋_GBK" w:cs="Times New Roman"/>
          <w:kern w:val="0"/>
          <w:sz w:val="44"/>
          <w:szCs w:val="44"/>
          <w:lang w:val="en-US" w:eastAsia="zh-CN"/>
        </w:rPr>
      </w:pPr>
      <w:r>
        <w:rPr>
          <w:rFonts w:hint="eastAsia" w:ascii="Times New Roman" w:hAnsi="Times New Roman" w:eastAsia="方正小标宋_GBK" w:cs="Times New Roman"/>
          <w:kern w:val="0"/>
          <w:sz w:val="44"/>
          <w:szCs w:val="44"/>
          <w:lang w:val="en-US" w:eastAsia="zh-CN"/>
        </w:rPr>
        <w:t>医保结余留用资金的通知</w:t>
      </w:r>
    </w:p>
    <w:p>
      <w:pPr>
        <w:keepNext w:val="0"/>
        <w:keepLines w:val="0"/>
        <w:pageBreakBefore w:val="0"/>
        <w:widowControl w:val="0"/>
        <w:kinsoku/>
        <w:wordWrap/>
        <w:overflowPunct w:val="0"/>
        <w:topLinePunct w:val="0"/>
        <w:autoSpaceDE/>
        <w:autoSpaceDN/>
        <w:bidi w:val="0"/>
        <w:adjustRightInd/>
        <w:snapToGrid/>
        <w:spacing w:line="580" w:lineRule="exact"/>
        <w:ind w:right="0" w:rightChars="0"/>
        <w:jc w:val="both"/>
        <w:textAlignment w:val="auto"/>
        <w:outlineLvl w:val="9"/>
        <w:rPr>
          <w:rFonts w:hint="eastAsia" w:ascii="Times New Roman" w:hAnsi="Times New Roman" w:eastAsia="方正仿宋_GBK" w:cs="Times New Roman"/>
          <w:color w:val="000000"/>
          <w:sz w:val="32"/>
          <w:szCs w:val="2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right="0" w:rightChars="0"/>
        <w:jc w:val="both"/>
        <w:textAlignment w:val="auto"/>
        <w:outlineLvl w:val="9"/>
        <w:rPr>
          <w:rFonts w:hint="eastAsia" w:ascii="Times New Roman" w:hAnsi="Times New Roman" w:eastAsia="方正仿宋_GBK" w:cs="Times New Roman"/>
          <w:color w:val="000000"/>
          <w:sz w:val="32"/>
          <w:szCs w:val="22"/>
          <w:lang w:val="en-US" w:eastAsia="zh-CN"/>
        </w:rPr>
      </w:pPr>
      <w:r>
        <w:rPr>
          <w:rFonts w:hint="eastAsia" w:ascii="Times New Roman" w:hAnsi="Times New Roman" w:eastAsia="方正仿宋_GBK" w:cs="Times New Roman"/>
          <w:color w:val="000000"/>
          <w:sz w:val="32"/>
          <w:szCs w:val="22"/>
          <w:lang w:val="en-US" w:eastAsia="zh-CN"/>
        </w:rPr>
        <w:t>辖区内定点医疗机构：</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92" w:firstLineChars="200"/>
        <w:jc w:val="both"/>
        <w:textAlignment w:val="auto"/>
        <w:outlineLvl w:val="9"/>
        <w:rPr>
          <w:rFonts w:hint="eastAsia" w:ascii="Times New Roman" w:hAnsi="Times New Roman" w:eastAsia="方正仿宋_GBK" w:cs="Times New Roman"/>
          <w:color w:val="000000"/>
          <w:sz w:val="32"/>
          <w:szCs w:val="22"/>
          <w:lang w:val="en-US" w:eastAsia="zh-CN"/>
        </w:rPr>
      </w:pPr>
      <w:r>
        <w:rPr>
          <w:rFonts w:hint="eastAsia" w:ascii="Times New Roman" w:hAnsi="Times New Roman" w:eastAsia="方正仿宋_GBK" w:cs="Times New Roman"/>
          <w:color w:val="000000"/>
          <w:sz w:val="32"/>
          <w:szCs w:val="22"/>
          <w:lang w:val="en-US" w:eastAsia="zh-CN"/>
        </w:rPr>
        <w:t>根据《重庆市医疗保障局关于集中采购药品结余留用资金划拨工作有关事宜的通知》（渝医保发</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2022</w:t>
      </w:r>
      <w:r>
        <w:rPr>
          <w:rFonts w:hint="eastAsia" w:ascii="方正仿宋_GBK" w:hAnsi="方正仿宋_GBK" w:eastAsia="方正仿宋_GBK" w:cs="方正仿宋_GBK"/>
          <w:sz w:val="32"/>
          <w:szCs w:val="32"/>
          <w:lang w:val="en-US" w:eastAsia="zh-CN"/>
        </w:rPr>
        <w:t>〕</w:t>
      </w:r>
      <w:r>
        <w:rPr>
          <w:rFonts w:hint="eastAsia" w:ascii="Times New Roman" w:hAnsi="Times New Roman" w:eastAsia="方正仿宋_GBK" w:cs="Times New Roman"/>
          <w:sz w:val="32"/>
          <w:szCs w:val="32"/>
          <w:lang w:val="en-US" w:eastAsia="zh-CN"/>
        </w:rPr>
        <w:t>8</w:t>
      </w:r>
      <w:r>
        <w:rPr>
          <w:rFonts w:hint="eastAsia" w:ascii="Times New Roman" w:hAnsi="Times New Roman" w:eastAsia="方正仿宋_GBK" w:cs="Times New Roman"/>
          <w:color w:val="000000"/>
          <w:sz w:val="32"/>
          <w:szCs w:val="22"/>
          <w:lang w:val="en-US" w:eastAsia="zh-CN"/>
        </w:rPr>
        <w:t>号）要求，沙坪坝区医疗保障局组织辖区内参与第三批国采的医疗机构开展结余留用资金落实工作。具体事宜如下：</w:t>
      </w:r>
    </w:p>
    <w:p>
      <w:pPr>
        <w:keepNext w:val="0"/>
        <w:keepLines w:val="0"/>
        <w:pageBreakBefore w:val="0"/>
        <w:widowControl w:val="0"/>
        <w:kinsoku/>
        <w:wordWrap/>
        <w:overflowPunct w:val="0"/>
        <w:topLinePunct w:val="0"/>
        <w:autoSpaceDE/>
        <w:autoSpaceDN/>
        <w:bidi w:val="0"/>
        <w:adjustRightInd/>
        <w:snapToGrid/>
        <w:spacing w:after="0" w:line="580" w:lineRule="exact"/>
        <w:ind w:firstLine="692" w:firstLineChars="200"/>
        <w:textAlignment w:val="auto"/>
        <w:rPr>
          <w:rFonts w:hint="default"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一、结余留用金额</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92" w:firstLineChars="200"/>
        <w:jc w:val="left"/>
        <w:textAlignment w:val="auto"/>
        <w:outlineLvl w:val="9"/>
        <w:rPr>
          <w:rFonts w:hint="eastAsia" w:ascii="Times New Roman" w:hAnsi="Times New Roman" w:eastAsia="方正仿宋_GBK" w:cs="Times New Roman"/>
          <w:color w:val="000000"/>
          <w:sz w:val="32"/>
          <w:szCs w:val="22"/>
          <w:lang w:val="en-US" w:eastAsia="zh-CN"/>
        </w:rPr>
      </w:pPr>
      <w:r>
        <w:rPr>
          <w:rFonts w:hint="eastAsia" w:ascii="Times New Roman" w:hAnsi="Times New Roman" w:eastAsia="方正仿宋_GBK" w:cs="Times New Roman"/>
          <w:color w:val="000000"/>
          <w:sz w:val="32"/>
          <w:szCs w:val="22"/>
          <w:lang w:val="en-US" w:eastAsia="zh-CN"/>
        </w:rPr>
        <w:t>经考核，沙坪坝</w:t>
      </w:r>
      <w:r>
        <w:rPr>
          <w:rFonts w:hint="default" w:ascii="Times New Roman" w:hAnsi="Times New Roman" w:eastAsia="方正仿宋_GBK" w:cs="Times New Roman"/>
          <w:color w:val="000000"/>
          <w:sz w:val="32"/>
          <w:szCs w:val="22"/>
          <w:lang w:val="en-US" w:eastAsia="zh-CN"/>
        </w:rPr>
        <w:t>区</w:t>
      </w:r>
      <w:r>
        <w:rPr>
          <w:rFonts w:hint="eastAsia" w:ascii="Times New Roman" w:hAnsi="Times New Roman" w:eastAsia="方正仿宋_GBK" w:cs="Times New Roman"/>
          <w:color w:val="000000"/>
          <w:sz w:val="32"/>
          <w:szCs w:val="22"/>
          <w:lang w:val="en-US" w:eastAsia="zh-CN"/>
        </w:rPr>
        <w:t>获得资金奖励的</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color w:val="000000"/>
          <w:sz w:val="32"/>
          <w:szCs w:val="22"/>
          <w:lang w:val="en-US" w:eastAsia="zh-CN"/>
        </w:rPr>
        <w:t>家</w:t>
      </w:r>
      <w:r>
        <w:rPr>
          <w:rFonts w:hint="eastAsia" w:ascii="Times New Roman" w:hAnsi="Times New Roman" w:eastAsia="方正仿宋_GBK" w:cs="Times New Roman"/>
          <w:color w:val="000000"/>
          <w:sz w:val="32"/>
          <w:szCs w:val="22"/>
          <w:lang w:val="en-US" w:eastAsia="zh-CN"/>
        </w:rPr>
        <w:t>公立</w:t>
      </w:r>
      <w:r>
        <w:rPr>
          <w:rFonts w:hint="default" w:ascii="Times New Roman" w:hAnsi="Times New Roman" w:eastAsia="方正仿宋_GBK" w:cs="Times New Roman"/>
          <w:color w:val="000000"/>
          <w:sz w:val="32"/>
          <w:szCs w:val="22"/>
          <w:lang w:val="en-US" w:eastAsia="zh-CN"/>
        </w:rPr>
        <w:t>医疗机构</w:t>
      </w:r>
      <w:r>
        <w:rPr>
          <w:rFonts w:hint="eastAsia" w:ascii="Times New Roman" w:hAnsi="Times New Roman" w:eastAsia="方正仿宋_GBK" w:cs="Times New Roman"/>
          <w:color w:val="000000"/>
          <w:sz w:val="32"/>
          <w:szCs w:val="22"/>
          <w:lang w:val="en-US" w:eastAsia="zh-CN"/>
        </w:rPr>
        <w:t>结余留用总金额为</w:t>
      </w:r>
      <w:r>
        <w:rPr>
          <w:rFonts w:hint="eastAsia" w:ascii="Times New Roman" w:hAnsi="Times New Roman" w:eastAsia="方正仿宋_GBK" w:cs="Times New Roman"/>
          <w:sz w:val="32"/>
          <w:szCs w:val="32"/>
          <w:lang w:val="en-US" w:eastAsia="zh-CN"/>
        </w:rPr>
        <w:t>2920603.27</w:t>
      </w:r>
      <w:r>
        <w:rPr>
          <w:rFonts w:hint="eastAsia" w:ascii="Times New Roman" w:hAnsi="Times New Roman" w:eastAsia="方正仿宋_GBK" w:cs="Times New Roman"/>
          <w:color w:val="000000"/>
          <w:sz w:val="32"/>
          <w:szCs w:val="22"/>
          <w:lang w:val="en-US" w:eastAsia="zh-CN"/>
        </w:rPr>
        <w:t>元，其中职工基本医保结余留用资金</w:t>
      </w:r>
      <w:r>
        <w:rPr>
          <w:rFonts w:hint="eastAsia" w:ascii="Times New Roman" w:hAnsi="Times New Roman" w:eastAsia="方正仿宋_GBK" w:cs="Times New Roman"/>
          <w:sz w:val="32"/>
          <w:szCs w:val="32"/>
          <w:lang w:val="en-US" w:eastAsia="zh-CN"/>
        </w:rPr>
        <w:t>1540326.16</w:t>
      </w:r>
      <w:r>
        <w:rPr>
          <w:rFonts w:hint="eastAsia" w:ascii="Times New Roman" w:hAnsi="Times New Roman" w:eastAsia="方正仿宋_GBK" w:cs="Times New Roman"/>
          <w:color w:val="000000"/>
          <w:sz w:val="32"/>
          <w:szCs w:val="22"/>
          <w:lang w:val="en-US" w:eastAsia="zh-CN"/>
        </w:rPr>
        <w:t>元，居民基本医保结余留用资金</w:t>
      </w:r>
      <w:r>
        <w:rPr>
          <w:rFonts w:hint="eastAsia" w:ascii="Times New Roman" w:hAnsi="Times New Roman" w:eastAsia="方正仿宋_GBK" w:cs="Times New Roman"/>
          <w:sz w:val="32"/>
          <w:szCs w:val="32"/>
          <w:lang w:val="en-US" w:eastAsia="zh-CN"/>
        </w:rPr>
        <w:t>1380277.11</w:t>
      </w:r>
      <w:r>
        <w:rPr>
          <w:rFonts w:hint="eastAsia" w:ascii="Times New Roman" w:hAnsi="Times New Roman" w:eastAsia="方正仿宋_GBK" w:cs="Times New Roman"/>
          <w:color w:val="000000"/>
          <w:sz w:val="32"/>
          <w:szCs w:val="22"/>
          <w:lang w:val="en-US" w:eastAsia="zh-CN"/>
        </w:rPr>
        <w:t>元（详情见附件）。</w:t>
      </w:r>
    </w:p>
    <w:p>
      <w:pPr>
        <w:keepNext w:val="0"/>
        <w:keepLines w:val="0"/>
        <w:pageBreakBefore w:val="0"/>
        <w:widowControl w:val="0"/>
        <w:suppressLineNumbers w:val="0"/>
        <w:kinsoku/>
        <w:wordWrap/>
        <w:overflowPunct w:val="0"/>
        <w:topLinePunct w:val="0"/>
        <w:autoSpaceDE/>
        <w:autoSpaceDN/>
        <w:bidi w:val="0"/>
        <w:adjustRightInd/>
        <w:snapToGrid/>
        <w:spacing w:line="580" w:lineRule="exact"/>
        <w:ind w:firstLine="692" w:firstLineChars="200"/>
        <w:jc w:val="left"/>
        <w:textAlignment w:val="auto"/>
        <w:outlineLvl w:val="9"/>
        <w:rPr>
          <w:rFonts w:hint="default" w:ascii="Times New Roman" w:hAnsi="Times New Roman" w:eastAsia="方正黑体_GBK" w:cs="Times New Roman"/>
          <w:sz w:val="32"/>
          <w:szCs w:val="22"/>
          <w:lang w:val="en-US" w:eastAsia="zh-CN"/>
        </w:rPr>
      </w:pPr>
      <w:r>
        <w:rPr>
          <w:rFonts w:hint="eastAsia" w:ascii="Times New Roman" w:hAnsi="Times New Roman" w:eastAsia="方正黑体_GBK" w:cs="Times New Roman"/>
          <w:sz w:val="32"/>
          <w:szCs w:val="22"/>
          <w:lang w:val="en-US" w:eastAsia="zh-CN"/>
        </w:rPr>
        <w:t>二、资金落实工作</w:t>
      </w:r>
    </w:p>
    <w:p>
      <w:pPr>
        <w:keepNext w:val="0"/>
        <w:keepLines w:val="0"/>
        <w:pageBreakBefore w:val="0"/>
        <w:widowControl w:val="0"/>
        <w:kinsoku/>
        <w:wordWrap/>
        <w:overflowPunct w:val="0"/>
        <w:topLinePunct w:val="0"/>
        <w:autoSpaceDE/>
        <w:autoSpaceDN/>
        <w:bidi w:val="0"/>
        <w:adjustRightInd/>
        <w:snapToGrid/>
        <w:spacing w:line="580" w:lineRule="exact"/>
        <w:ind w:right="0" w:rightChars="0" w:firstLine="692" w:firstLineChars="200"/>
        <w:jc w:val="both"/>
        <w:textAlignment w:val="auto"/>
        <w:outlineLvl w:val="9"/>
        <w:rPr>
          <w:rFonts w:hint="eastAsia" w:ascii="Times New Roman" w:hAnsi="Times New Roman" w:eastAsia="方正仿宋_GBK" w:cs="Times New Roman"/>
          <w:color w:val="000000"/>
          <w:sz w:val="32"/>
          <w:szCs w:val="22"/>
          <w:lang w:val="en-US" w:eastAsia="zh-CN"/>
        </w:rPr>
      </w:pPr>
      <w:r>
        <w:rPr>
          <w:rFonts w:hint="eastAsia" w:ascii="Times New Roman" w:hAnsi="Times New Roman" w:eastAsia="方正仿宋_GBK" w:cs="Times New Roman"/>
          <w:color w:val="000000"/>
          <w:sz w:val="32"/>
          <w:szCs w:val="22"/>
          <w:lang w:val="en-US" w:eastAsia="zh-CN"/>
        </w:rPr>
        <w:t>辖区内相关医疗机构组织内部考核，根据考核结果统筹结余留用资金分配和使用，让兑现的“结余留用”资金落实到相关人员绩效，使之成为改革的激励金。</w:t>
      </w:r>
    </w:p>
    <w:p>
      <w:pPr>
        <w:keepNext w:val="0"/>
        <w:keepLines w:val="0"/>
        <w:pageBreakBefore w:val="0"/>
        <w:widowControl w:val="0"/>
        <w:kinsoku/>
        <w:wordWrap/>
        <w:overflowPunct w:val="0"/>
        <w:topLinePunct w:val="0"/>
        <w:autoSpaceDE/>
        <w:autoSpaceDN/>
        <w:bidi w:val="0"/>
        <w:adjustRightInd/>
        <w:snapToGrid/>
        <w:spacing w:line="580" w:lineRule="exact"/>
        <w:ind w:firstLine="692" w:firstLineChars="200"/>
        <w:textAlignment w:val="auto"/>
        <w:rPr>
          <w:rFonts w:hint="eastAsia" w:ascii="Times New Roman" w:hAnsi="Times New Roman" w:eastAsia="方正仿宋_GBK" w:cs="Times New Roman"/>
          <w:sz w:val="32"/>
          <w:szCs w:val="22"/>
          <w:lang w:val="en-US" w:eastAsia="zh-CN"/>
        </w:rPr>
      </w:pPr>
    </w:p>
    <w:p>
      <w:pPr>
        <w:keepNext w:val="0"/>
        <w:keepLines w:val="0"/>
        <w:pageBreakBefore w:val="0"/>
        <w:widowControl w:val="0"/>
        <w:kinsoku/>
        <w:wordWrap/>
        <w:overflowPunct w:val="0"/>
        <w:topLinePunct w:val="0"/>
        <w:autoSpaceDE/>
        <w:autoSpaceDN/>
        <w:bidi w:val="0"/>
        <w:adjustRightInd/>
        <w:snapToGrid/>
        <w:spacing w:line="580" w:lineRule="exact"/>
        <w:ind w:left="1730" w:leftChars="200" w:right="0" w:rightChars="0" w:hanging="1038" w:hangingChars="300"/>
        <w:jc w:val="both"/>
        <w:textAlignment w:val="auto"/>
        <w:outlineLvl w:val="9"/>
        <w:rPr>
          <w:rFonts w:hint="eastAsia" w:ascii="Times New Roman" w:hAnsi="Times New Roman" w:eastAsia="方正仿宋_GBK" w:cs="Times New Roman"/>
          <w:color w:val="000000"/>
          <w:sz w:val="32"/>
          <w:szCs w:val="22"/>
          <w:lang w:val="en-US" w:eastAsia="zh-CN"/>
        </w:rPr>
      </w:pPr>
      <w:r>
        <w:rPr>
          <w:rFonts w:hint="eastAsia" w:ascii="Times New Roman" w:hAnsi="Times New Roman" w:eastAsia="方正仿宋_GBK" w:cs="Times New Roman"/>
          <w:color w:val="000000"/>
          <w:sz w:val="32"/>
          <w:szCs w:val="22"/>
          <w:lang w:val="en-US" w:eastAsia="zh-CN"/>
        </w:rPr>
        <w:t>附件：第三批国家组织药品集中采购沙坪坝区医疗机构医保资金结余留用情况表</w:t>
      </w:r>
    </w:p>
    <w:p>
      <w:pPr>
        <w:keepNext w:val="0"/>
        <w:keepLines w:val="0"/>
        <w:pageBreakBefore w:val="0"/>
        <w:widowControl w:val="0"/>
        <w:kinsoku/>
        <w:wordWrap/>
        <w:overflowPunct w:val="0"/>
        <w:topLinePunct w:val="0"/>
        <w:autoSpaceDE/>
        <w:autoSpaceDN/>
        <w:bidi w:val="0"/>
        <w:adjustRightInd/>
        <w:snapToGrid/>
        <w:spacing w:line="580" w:lineRule="exact"/>
        <w:jc w:val="both"/>
        <w:textAlignment w:val="auto"/>
        <w:outlineLvl w:val="9"/>
        <w:rPr>
          <w:rFonts w:hint="eastAsia" w:ascii="Times New Roman" w:hAnsi="Times New Roman" w:eastAsia="方正楷体_GBK" w:cs="方正仿宋_GBK"/>
          <w:color w:val="000000"/>
          <w:sz w:val="32"/>
          <w:szCs w:val="32"/>
          <w:lang w:val="en-US" w:eastAsia="zh-CN"/>
        </w:rPr>
      </w:pPr>
      <w:r>
        <w:rPr>
          <w:rFonts w:hint="eastAsia" w:ascii="Times New Roman" w:hAnsi="Times New Roman" w:eastAsia="方正楷体_GBK" w:cs="方正仿宋_GBK"/>
          <w:color w:val="000000"/>
          <w:sz w:val="32"/>
          <w:szCs w:val="32"/>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80" w:lineRule="exact"/>
        <w:jc w:val="center"/>
        <w:textAlignment w:val="auto"/>
        <w:rPr>
          <w:rFonts w:hint="eastAsia" w:ascii="Times New Roman" w:hAnsi="Times New Roman" w:eastAsia="方正仿宋_GBK" w:cs="Times New Roman"/>
          <w:color w:val="000000"/>
          <w:sz w:val="32"/>
          <w:szCs w:val="22"/>
          <w:lang w:val="en-US" w:eastAsia="zh-CN"/>
        </w:rPr>
      </w:pPr>
      <w:r>
        <w:rPr>
          <w:rFonts w:hint="eastAsia" w:ascii="Times New Roman" w:hAnsi="Times New Roman" w:cs="Times New Roman"/>
          <w:color w:val="000000"/>
          <w:sz w:val="32"/>
          <w:szCs w:val="22"/>
          <w:lang w:val="en-US" w:eastAsia="zh-CN"/>
        </w:rPr>
        <w:t xml:space="preserve">                     </w:t>
      </w:r>
      <w:r>
        <w:rPr>
          <w:rFonts w:hint="eastAsia" w:ascii="Times New Roman" w:hAnsi="Times New Roman" w:eastAsia="方正仿宋_GBK" w:cs="Times New Roman"/>
          <w:color w:val="000000"/>
          <w:sz w:val="32"/>
          <w:szCs w:val="22"/>
          <w:lang w:val="en-US" w:eastAsia="zh-CN"/>
        </w:rPr>
        <w:t>重庆市沙坪坝区医疗保障局</w:t>
      </w:r>
    </w:p>
    <w:p>
      <w:pPr>
        <w:keepNext w:val="0"/>
        <w:keepLines w:val="0"/>
        <w:pageBreakBefore w:val="0"/>
        <w:widowControl w:val="0"/>
        <w:kinsoku/>
        <w:wordWrap/>
        <w:overflowPunct w:val="0"/>
        <w:topLinePunct w:val="0"/>
        <w:autoSpaceDE/>
        <w:autoSpaceDN/>
        <w:bidi w:val="0"/>
        <w:adjustRightInd/>
        <w:snapToGrid/>
        <w:spacing w:line="580" w:lineRule="exact"/>
        <w:ind w:firstLine="5190" w:firstLineChars="1500"/>
        <w:jc w:val="both"/>
        <w:textAlignment w:val="auto"/>
        <w:rPr>
          <w:rFonts w:hint="eastAsia" w:ascii="Times New Roman" w:hAnsi="Times New Roman" w:eastAsia="方正仿宋_GBK" w:cs="Times New Roman"/>
          <w:sz w:val="32"/>
          <w:szCs w:val="22"/>
          <w:lang w:val="en-US" w:eastAsia="zh-CN"/>
        </w:rPr>
      </w:pPr>
      <w:r>
        <w:rPr>
          <w:rFonts w:hint="eastAsia" w:ascii="Times New Roman" w:hAnsi="Times New Roman" w:eastAsia="方正仿宋_GBK" w:cs="Times New Roman"/>
          <w:sz w:val="32"/>
          <w:szCs w:val="32"/>
          <w:lang w:val="en-US" w:eastAsia="zh-CN"/>
        </w:rPr>
        <w:t>2023</w:t>
      </w:r>
      <w:r>
        <w:rPr>
          <w:rFonts w:hint="eastAsia" w:ascii="Times New Roman" w:hAnsi="Times New Roman" w:eastAsia="方正仿宋_GBK" w:cs="Times New Roman"/>
          <w:sz w:val="32"/>
          <w:szCs w:val="22"/>
          <w:lang w:val="en-US" w:eastAsia="zh-CN"/>
        </w:rPr>
        <w:t>年</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22"/>
          <w:lang w:val="en-US" w:eastAsia="zh-CN"/>
        </w:rPr>
        <w:t>月</w:t>
      </w:r>
      <w:r>
        <w:rPr>
          <w:rFonts w:hint="eastAsia"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22"/>
          <w:lang w:val="en-US" w:eastAsia="zh-CN"/>
        </w:rPr>
        <w:t>日</w:t>
      </w:r>
    </w:p>
    <w:p>
      <w:pPr>
        <w:rPr>
          <w:rFonts w:hint="eastAsia" w:ascii="Times New Roman" w:hAnsi="Times New Roman" w:eastAsia="方正仿宋_GBK" w:cs="Times New Roman"/>
          <w:sz w:val="32"/>
          <w:szCs w:val="22"/>
          <w:lang w:val="en-US" w:eastAsia="zh-CN"/>
        </w:rPr>
        <w:sectPr>
          <w:footerReference r:id="rId3" w:type="default"/>
          <w:type w:val="continuous"/>
          <w:pgSz w:w="11907" w:h="16840"/>
          <w:pgMar w:top="1984" w:right="1446" w:bottom="1644" w:left="1446" w:header="851" w:footer="1474" w:gutter="0"/>
          <w:pgNumType w:fmt="decimalFullWidth" w:start="1"/>
          <w:cols w:space="0" w:num="1"/>
          <w:rtlGutter w:val="0"/>
          <w:docGrid w:type="linesAndChars" w:linePitch="601" w:charSpace="5474"/>
        </w:sectPr>
      </w:pPr>
      <w:r>
        <w:rPr>
          <w:rFonts w:hint="eastAsia" w:ascii="Times New Roman" w:hAnsi="Times New Roman" w:eastAsia="方正仿宋_GBK" w:cs="Times New Roman"/>
          <w:sz w:val="32"/>
          <w:szCs w:val="22"/>
          <w:lang w:val="en-US" w:eastAsia="zh-CN"/>
        </w:rPr>
        <w:br w:type="page"/>
      </w:r>
    </w:p>
    <w:p>
      <w:pPr>
        <w:keepNext w:val="0"/>
        <w:keepLines w:val="0"/>
        <w:pageBreakBefore w:val="0"/>
        <w:widowControl w:val="0"/>
        <w:kinsoku/>
        <w:wordWrap/>
        <w:overflowPunct w:val="0"/>
        <w:topLinePunct w:val="0"/>
        <w:autoSpaceDE/>
        <w:autoSpaceDN/>
        <w:bidi w:val="0"/>
        <w:adjustRightInd/>
        <w:snapToGrid/>
        <w:spacing w:line="580" w:lineRule="exact"/>
        <w:textAlignment w:val="auto"/>
        <w:rPr>
          <w:rFonts w:hint="eastAsia" w:ascii="Times New Roman" w:hAnsi="Times New Roman" w:eastAsia="方正黑体_GBK" w:cs="Times New Roman"/>
          <w:sz w:val="32"/>
          <w:szCs w:val="22"/>
        </w:rPr>
      </w:pPr>
      <w:r>
        <w:rPr>
          <w:rFonts w:hint="eastAsia" w:ascii="Times New Roman" w:hAnsi="Times New Roman" w:eastAsia="方正黑体_GBK" w:cs="Times New Roman"/>
          <w:sz w:val="32"/>
          <w:szCs w:val="22"/>
        </w:rPr>
        <w:t>附件</w:t>
      </w:r>
    </w:p>
    <w:p>
      <w:pPr>
        <w:snapToGrid w:val="0"/>
        <w:spacing w:line="600" w:lineRule="exact"/>
        <w:ind w:firstLine="720"/>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lang w:val="en-US" w:eastAsia="zh-CN"/>
        </w:rPr>
        <w:t>第三批</w:t>
      </w:r>
      <w:r>
        <w:rPr>
          <w:rFonts w:hint="eastAsia" w:ascii="方正小标宋_GBK" w:hAnsi="宋体" w:eastAsia="方正小标宋_GBK" w:cs="宋体"/>
          <w:bCs/>
          <w:color w:val="000000"/>
          <w:sz w:val="44"/>
          <w:szCs w:val="44"/>
        </w:rPr>
        <w:t>国家组织药品集中采购</w:t>
      </w:r>
      <w:r>
        <w:rPr>
          <w:rFonts w:hint="eastAsia" w:ascii="方正小标宋_GBK" w:hAnsi="宋体" w:eastAsia="方正小标宋_GBK" w:cs="宋体"/>
          <w:bCs/>
          <w:color w:val="000000"/>
          <w:sz w:val="44"/>
          <w:szCs w:val="44"/>
          <w:lang w:val="en-US" w:eastAsia="zh-CN"/>
        </w:rPr>
        <w:t>沙坪坝区</w:t>
      </w:r>
      <w:r>
        <w:rPr>
          <w:rFonts w:hint="eastAsia" w:ascii="方正小标宋_GBK" w:hAnsi="宋体" w:eastAsia="方正小标宋_GBK" w:cs="宋体"/>
          <w:bCs/>
          <w:color w:val="000000"/>
          <w:sz w:val="44"/>
          <w:szCs w:val="44"/>
        </w:rPr>
        <w:t>医疗机构</w:t>
      </w:r>
    </w:p>
    <w:p>
      <w:pPr>
        <w:snapToGrid w:val="0"/>
        <w:spacing w:line="600" w:lineRule="exact"/>
        <w:ind w:firstLine="720"/>
        <w:jc w:val="center"/>
        <w:rPr>
          <w:rFonts w:hint="eastAsia" w:ascii="方正小标宋_GBK" w:hAnsi="宋体" w:eastAsia="方正小标宋_GBK" w:cs="宋体"/>
          <w:bCs/>
          <w:color w:val="000000"/>
          <w:sz w:val="44"/>
          <w:szCs w:val="44"/>
        </w:rPr>
      </w:pPr>
      <w:r>
        <w:rPr>
          <w:rFonts w:hint="eastAsia" w:ascii="方正小标宋_GBK" w:hAnsi="宋体" w:eastAsia="方正小标宋_GBK" w:cs="宋体"/>
          <w:bCs/>
          <w:color w:val="000000"/>
          <w:sz w:val="44"/>
          <w:szCs w:val="44"/>
        </w:rPr>
        <w:t>医保资金结余留用情况表</w:t>
      </w:r>
    </w:p>
    <w:p>
      <w:pPr>
        <w:snapToGrid w:val="0"/>
        <w:spacing w:line="600" w:lineRule="exact"/>
        <w:ind w:firstLine="562"/>
        <w:jc w:val="right"/>
        <w:rPr>
          <w:rFonts w:hint="eastAsia" w:ascii="方正楷体_GBK" w:hAnsi="方正楷体_GBK" w:eastAsia="方正楷体_GBK" w:cs="方正楷体_GBK"/>
          <w:color w:val="000000"/>
          <w:sz w:val="28"/>
          <w:szCs w:val="28"/>
        </w:rPr>
      </w:pPr>
      <w:r>
        <w:rPr>
          <w:rFonts w:hint="eastAsia" w:ascii="宋体" w:hAnsi="宋体" w:eastAsia="宋体" w:cs="宋体"/>
          <w:b/>
          <w:bCs/>
          <w:color w:val="000000"/>
          <w:sz w:val="28"/>
          <w:szCs w:val="28"/>
        </w:rPr>
        <w:t xml:space="preserve">  </w:t>
      </w:r>
      <w:r>
        <w:rPr>
          <w:rFonts w:hint="eastAsia" w:ascii="方正楷体_GBK" w:hAnsi="方正楷体_GBK" w:eastAsia="方正楷体_GBK" w:cs="方正楷体_GBK"/>
          <w:b/>
          <w:bCs/>
          <w:color w:val="000000"/>
          <w:sz w:val="28"/>
          <w:szCs w:val="28"/>
        </w:rPr>
        <w:t xml:space="preserve">         </w:t>
      </w:r>
      <w:r>
        <w:rPr>
          <w:rFonts w:hint="eastAsia" w:ascii="方正楷体_GBK" w:hAnsi="方正楷体_GBK" w:eastAsia="方正楷体_GBK" w:cs="方正楷体_GBK"/>
          <w:b w:val="0"/>
          <w:bCs w:val="0"/>
          <w:color w:val="000000"/>
          <w:sz w:val="28"/>
          <w:szCs w:val="28"/>
        </w:rPr>
        <w:t xml:space="preserve"> 单位：元</w:t>
      </w:r>
    </w:p>
    <w:tbl>
      <w:tblPr>
        <w:tblStyle w:val="17"/>
        <w:tblW w:w="142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0"/>
        <w:gridCol w:w="9060"/>
        <w:gridCol w:w="1660"/>
        <w:gridCol w:w="1240"/>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exact"/>
          <w:tblHeader/>
          <w:jc w:val="center"/>
        </w:trPr>
        <w:tc>
          <w:tcPr>
            <w:tcW w:w="980" w:type="dxa"/>
            <w:vAlign w:val="center"/>
          </w:tcPr>
          <w:p>
            <w:pPr>
              <w:ind w:firstLine="2" w:firstLineChars="0"/>
              <w:jc w:val="center"/>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序号</w:t>
            </w:r>
          </w:p>
        </w:tc>
        <w:tc>
          <w:tcPr>
            <w:tcW w:w="9060" w:type="dxa"/>
            <w:vAlign w:val="center"/>
          </w:tcPr>
          <w:p>
            <w:pPr>
              <w:keepNext w:val="0"/>
              <w:keepLines w:val="0"/>
              <w:pageBreakBefore w:val="0"/>
              <w:widowControl w:val="0"/>
              <w:kinsoku/>
              <w:wordWrap/>
              <w:overflowPunct/>
              <w:topLinePunct w:val="0"/>
              <w:autoSpaceDE/>
              <w:autoSpaceDN/>
              <w:bidi w:val="0"/>
              <w:adjustRightInd/>
              <w:snapToGrid/>
              <w:ind w:firstLine="0"/>
              <w:jc w:val="center"/>
              <w:textAlignment w:val="auto"/>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医疗机构名称</w:t>
            </w:r>
          </w:p>
        </w:tc>
        <w:tc>
          <w:tcPr>
            <w:tcW w:w="166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结余留用</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金额</w:t>
            </w:r>
          </w:p>
        </w:tc>
        <w:tc>
          <w:tcPr>
            <w:tcW w:w="124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职工</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医保</w:t>
            </w:r>
          </w:p>
        </w:tc>
        <w:tc>
          <w:tcPr>
            <w:tcW w:w="1280"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居民</w:t>
            </w:r>
          </w:p>
          <w:p>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outlineLvl w:val="9"/>
              <w:rPr>
                <w:rFonts w:hint="eastAsia" w:ascii="方正黑体_GBK" w:hAnsi="方正黑体_GBK" w:eastAsia="方正黑体_GBK" w:cs="方正黑体_GBK"/>
                <w:b w:val="0"/>
                <w:bCs w:val="0"/>
                <w:color w:val="000000"/>
                <w:sz w:val="28"/>
                <w:szCs w:val="28"/>
              </w:rPr>
            </w:pPr>
            <w:r>
              <w:rPr>
                <w:rFonts w:hint="eastAsia" w:ascii="方正黑体_GBK" w:hAnsi="方正黑体_GBK" w:eastAsia="方正黑体_GBK" w:cs="方正黑体_GBK"/>
                <w:b w:val="0"/>
                <w:bCs w:val="0"/>
                <w:color w:val="000000"/>
                <w:sz w:val="28"/>
                <w:szCs w:val="28"/>
              </w:rPr>
              <w:t>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i w:val="0"/>
                <w:iCs w:val="0"/>
                <w:color w:val="000000"/>
                <w:kern w:val="0"/>
                <w:sz w:val="24"/>
                <w:szCs w:val="24"/>
                <w:u w:val="none"/>
                <w:lang w:val="en-US" w:eastAsia="zh-CN" w:bidi="ar"/>
              </w:rPr>
              <w:t>1</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重庆市沙坪坝区覃家岗街道社区卫生服务中心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13133.97</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6926.86</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6207.11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重庆市沙坪坝区中西医结合医院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77870.87</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41069.10</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36801.77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3</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重庆市沙坪坝区土主社区卫生服务中心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20320.09</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10716.82</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9603.27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4</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重庆市沙坪坝区土湾社区卫生服务中心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17939.21</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9461.14</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8478.07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5</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西南政法大学沙坪坝校区综合门诊部</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49.89</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26.31</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6</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四川外国语大学医院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4073.21</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2148.21</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1925.00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7</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重庆市沙坪坝区妇幼保健院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1107.17</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583.92</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523.25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8</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重庆市沙坪坝区新桥街道社区卫生服务中心，重庆市沙坪坝区新桥社区医院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43917.83</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23162.26</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20755.57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9</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重庆歌乐山老年康复医院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3596.31</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1896.69</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1699.62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10</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重庆市沙坪坝区井口社区卫生服务中心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49063.42</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25876.05</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23187.37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11</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重庆市沙坪坝区青木关镇卫生院（重庆市沙坪坝区青木关社区卫生服务中心）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49348.08</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26026.18</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23321.90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12</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重庆市沙坪坝区中梁镇卫生院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8744.30</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4611.74</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4132.56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13</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重庆市沙坪坝区小龙坎社区卫生服务中心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9489.66</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5004.85</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4484.81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14</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重庆市沙坪坝区渝碚路社区卫生服务中心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14957.27</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7888.46</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7068.81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15</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重庆市沙坪坝区陈家桥医院（重庆医药高等专科学校附属医院）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204294.76</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107745.06</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96549.70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16</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重庆市沙坪坝区回龙坝镇卫生院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105064.79</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55411.17</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49653.62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17</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重庆市沙坪坝区石井坡社区卫生服务中心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36650.63</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19329.54</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17321.09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18</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重庆市沙坪坝区童家桥社区卫生服务中心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31410.75</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16566.03</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14844.72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19</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重庆师范大学医院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1120.24</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590.81</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529.43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20</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重庆市沙坪坝区双碑社区卫生服务中心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36538.93</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19270.63</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17268.30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21</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重庆市沙坪坝区陈家桥社区卫生服务中心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30362.53</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16013.20</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14349.33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22</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重庆大学医院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100224.31</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52858.30</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47366.01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23</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重庆市沙坪坝区中医院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37341.40</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19693.85</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17647.55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24</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重庆市沙坪坝区歌乐山社区卫生服务中心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60569.99</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31944.61</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28625.38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25</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重庆市沙坪坝区联芳社区卫生服务中心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4421.29</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2331.79</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2089.50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i w:val="0"/>
                <w:iCs w:val="0"/>
                <w:color w:val="000000"/>
                <w:kern w:val="0"/>
                <w:sz w:val="24"/>
                <w:szCs w:val="24"/>
                <w:u w:val="none"/>
                <w:lang w:val="en-US" w:eastAsia="zh-CN" w:bidi="ar"/>
              </w:rPr>
              <w:t>26</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重庆市沙坪坝区凤凰镇卫生院（重庆市沙坪坝区凤凰社区卫生服务中心、重庆市沙坪坝区凤凰镇公共卫生管理中心）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50566.45</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26668.75</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23897.70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i w:val="0"/>
                <w:iCs w:val="0"/>
                <w:color w:val="000000"/>
                <w:kern w:val="0"/>
                <w:sz w:val="24"/>
                <w:szCs w:val="24"/>
                <w:u w:val="none"/>
                <w:lang w:val="en-US" w:eastAsia="zh-CN" w:bidi="ar"/>
              </w:rPr>
              <w:t>27</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重庆市沙坪坝区磁器口社区卫生服务中心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335.46</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176.92</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158.54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lang w:val="en-US"/>
              </w:rPr>
            </w:pPr>
            <w:r>
              <w:rPr>
                <w:rFonts w:hint="default" w:ascii="Times New Roman" w:hAnsi="Times New Roman" w:eastAsia="方正仿宋_GBK" w:cs="Times New Roman"/>
                <w:i w:val="0"/>
                <w:iCs w:val="0"/>
                <w:color w:val="000000"/>
                <w:kern w:val="0"/>
                <w:sz w:val="24"/>
                <w:szCs w:val="24"/>
                <w:u w:val="none"/>
                <w:lang w:val="en-US" w:eastAsia="zh-CN" w:bidi="ar"/>
              </w:rPr>
              <w:t>28</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重庆市沙坪坝区精神卫生中心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46612.44</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24583.40</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22029.04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29</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color w:val="000000"/>
                <w:sz w:val="24"/>
                <w:szCs w:val="24"/>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重庆市沙坪坝区沙坪坝社区卫生服务中心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28193.61</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14869.31</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sz w:val="24"/>
                <w:szCs w:val="24"/>
              </w:rPr>
            </w:pPr>
            <w:r>
              <w:rPr>
                <w:rFonts w:hint="default" w:ascii="Times New Roman" w:hAnsi="Times New Roman" w:eastAsia="宋体" w:cs="Times New Roman"/>
                <w:i w:val="0"/>
                <w:iCs w:val="0"/>
                <w:color w:val="000000"/>
                <w:kern w:val="0"/>
                <w:sz w:val="24"/>
                <w:szCs w:val="24"/>
                <w:u w:val="none"/>
                <w:lang w:val="en-US" w:eastAsia="zh-CN" w:bidi="ar"/>
              </w:rPr>
              <w:t>13324.30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30</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重庆市沙坪坝区人民医院</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1727898.62</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911293.73</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816604.89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exact"/>
          <w:tblHeader/>
          <w:jc w:val="center"/>
        </w:trPr>
        <w:tc>
          <w:tcPr>
            <w:tcW w:w="980" w:type="dxa"/>
            <w:vAlign w:val="center"/>
          </w:tcPr>
          <w:p>
            <w:pPr>
              <w:keepNext w:val="0"/>
              <w:keepLines w:val="0"/>
              <w:widowControl/>
              <w:suppressLineNumbers w:val="0"/>
              <w:jc w:val="center"/>
              <w:textAlignment w:val="center"/>
              <w:rPr>
                <w:rFonts w:hint="default" w:ascii="Times New Roman" w:hAnsi="Times New Roman" w:eastAsia="方正仿宋_GBK" w:cs="Times New Roman"/>
                <w:i w:val="0"/>
                <w:iCs w:val="0"/>
                <w:color w:val="000000"/>
                <w:kern w:val="0"/>
                <w:sz w:val="24"/>
                <w:szCs w:val="24"/>
                <w:u w:val="none"/>
                <w:lang w:val="en-US" w:eastAsia="zh-CN" w:bidi="ar"/>
              </w:rPr>
            </w:pPr>
            <w:r>
              <w:rPr>
                <w:rFonts w:hint="default" w:ascii="Times New Roman" w:hAnsi="Times New Roman" w:eastAsia="方正仿宋_GBK" w:cs="Times New Roman"/>
                <w:i w:val="0"/>
                <w:iCs w:val="0"/>
                <w:color w:val="000000"/>
                <w:kern w:val="0"/>
                <w:sz w:val="24"/>
                <w:szCs w:val="24"/>
                <w:u w:val="none"/>
                <w:lang w:val="en-US" w:eastAsia="zh-CN" w:bidi="ar"/>
              </w:rPr>
              <w:t>31</w:t>
            </w:r>
          </w:p>
        </w:tc>
        <w:tc>
          <w:tcPr>
            <w:tcW w:w="9060" w:type="dxa"/>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t>重庆市沙坪坝区天星桥社区卫生服务中心</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105385.79</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55580.47</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49805.32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exact"/>
          <w:tblHeader/>
          <w:jc w:val="center"/>
        </w:trPr>
        <w:tc>
          <w:tcPr>
            <w:tcW w:w="10040" w:type="dxa"/>
            <w:gridSpan w:val="2"/>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color w:val="000000"/>
                <w:sz w:val="24"/>
                <w:szCs w:val="24"/>
                <w:lang w:val="en-US" w:eastAsia="zh-CN"/>
              </w:rPr>
              <w:t>合计</w:t>
            </w:r>
          </w:p>
        </w:tc>
        <w:tc>
          <w:tcPr>
            <w:tcW w:w="166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2920603.27</w:t>
            </w:r>
          </w:p>
        </w:tc>
        <w:tc>
          <w:tcPr>
            <w:tcW w:w="124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1540326.16</w:t>
            </w:r>
          </w:p>
        </w:tc>
        <w:tc>
          <w:tcPr>
            <w:tcW w:w="1280" w:type="dxa"/>
            <w:vAlign w:val="center"/>
          </w:tcPr>
          <w:p>
            <w:pPr>
              <w:keepNext w:val="0"/>
              <w:keepLines w:val="0"/>
              <w:widowControl/>
              <w:suppressLineNumbers w:val="0"/>
              <w:jc w:val="center"/>
              <w:textAlignment w:val="center"/>
              <w:rPr>
                <w:rFonts w:hint="default" w:ascii="Times New Roman" w:hAnsi="Times New Roman" w:eastAsia="方正仿宋_GBK" w:cs="Times New Roman"/>
                <w:color w:val="000000"/>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1380277.11</w:t>
            </w:r>
          </w:p>
        </w:tc>
      </w:tr>
    </w:tbl>
    <w:p>
      <w:pPr>
        <w:rPr>
          <w:rFonts w:hint="eastAsia"/>
          <w:lang w:val="en-US" w:eastAsia="zh-CN"/>
        </w:rPr>
        <w:sectPr>
          <w:type w:val="continuous"/>
          <w:pgSz w:w="16840" w:h="11907" w:orient="landscape"/>
          <w:pgMar w:top="1446" w:right="1984" w:bottom="1446" w:left="1644" w:header="851" w:footer="1474" w:gutter="0"/>
          <w:pgNumType w:fmt="decimalFullWidth"/>
          <w:cols w:space="0" w:num="1"/>
          <w:rtlGutter w:val="0"/>
          <w:docGrid w:type="linesAndChars" w:linePitch="601" w:charSpace="5474"/>
        </w:sectPr>
      </w:pPr>
    </w:p>
    <w:p>
      <w:pPr>
        <w:rPr>
          <w:rFonts w:hint="eastAsia"/>
          <w:lang w:val="en-US" w:eastAsia="zh-CN"/>
        </w:rPr>
      </w:pPr>
    </w:p>
    <w:tbl>
      <w:tblPr>
        <w:tblStyle w:val="17"/>
        <w:tblpPr w:leftFromText="180" w:rightFromText="180" w:vertAnchor="text" w:horzAnchor="page" w:tblpX="1473" w:tblpY="11759"/>
        <w:tblW w:w="9100"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0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PrEx>
        <w:trPr>
          <w:trHeight w:val="734" w:hRule="exact"/>
        </w:trPr>
        <w:tc>
          <w:tcPr>
            <w:tcW w:w="9100" w:type="dxa"/>
          </w:tcPr>
          <w:p>
            <w:pPr>
              <w:spacing w:line="600" w:lineRule="exact"/>
              <w:rPr>
                <w:rFonts w:hint="eastAsia" w:ascii="Times New Roman" w:hAnsi="Times New Roman" w:eastAsia="方正仿宋_GBK"/>
                <w:lang w:eastAsia="zh-CN"/>
              </w:rPr>
            </w:pPr>
            <w:r>
              <w:rPr>
                <w:rFonts w:hint="eastAsia"/>
              </w:rPr>
              <w:t xml:space="preserve"> </w:t>
            </w:r>
            <w:r>
              <w:rPr>
                <w:rFonts w:hint="eastAsia" w:ascii="方正仿宋_GBK" w:hAnsi="方正仿宋_GBK" w:cs="方正仿宋_GBK"/>
                <w:sz w:val="28"/>
                <w:szCs w:val="28"/>
              </w:rPr>
              <w:t xml:space="preserve">重庆市沙坪坝区医疗保障局办公室  </w:t>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rPr>
              <w:t xml:space="preserve"> </w:t>
            </w:r>
            <w:r>
              <w:rPr>
                <w:rFonts w:hint="eastAsia" w:ascii="方正仿宋_GBK" w:hAnsi="方正仿宋_GBK" w:cs="方正仿宋_GBK"/>
                <w:sz w:val="28"/>
                <w:szCs w:val="28"/>
                <w:lang w:val="en-US" w:eastAsia="zh-CN"/>
              </w:rPr>
              <w:t xml:space="preserve"> </w:t>
            </w:r>
            <w:r>
              <w:rPr>
                <w:rFonts w:hint="eastAsia" w:ascii="方正仿宋_GBK" w:hAnsi="方正仿宋_GBK" w:cs="方正仿宋_GBK"/>
                <w:sz w:val="28"/>
                <w:szCs w:val="28"/>
              </w:rPr>
              <w:t xml:space="preserve">  </w:t>
            </w:r>
            <w:r>
              <w:rPr>
                <w:rFonts w:hint="default" w:ascii="Times New Roman" w:hAnsi="Times New Roman" w:cs="Times New Roman"/>
                <w:sz w:val="28"/>
                <w:szCs w:val="28"/>
                <w:lang w:val="en-US" w:eastAsia="zh-CN"/>
              </w:rPr>
              <w:t>202</w:t>
            </w:r>
            <w:r>
              <w:rPr>
                <w:rFonts w:hint="eastAsia" w:ascii="Times New Roman" w:hAnsi="Times New Roman" w:cs="Times New Roman"/>
                <w:sz w:val="28"/>
                <w:szCs w:val="28"/>
                <w:lang w:val="en-US" w:eastAsia="zh-CN"/>
              </w:rPr>
              <w:t>3</w:t>
            </w:r>
            <w:r>
              <w:rPr>
                <w:rFonts w:hint="default" w:ascii="Times New Roman" w:hAnsi="Times New Roman" w:cs="Times New Roman"/>
                <w:sz w:val="28"/>
                <w:szCs w:val="28"/>
              </w:rPr>
              <w:t>年</w:t>
            </w:r>
            <w:r>
              <w:rPr>
                <w:rFonts w:hint="eastAsia" w:cs="Times New Roman"/>
                <w:sz w:val="28"/>
                <w:szCs w:val="28"/>
                <w:lang w:val="en-US" w:eastAsia="zh-CN"/>
              </w:rPr>
              <w:t>2</w:t>
            </w:r>
            <w:r>
              <w:rPr>
                <w:rFonts w:hint="default" w:ascii="Times New Roman" w:hAnsi="Times New Roman" w:cs="Times New Roman"/>
                <w:sz w:val="28"/>
                <w:szCs w:val="28"/>
              </w:rPr>
              <w:t>月</w:t>
            </w:r>
            <w:r>
              <w:rPr>
                <w:rFonts w:hint="eastAsia" w:ascii="Times New Roman" w:hAnsi="Times New Roman" w:cs="Times New Roman"/>
                <w:sz w:val="28"/>
                <w:szCs w:val="28"/>
                <w:lang w:val="en-US" w:eastAsia="zh-CN"/>
              </w:rPr>
              <w:t>1</w:t>
            </w:r>
            <w:r>
              <w:rPr>
                <w:rFonts w:hint="eastAsia" w:ascii="方正仿宋_GBK" w:hAnsi="方正仿宋_GBK" w:cs="方正仿宋_GBK"/>
                <w:sz w:val="28"/>
                <w:szCs w:val="28"/>
              </w:rPr>
              <w:t>日印</w:t>
            </w:r>
            <w:r>
              <w:rPr>
                <w:rFonts w:hint="eastAsia" w:ascii="方正仿宋_GBK" w:hAnsi="方正仿宋_GBK" w:cs="方正仿宋_GBK"/>
                <w:sz w:val="28"/>
                <w:szCs w:val="28"/>
                <w:lang w:eastAsia="zh-CN"/>
              </w:rPr>
              <w:t>发</w:t>
            </w:r>
          </w:p>
        </w:tc>
      </w:tr>
    </w:tbl>
    <w:p>
      <w:pPr>
        <w:rPr>
          <w:rFonts w:hint="eastAsia"/>
          <w:lang w:val="en-US" w:eastAsia="zh-CN"/>
        </w:rPr>
      </w:pPr>
    </w:p>
    <w:sectPr>
      <w:type w:val="continuous"/>
      <w:pgSz w:w="11907" w:h="16840"/>
      <w:pgMar w:top="1984" w:right="1446" w:bottom="1644" w:left="1446" w:header="851" w:footer="1474" w:gutter="0"/>
      <w:pgNumType w:fmt="decimalFullWidth"/>
      <w:cols w:space="0" w:num="1"/>
      <w:rtlGutter w:val="0"/>
      <w:docGrid w:type="linesAndChars" w:linePitch="601" w:charSpace="5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50800</wp:posOffset>
              </wp:positionV>
              <wp:extent cx="793750" cy="3009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3750" cy="3009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4pt;height:23.7pt;width:62.5pt;mso-position-horizontal:outside;mso-position-horizontal-relative:margin;z-index:251658240;mso-width-relative:page;mso-height-relative:page;" filled="f" stroked="f" coordsize="21600,21600" o:gfxdata="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rIrHNQAAAAFAQAADwAAAAAA&#10;AAABACAAAAAiAAAAZHJzL2Rvd25yZXYueG1sUEsBAhQAFAAAAAgAh07iQFHXCbcXAgAAEwQAAA4A&#10;AAAAAAAAAQAgAAAAIwEAAGRycy9lMm9Eb2MueG1sUEsFBgAAAAAGAAYAWQEAAKwFAAAAAA==&#10;">
              <v:fill on="f" focussize="0,0"/>
              <v:stroke on="f" weight="0.5pt"/>
              <v:imagedata o:title=""/>
              <o:lock v:ext="edit" aspectratio="f"/>
              <v:textbox inset="0mm,0mm,0mm,0mm">
                <w:txbxContent>
                  <w:p>
                    <w:pPr>
                      <w:pStyle w:val="1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73"/>
  <w:drawingGridVerticalSpacing w:val="300"/>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xNzk3ZjhmMDg4MjRjZWYxMmIwNTg2ZDAxODQ5NGUifQ=="/>
  </w:docVars>
  <w:rsids>
    <w:rsidRoot w:val="00E040C2"/>
    <w:rsid w:val="0001375E"/>
    <w:rsid w:val="000B4DAC"/>
    <w:rsid w:val="00117BAB"/>
    <w:rsid w:val="00125752"/>
    <w:rsid w:val="00204FE2"/>
    <w:rsid w:val="00262F82"/>
    <w:rsid w:val="00284433"/>
    <w:rsid w:val="003F7860"/>
    <w:rsid w:val="00410732"/>
    <w:rsid w:val="00430F19"/>
    <w:rsid w:val="0045533E"/>
    <w:rsid w:val="005449ED"/>
    <w:rsid w:val="005C10FD"/>
    <w:rsid w:val="005F5300"/>
    <w:rsid w:val="006864A6"/>
    <w:rsid w:val="006920CD"/>
    <w:rsid w:val="006A3B29"/>
    <w:rsid w:val="006A5C82"/>
    <w:rsid w:val="007103B0"/>
    <w:rsid w:val="00752857"/>
    <w:rsid w:val="0078559C"/>
    <w:rsid w:val="0082235A"/>
    <w:rsid w:val="008562AA"/>
    <w:rsid w:val="00893BB2"/>
    <w:rsid w:val="00931E44"/>
    <w:rsid w:val="0097752B"/>
    <w:rsid w:val="009F6151"/>
    <w:rsid w:val="00A37A75"/>
    <w:rsid w:val="00A41CAB"/>
    <w:rsid w:val="00A437EA"/>
    <w:rsid w:val="00B05115"/>
    <w:rsid w:val="00B132B2"/>
    <w:rsid w:val="00B464BC"/>
    <w:rsid w:val="00B96A6A"/>
    <w:rsid w:val="00C84B3F"/>
    <w:rsid w:val="00DF170F"/>
    <w:rsid w:val="00E040C2"/>
    <w:rsid w:val="00E43AB0"/>
    <w:rsid w:val="00E84F93"/>
    <w:rsid w:val="00F300AA"/>
    <w:rsid w:val="00F855C1"/>
    <w:rsid w:val="00FD09FF"/>
    <w:rsid w:val="0A0A7B10"/>
    <w:rsid w:val="0C705B42"/>
    <w:rsid w:val="0CC45579"/>
    <w:rsid w:val="0DCB39F7"/>
    <w:rsid w:val="16A07A1D"/>
    <w:rsid w:val="18CD2BC7"/>
    <w:rsid w:val="1DED6AED"/>
    <w:rsid w:val="21A72DBE"/>
    <w:rsid w:val="21E2623C"/>
    <w:rsid w:val="2ABF221F"/>
    <w:rsid w:val="2DE4305C"/>
    <w:rsid w:val="315B45B1"/>
    <w:rsid w:val="330C56C2"/>
    <w:rsid w:val="33B154BC"/>
    <w:rsid w:val="33D32452"/>
    <w:rsid w:val="34A50474"/>
    <w:rsid w:val="34B24354"/>
    <w:rsid w:val="35D9589F"/>
    <w:rsid w:val="37503965"/>
    <w:rsid w:val="38372BDA"/>
    <w:rsid w:val="39CA5601"/>
    <w:rsid w:val="3DA4545D"/>
    <w:rsid w:val="42207CCD"/>
    <w:rsid w:val="42802BFD"/>
    <w:rsid w:val="4BE861A3"/>
    <w:rsid w:val="50AD5E96"/>
    <w:rsid w:val="540028CB"/>
    <w:rsid w:val="5B431FC5"/>
    <w:rsid w:val="5C610257"/>
    <w:rsid w:val="5C783A6A"/>
    <w:rsid w:val="5F4E6945"/>
    <w:rsid w:val="5F6F3CF1"/>
    <w:rsid w:val="60753C41"/>
    <w:rsid w:val="614C6D6D"/>
    <w:rsid w:val="62A225C3"/>
    <w:rsid w:val="63A87B3A"/>
    <w:rsid w:val="64E56B4C"/>
    <w:rsid w:val="657D0D59"/>
    <w:rsid w:val="65886B6B"/>
    <w:rsid w:val="65BB2E08"/>
    <w:rsid w:val="67736E9D"/>
    <w:rsid w:val="69707D6A"/>
    <w:rsid w:val="6B7B13D3"/>
    <w:rsid w:val="6C6D7F47"/>
    <w:rsid w:val="6ED5651E"/>
    <w:rsid w:val="6F493A98"/>
    <w:rsid w:val="6F4C261C"/>
    <w:rsid w:val="718B4ED1"/>
    <w:rsid w:val="72507D7D"/>
    <w:rsid w:val="747D3C2E"/>
    <w:rsid w:val="757445CB"/>
    <w:rsid w:val="75B16EFD"/>
    <w:rsid w:val="771B412F"/>
    <w:rsid w:val="79C75666"/>
    <w:rsid w:val="7AA46A26"/>
    <w:rsid w:val="7DC325F9"/>
    <w:rsid w:val="7E837DF7"/>
    <w:rsid w:val="7EB117AA"/>
    <w:rsid w:val="7FFD4B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0"/>
    <w:pPr>
      <w:keepNext/>
      <w:keepLines/>
      <w:spacing w:before="280" w:after="290" w:line="376" w:lineRule="auto"/>
      <w:outlineLvl w:val="3"/>
    </w:pPr>
    <w:rPr>
      <w:rFonts w:ascii="Calibri Light" w:hAnsi="Calibri Light"/>
      <w:bCs/>
      <w:sz w:val="28"/>
      <w:szCs w:val="28"/>
    </w:rPr>
  </w:style>
  <w:style w:type="character" w:default="1" w:styleId="16">
    <w:name w:val="Default Paragraph Font"/>
    <w:semiHidden/>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520" w:lineRule="atLeast"/>
      <w:ind w:firstLine="510"/>
    </w:pPr>
    <w:rPr>
      <w:sz w:val="28"/>
      <w:szCs w:val="24"/>
    </w:rPr>
  </w:style>
  <w:style w:type="paragraph" w:styleId="5">
    <w:name w:val="Body Text"/>
    <w:basedOn w:val="1"/>
    <w:next w:val="6"/>
    <w:qFormat/>
    <w:uiPriority w:val="0"/>
    <w:rPr>
      <w:rFonts w:eastAsia="仿宋_GB2312"/>
      <w:sz w:val="32"/>
    </w:rPr>
  </w:style>
  <w:style w:type="paragraph" w:customStyle="1" w:styleId="6">
    <w:name w:val="默认"/>
    <w:qFormat/>
    <w:uiPriority w:val="0"/>
    <w:rPr>
      <w:rFonts w:ascii="Helvetica" w:hAnsi="Helvetica" w:eastAsia="Helvetica" w:cs="Times New Roman"/>
      <w:color w:val="000000"/>
      <w:sz w:val="22"/>
      <w:szCs w:val="22"/>
      <w:lang w:val="en-US" w:eastAsia="zh-CN" w:bidi="ar-SA"/>
    </w:rPr>
  </w:style>
  <w:style w:type="paragraph" w:styleId="7">
    <w:name w:val="Body Text Indent"/>
    <w:basedOn w:val="1"/>
    <w:qFormat/>
    <w:uiPriority w:val="0"/>
    <w:pPr>
      <w:spacing w:after="120"/>
      <w:ind w:left="420" w:leftChars="200"/>
    </w:pPr>
    <w:rPr>
      <w:rFonts w:ascii="等线" w:hAnsi="等线" w:eastAsia="仿宋_GB2312"/>
      <w:kern w:val="0"/>
      <w:szCs w:val="20"/>
    </w:rPr>
  </w:style>
  <w:style w:type="paragraph" w:styleId="8">
    <w:name w:val="toc 3"/>
    <w:basedOn w:val="1"/>
    <w:next w:val="1"/>
    <w:unhideWhenUsed/>
    <w:qFormat/>
    <w:uiPriority w:val="39"/>
    <w:pPr>
      <w:widowControl/>
      <w:spacing w:after="100" w:line="259" w:lineRule="auto"/>
      <w:ind w:left="440"/>
      <w:jc w:val="left"/>
    </w:pPr>
    <w:rPr>
      <w:rFonts w:cs="Times New Roman"/>
      <w:kern w:val="0"/>
      <w:sz w:val="22"/>
      <w:szCs w:val="22"/>
    </w:rPr>
  </w:style>
  <w:style w:type="paragraph" w:styleId="9">
    <w:name w:val="Plain Text"/>
    <w:basedOn w:val="1"/>
    <w:qFormat/>
    <w:uiPriority w:val="0"/>
    <w:rPr>
      <w:rFonts w:ascii="宋体" w:hAnsi="Courier New" w:cs="Courier New"/>
      <w:szCs w:val="21"/>
    </w:rPr>
  </w:style>
  <w:style w:type="paragraph" w:styleId="10">
    <w:name w:val="Date"/>
    <w:basedOn w:val="1"/>
    <w:next w:val="1"/>
    <w:qFormat/>
    <w:uiPriority w:val="0"/>
    <w:pPr>
      <w:ind w:leftChars="2500"/>
    </w:pPr>
    <w:rPr>
      <w:rFonts w:hint="eastAsia" w:ascii="仿宋_GB2312" w:eastAsia="仿宋_GB2312"/>
      <w:sz w:val="32"/>
      <w:szCs w:val="32"/>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widowControl/>
      <w:spacing w:after="100" w:line="259" w:lineRule="auto"/>
      <w:jc w:val="left"/>
    </w:pPr>
    <w:rPr>
      <w:rFonts w:cs="Times New Roman"/>
      <w:kern w:val="0"/>
      <w:sz w:val="22"/>
      <w:szCs w:val="22"/>
    </w:rPr>
  </w:style>
  <w:style w:type="paragraph" w:styleId="15">
    <w:name w:val="toc 2"/>
    <w:basedOn w:val="1"/>
    <w:next w:val="1"/>
    <w:unhideWhenUsed/>
    <w:qFormat/>
    <w:uiPriority w:val="39"/>
    <w:pPr>
      <w:widowControl/>
      <w:spacing w:after="100" w:line="259" w:lineRule="auto"/>
      <w:ind w:left="220"/>
      <w:jc w:val="left"/>
    </w:pPr>
    <w:rPr>
      <w:rFonts w:cs="Times New Roman"/>
      <w:kern w:val="0"/>
      <w:sz w:val="22"/>
      <w:szCs w:val="2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9">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0">
    <w:name w:val="font11"/>
    <w:basedOn w:val="16"/>
    <w:qFormat/>
    <w:uiPriority w:val="0"/>
    <w:rPr>
      <w:rFonts w:hint="eastAsia" w:ascii="方正仿宋_GBK" w:hAnsi="方正仿宋_GBK" w:eastAsia="方正仿宋_GBK" w:cs="方正仿宋_GBK"/>
      <w:color w:val="000000"/>
      <w:sz w:val="28"/>
      <w:szCs w:val="28"/>
      <w:u w:val="none"/>
    </w:rPr>
  </w:style>
  <w:style w:type="character" w:customStyle="1" w:styleId="21">
    <w:name w:val="font31"/>
    <w:basedOn w:val="16"/>
    <w:qFormat/>
    <w:uiPriority w:val="0"/>
    <w:rPr>
      <w:rFonts w:ascii="Calibri" w:hAnsi="Calibri" w:cs="Calibri"/>
      <w:color w:val="000000"/>
      <w:sz w:val="28"/>
      <w:szCs w:val="28"/>
      <w:u w:val="none"/>
    </w:rPr>
  </w:style>
  <w:style w:type="character" w:customStyle="1" w:styleId="22">
    <w:name w:val="font01"/>
    <w:basedOn w:val="16"/>
    <w:qFormat/>
    <w:uiPriority w:val="0"/>
    <w:rPr>
      <w:rFonts w:hint="default" w:ascii="Times New Roman" w:hAnsi="Times New Roman" w:cs="Times New Roman"/>
      <w:color w:val="000000"/>
      <w:sz w:val="28"/>
      <w:szCs w:val="28"/>
      <w:u w:val="none"/>
    </w:rPr>
  </w:style>
  <w:style w:type="character" w:customStyle="1" w:styleId="23">
    <w:name w:val="font21"/>
    <w:basedOn w:val="16"/>
    <w:qFormat/>
    <w:uiPriority w:val="0"/>
    <w:rPr>
      <w:rFonts w:hint="eastAsia" w:ascii="方正仿宋_GBK" w:hAnsi="方正仿宋_GBK" w:eastAsia="方正仿宋_GBK" w:cs="方正仿宋_GBK"/>
      <w:b/>
      <w:color w:val="000000"/>
      <w:sz w:val="24"/>
      <w:szCs w:val="24"/>
      <w:u w:val="none"/>
    </w:rPr>
  </w:style>
  <w:style w:type="paragraph" w:customStyle="1" w:styleId="24">
    <w:name w:val="tit"/>
    <w:qFormat/>
    <w:uiPriority w:val="0"/>
    <w:pPr>
      <w:widowControl/>
      <w:spacing w:before="100" w:beforeAutospacing="1" w:after="100" w:afterAutospacing="1"/>
      <w:jc w:val="both"/>
    </w:pPr>
    <w:rPr>
      <w:rFonts w:ascii="宋体" w:hAnsi="宋体" w:eastAsia="宋体" w:cs="宋体"/>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1125</Words>
  <Characters>1764</Characters>
  <Lines>1</Lines>
  <Paragraphs>1</Paragraphs>
  <TotalTime>18</TotalTime>
  <ScaleCrop>false</ScaleCrop>
  <LinksUpToDate>false</LinksUpToDate>
  <CharactersWithSpaces>1854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2003-04-22T01:53:00Z</dcterms:created>
  <dc:creator>user</dc:creator>
  <cp:lastModifiedBy>M1</cp:lastModifiedBy>
  <cp:lastPrinted>2022-05-31T03:30:00Z</cp:lastPrinted>
  <dcterms:modified xsi:type="dcterms:W3CDTF">2023-02-17T07:35:51Z</dcterms:modified>
  <dc:title>关于调整区城镇职工医疗保险制度</dc:title>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332335CD5EEF444D9AC6FB1B71C394F9</vt:lpwstr>
  </property>
</Properties>
</file>