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重庆市医疗保障局关于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outlineLvl w:val="9"/>
        <w:rPr>
          <w:rFonts w:hint="eastAsia" w:ascii="FZXBSK--GBK1-0" w:hAnsi="FZXBSK--GBK1-0" w:eastAsia="FZXBSK--GBK1-0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基本医疗保险待遇享受时间有关问题的通知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</w:rPr>
        <w:t>渝医保发〔2022〕7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left"/>
        <w:textAlignment w:val="auto"/>
        <w:outlineLvl w:val="9"/>
        <w:rPr>
          <w:rFonts w:hint="eastAsia" w:ascii="FZFSK--GBK1-0" w:hAnsi="FZFSK--GBK1-0" w:eastAsia="FZFSK--GBK1-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各区县（自治县）医疗保障局，两江新区社会保障局、高新区政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务服务和社会事务中心、万盛经开区人力社保局：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经研究，现就我市基本医疗保险待遇享受时间有关问题通知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一、关于2022年居民医保参保待遇享受时间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参加我市2022年城乡居民基本医疗保险，在2022年3月1日至4月30日期间参保缴费的，自完清费用的次月1日起享受居民医保待遇；对5月1日后缴费的，自完清费用之日起90日后享受居民医保待遇至今年年底。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二、关于2022年以个人身份参加职工医保接续时间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2021年12月正常享受职工医保待遇的以个人身份参加职工医保人员，2022年以个人身份接续参加职工医保，在2022年4月30日前完清全年费用的，从完清费用的次月起享受职工医保待遇，其中断缴费期间的医保待遇可追溯至2022年1月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三、关于稳定脱贫人口参加居民医保待遇享受等待期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未纳入我市低收入人口监测范围的稳定脱贫人口，其参加2022年、2023年城乡居民医保的，不设待遇享受等待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本通知自印发之日起施行。以往相关政策规定与本通知不一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致的，以本通知为准。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080" w:firstLineChars="19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重庆市医疗保障局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080" w:firstLineChars="19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2022 年4 月6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FZFSK--GBK1-0" w:hAnsi="FZFSK--GBK1-0" w:eastAsia="FZFSK--GBK1-0"/>
          <w:sz w:val="32"/>
        </w:rPr>
      </w:pPr>
    </w:p>
    <w:sectPr>
      <w:pgSz w:w="12240" w:h="15840"/>
      <w:pgMar w:top="1984" w:right="1446" w:bottom="1644" w:left="1446" w:header="720" w:footer="720" w:gutter="0"/>
      <w:paperSrc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特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2022-04-08T02:28:24Z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