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C6" w:rsidRDefault="00C845C6" w:rsidP="00C845C6">
      <w:pPr>
        <w:pStyle w:val="a3"/>
        <w:shd w:val="clear" w:color="auto" w:fill="FFFFFF"/>
        <w:spacing w:before="0" w:beforeAutospacing="0" w:after="0" w:afterAutospacing="0" w:line="600" w:lineRule="exact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附件</w:t>
      </w: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3</w:t>
      </w:r>
    </w:p>
    <w:p w:rsidR="000C46AD" w:rsidRDefault="00C845C6" w:rsidP="00C845C6">
      <w:pPr>
        <w:ind w:firstLineChars="350" w:firstLine="1540"/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</w:pPr>
      <w:proofErr w:type="gramStart"/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医</w:t>
      </w:r>
      <w:proofErr w:type="gramEnd"/>
      <w:r>
        <w:rPr>
          <w:rFonts w:ascii="Times New Roman" w:eastAsia="方正小标宋_GBK" w:hAnsi="Times New Roman" w:cs="方正小标宋_GBK" w:hint="eastAsia"/>
          <w:color w:val="000000"/>
          <w:sz w:val="44"/>
          <w:szCs w:val="44"/>
        </w:rPr>
        <w:t>保基金的预测性分析报告</w:t>
      </w:r>
    </w:p>
    <w:p w:rsidR="00C845C6" w:rsidRDefault="00C845C6" w:rsidP="00C845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63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零售药店基本情况</w:t>
      </w:r>
    </w:p>
    <w:p w:rsidR="00C845C6" w:rsidRDefault="00C845C6" w:rsidP="00C845C6">
      <w:pPr>
        <w:pStyle w:val="a3"/>
        <w:shd w:val="clear" w:color="auto" w:fill="FFFFFF"/>
        <w:spacing w:before="0" w:beforeAutospacing="0" w:after="0" w:afterAutospacing="0" w:line="600" w:lineRule="exact"/>
        <w:ind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包括药店规模、人员配比及合约、设备配备、制度建设、系统建设情况等。</w:t>
      </w:r>
    </w:p>
    <w:p w:rsidR="00C845C6" w:rsidRDefault="00C845C6" w:rsidP="00C845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63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零售药店运行情况</w:t>
      </w:r>
    </w:p>
    <w:p w:rsidR="00C845C6" w:rsidRDefault="00C845C6" w:rsidP="00C845C6">
      <w:pPr>
        <w:pStyle w:val="a3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Times New Roman" w:eastAsia="方正仿宋_GBK" w:hAnsi="Times New Roman" w:cs="方正仿宋_GBK"/>
          <w:color w:val="000000"/>
          <w:sz w:val="32"/>
          <w:szCs w:val="32"/>
        </w:rPr>
      </w:pPr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包括收支及结余，药品</w:t>
      </w:r>
      <w:proofErr w:type="gramStart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品规</w:t>
      </w:r>
      <w:proofErr w:type="gramEnd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、药品采购、药品配送、药品销售情况等。</w:t>
      </w:r>
    </w:p>
    <w:p w:rsidR="00C845C6" w:rsidRDefault="00C845C6" w:rsidP="00C845C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exact"/>
        <w:ind w:left="630"/>
        <w:rPr>
          <w:rFonts w:ascii="Times New Roman" w:eastAsia="方正黑体_GBK" w:hAnsi="Times New Roman" w:cs="方正黑体_GBK"/>
          <w:color w:val="000000"/>
          <w:sz w:val="32"/>
          <w:szCs w:val="32"/>
        </w:rPr>
      </w:pPr>
      <w:r>
        <w:rPr>
          <w:rFonts w:ascii="Times New Roman" w:eastAsia="方正黑体_GBK" w:hAnsi="Times New Roman" w:cs="方正黑体_GBK" w:hint="eastAsia"/>
          <w:color w:val="000000"/>
          <w:sz w:val="32"/>
          <w:szCs w:val="32"/>
        </w:rPr>
        <w:t>基金使用预测分析</w:t>
      </w:r>
    </w:p>
    <w:p w:rsidR="00C845C6" w:rsidRPr="00C845C6" w:rsidRDefault="00C845C6" w:rsidP="00C845C6"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包括对</w:t>
      </w:r>
      <w:proofErr w:type="gramStart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保基金使用总额预估，基金使用额度预判，保障参保人数预判，纳入</w:t>
      </w:r>
      <w:proofErr w:type="gramStart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保定点能够解决周边参保人员哪些</w:t>
      </w:r>
      <w:proofErr w:type="gramStart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医</w:t>
      </w:r>
      <w:proofErr w:type="gramEnd"/>
      <w:r>
        <w:rPr>
          <w:rFonts w:ascii="Times New Roman" w:eastAsia="方正仿宋_GBK" w:hAnsi="Times New Roman" w:cs="方正仿宋_GBK" w:hint="eastAsia"/>
          <w:color w:val="000000"/>
          <w:sz w:val="32"/>
          <w:szCs w:val="32"/>
        </w:rPr>
        <w:t>保服务上的问题等。</w:t>
      </w:r>
    </w:p>
    <w:sectPr w:rsidR="00C845C6" w:rsidRPr="00C845C6" w:rsidSect="0067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D70183"/>
    <w:multiLevelType w:val="singleLevel"/>
    <w:tmpl w:val="BAD70183"/>
    <w:lvl w:ilvl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5C6"/>
    <w:rsid w:val="006701BB"/>
    <w:rsid w:val="008C14EA"/>
    <w:rsid w:val="00B24A7A"/>
    <w:rsid w:val="00C8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845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蒋国红</dc:creator>
  <cp:lastModifiedBy>蒋国红</cp:lastModifiedBy>
  <cp:revision>1</cp:revision>
  <dcterms:created xsi:type="dcterms:W3CDTF">2021-07-05T05:58:00Z</dcterms:created>
  <dcterms:modified xsi:type="dcterms:W3CDTF">2021-07-05T06:00:00Z</dcterms:modified>
</cp:coreProperties>
</file>