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1" w:name="_GoBack"/>
      <w:bookmarkEnd w:id="1"/>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eastAsia="方正小标宋_GBK"/>
          <w:b/>
          <w:color w:val="FF0000"/>
          <w:spacing w:val="-60"/>
          <w:w w:val="50"/>
          <w:sz w:val="130"/>
          <w:szCs w:val="130"/>
        </w:rPr>
      </w:pPr>
      <w:r>
        <w:rPr>
          <w:rFonts w:hint="eastAsia" w:ascii="方正小标宋_GBK" w:eastAsia="方正小标宋_GBK"/>
          <w:b/>
          <w:color w:val="FF0000"/>
          <w:spacing w:val="-60"/>
          <w:w w:val="50"/>
          <w:sz w:val="130"/>
          <w:szCs w:val="130"/>
        </w:rPr>
        <w:t>重庆市医疗保障局办公室文件</w:t>
      </w:r>
    </w:p>
    <w:p>
      <w:pPr>
        <w:spacing w:line="600" w:lineRule="exact"/>
        <w:jc w:val="center"/>
        <w:rPr>
          <w:rFonts w:eastAsia="方正小标宋_GBK"/>
        </w:rPr>
      </w:pPr>
    </w:p>
    <w:p>
      <w:pPr>
        <w:jc w:val="center"/>
        <w:rPr>
          <w:rFonts w:eastAsia="方正仿宋_GBK" w:cs="方正仿宋_GBK"/>
        </w:rPr>
      </w:pPr>
      <w:r>
        <w:rPr>
          <w:rFonts w:hint="eastAsia" w:eastAsia="方正仿宋_GBK" w:cs="方正仿宋_GBK"/>
        </w:rPr>
        <w:t>渝医保办〔2021〕</w:t>
      </w:r>
      <w:r>
        <w:rPr>
          <w:rFonts w:hint="eastAsia" w:eastAsia="方正仿宋_GBK"/>
        </w:rPr>
        <w:t>11</w:t>
      </w:r>
      <w:r>
        <w:rPr>
          <w:rFonts w:hint="eastAsia" w:eastAsia="方正仿宋_GBK" w:cs="方正仿宋_GBK"/>
        </w:rPr>
        <w:t>号</w:t>
      </w:r>
    </w:p>
    <w:p>
      <w:pPr>
        <w:spacing w:line="80" w:lineRule="exact"/>
        <w:jc w:val="center"/>
        <w:rPr>
          <w:rFonts w:eastAsia="方正仿宋简体"/>
          <w:sz w:val="34"/>
          <w:szCs w:val="34"/>
        </w:rPr>
      </w:pPr>
    </w:p>
    <w:tbl>
      <w:tblPr>
        <w:tblStyle w:val="15"/>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400" w:lineRule="exact"/>
              <w:rPr>
                <w:rFonts w:eastAsia="方正小标宋_GBK"/>
              </w:rPr>
            </w:pPr>
          </w:p>
          <w:p>
            <w:pPr>
              <w:spacing w:line="400" w:lineRule="exact"/>
              <w:rPr>
                <w:rFonts w:eastAsia="方正小标宋_GBK"/>
              </w:rPr>
            </w:pPr>
          </w:p>
        </w:tc>
      </w:tr>
    </w:tbl>
    <w:p>
      <w:pPr>
        <w:spacing w:line="600" w:lineRule="exact"/>
        <w:jc w:val="center"/>
        <w:rPr>
          <w:rFonts w:eastAsia="方正小标宋_GBK" w:cs="方正小标宋_GBK"/>
          <w:sz w:val="44"/>
          <w:szCs w:val="44"/>
        </w:rPr>
      </w:pPr>
      <w:r>
        <w:rPr>
          <w:rFonts w:hint="eastAsia" w:eastAsia="方正小标宋_GBK" w:cs="方正小标宋_GBK"/>
          <w:sz w:val="44"/>
          <w:szCs w:val="44"/>
        </w:rPr>
        <w:t>重庆市医疗保障局办公室</w:t>
      </w:r>
    </w:p>
    <w:p>
      <w:pPr>
        <w:spacing w:line="600" w:lineRule="exact"/>
        <w:jc w:val="center"/>
        <w:rPr>
          <w:rFonts w:eastAsia="方正仿宋_GBK" w:cs="方正仿宋_GBK"/>
        </w:rPr>
      </w:pPr>
      <w:r>
        <w:rPr>
          <w:rFonts w:hint="eastAsia" w:eastAsia="方正小标宋_GBK" w:cs="方正小标宋_GBK"/>
          <w:sz w:val="44"/>
          <w:szCs w:val="44"/>
        </w:rPr>
        <w:t>关于公布“2020年版国家医保谈判药品门诊用药保障”目录的通知</w:t>
      </w:r>
    </w:p>
    <w:p>
      <w:pPr>
        <w:rPr>
          <w:rFonts w:eastAsia="方正仿宋_GBK"/>
        </w:rPr>
      </w:pPr>
    </w:p>
    <w:p>
      <w:pPr>
        <w:spacing w:line="600" w:lineRule="exact"/>
        <w:rPr>
          <w:rFonts w:eastAsia="方正仿宋_GBK"/>
        </w:rPr>
      </w:pPr>
      <w:r>
        <w:rPr>
          <w:rFonts w:hint="eastAsia" w:eastAsia="方正仿宋_GBK"/>
        </w:rPr>
        <w:t>各区县（自治县）医疗保障局，两江新区社会保障局、高新区政务服务和社会事务中心、万盛经开区人力社保局：</w:t>
      </w:r>
    </w:p>
    <w:p>
      <w:pPr>
        <w:spacing w:line="600" w:lineRule="exact"/>
        <w:ind w:firstLine="640"/>
        <w:rPr>
          <w:rFonts w:eastAsia="方正仿宋_GBK"/>
        </w:rPr>
      </w:pPr>
      <w:r>
        <w:rPr>
          <w:rFonts w:hint="eastAsia" w:eastAsia="方正仿宋_GBK"/>
        </w:rPr>
        <w:t>为落实党中央、国务院决策部署，提高参保人员用药保障水平，做好谈判药品落地工作，确保广大参保患者切实受益，我们依据《国家医保局、人力资源社会保障部关于印发《国家基本医疗保险、工伤保险和生育保险药品目录（2020年》的通知》（医保发〔2020〕53号）、《重庆市医疗保障局关于做好国家医保谈判药品门诊用药保障工作的通知》（渝医保发〔2021〕12号）精神，组织确定了重庆市医疗保险执行2020年版国家医保谈判药品门诊用药保障目录（详见附件），现公布如下，请遵照执行。</w:t>
      </w:r>
    </w:p>
    <w:p>
      <w:pPr>
        <w:spacing w:line="600" w:lineRule="exact"/>
        <w:ind w:firstLine="640"/>
        <w:rPr>
          <w:rFonts w:eastAsia="方正仿宋_GBK"/>
        </w:rPr>
      </w:pPr>
    </w:p>
    <w:p>
      <w:pPr>
        <w:spacing w:line="600" w:lineRule="exact"/>
        <w:ind w:firstLine="640"/>
        <w:rPr>
          <w:rFonts w:eastAsia="方正仿宋_GBK"/>
        </w:rPr>
      </w:pPr>
      <w:r>
        <w:rPr>
          <w:rFonts w:hint="eastAsia" w:eastAsia="方正仿宋_GBK"/>
        </w:rPr>
        <w:t>附件：重庆市医疗保险执行2020年版国家医保谈判药品门</w:t>
      </w:r>
    </w:p>
    <w:p>
      <w:pPr>
        <w:spacing w:line="600" w:lineRule="exact"/>
        <w:ind w:firstLine="640"/>
        <w:rPr>
          <w:rFonts w:eastAsia="方正仿宋_GBK"/>
        </w:rPr>
      </w:pPr>
      <w:r>
        <w:rPr>
          <w:rFonts w:hint="eastAsia" w:eastAsia="方正仿宋_GBK"/>
        </w:rPr>
        <w:t xml:space="preserve">      诊用药保障目录</w:t>
      </w:r>
    </w:p>
    <w:p>
      <w:pPr>
        <w:spacing w:line="600" w:lineRule="exact"/>
        <w:ind w:firstLine="640"/>
        <w:rPr>
          <w:rFonts w:eastAsia="方正仿宋_GBK"/>
        </w:rPr>
      </w:pPr>
      <w:r>
        <w:rPr>
          <w:rFonts w:eastAsia="方正仿宋_GBK"/>
        </w:rPr>
        <w:drawing>
          <wp:anchor distT="0" distB="0" distL="114300" distR="114300" simplePos="0" relativeHeight="251659264" behindDoc="1" locked="0" layoutInCell="1" allowOverlap="1">
            <wp:simplePos x="0" y="0"/>
            <wp:positionH relativeFrom="column">
              <wp:posOffset>2544445</wp:posOffset>
            </wp:positionH>
            <wp:positionV relativeFrom="paragraph">
              <wp:posOffset>182245</wp:posOffset>
            </wp:positionV>
            <wp:extent cx="241935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clrChange>
                        <a:clrFrom>
                          <a:srgbClr val="FFFFFF"/>
                        </a:clrFrom>
                        <a:clrTo>
                          <a:srgbClr val="FFFFFF">
                            <a:alpha val="0"/>
                          </a:srgbClr>
                        </a:clrTo>
                      </a:clrChange>
                    </a:blip>
                    <a:stretch>
                      <a:fillRect/>
                    </a:stretch>
                  </pic:blipFill>
                  <pic:spPr>
                    <a:xfrm>
                      <a:off x="0" y="0"/>
                      <a:ext cx="2419350" cy="1714500"/>
                    </a:xfrm>
                    <a:prstGeom prst="rect">
                      <a:avLst/>
                    </a:prstGeom>
                    <a:solidFill>
                      <a:scrgbClr r="0" g="0" b="0">
                        <a:alpha val="0"/>
                      </a:scrgbClr>
                    </a:solidFill>
                  </pic:spPr>
                </pic:pic>
              </a:graphicData>
            </a:graphic>
          </wp:anchor>
        </w:drawing>
      </w:r>
    </w:p>
    <w:p>
      <w:pPr>
        <w:spacing w:line="600" w:lineRule="exact"/>
        <w:ind w:firstLine="640"/>
        <w:rPr>
          <w:rFonts w:eastAsia="方正仿宋_GBK"/>
        </w:rPr>
      </w:pPr>
    </w:p>
    <w:p>
      <w:pPr>
        <w:spacing w:line="600" w:lineRule="exact"/>
        <w:ind w:firstLine="640"/>
        <w:rPr>
          <w:rFonts w:eastAsia="方正仿宋_GBK"/>
        </w:rPr>
      </w:pPr>
      <w:r>
        <w:rPr>
          <w:rFonts w:hint="eastAsia" w:eastAsia="方正仿宋_GBK"/>
        </w:rPr>
        <w:t xml:space="preserve">                     重庆市医疗保障局办公室</w:t>
      </w:r>
    </w:p>
    <w:p>
      <w:pPr>
        <w:spacing w:line="600" w:lineRule="exact"/>
        <w:ind w:firstLine="640"/>
        <w:rPr>
          <w:rFonts w:eastAsia="方正仿宋_GBK"/>
        </w:rPr>
      </w:pPr>
      <w:r>
        <w:rPr>
          <w:rFonts w:hint="eastAsia" w:eastAsia="方正仿宋_GBK"/>
        </w:rPr>
        <w:t xml:space="preserve">                         2021年2月24日</w:t>
      </w:r>
    </w:p>
    <w:p>
      <w:pPr>
        <w:spacing w:line="600" w:lineRule="exact"/>
        <w:ind w:firstLine="640" w:firstLineChars="200"/>
      </w:pPr>
      <w:r>
        <w:rPr>
          <w:rFonts w:hint="eastAsia"/>
        </w:rPr>
        <w:t>（</w:t>
      </w:r>
      <w:r>
        <w:rPr>
          <w:rFonts w:hint="eastAsia" w:ascii="方正仿宋_GBK" w:eastAsia="方正仿宋_GBK"/>
        </w:rPr>
        <w:t>此件公开发布</w:t>
      </w:r>
      <w:r>
        <w:rPr>
          <w:rFonts w:hint="eastAsia"/>
        </w:rPr>
        <w:t>）</w:t>
      </w:r>
    </w:p>
    <w:p>
      <w:pPr>
        <w:spacing w:line="600" w:lineRule="exact"/>
        <w:ind w:firstLine="640" w:firstLineChars="200"/>
        <w:rPr>
          <w:rFonts w:eastAsia="方正仿宋_GBK"/>
        </w:rPr>
      </w:pPr>
    </w:p>
    <w:p>
      <w:pPr>
        <w:spacing w:line="600" w:lineRule="exact"/>
        <w:ind w:firstLine="640" w:firstLineChars="200"/>
        <w:rPr>
          <w:rFonts w:eastAsia="方正仿宋_GBK"/>
        </w:rPr>
      </w:pPr>
    </w:p>
    <w:p>
      <w:pPr>
        <w:spacing w:line="600" w:lineRule="exact"/>
        <w:ind w:firstLine="640" w:firstLineChars="200"/>
        <w:rPr>
          <w:rFonts w:eastAsia="方正仿宋_GBK"/>
        </w:rPr>
      </w:pPr>
    </w:p>
    <w:p>
      <w:pPr>
        <w:spacing w:line="600" w:lineRule="exact"/>
        <w:ind w:firstLine="640" w:firstLineChars="200"/>
        <w:rPr>
          <w:rFonts w:eastAsia="方正仿宋_GBK"/>
        </w:rPr>
      </w:pPr>
    </w:p>
    <w:p>
      <w:pPr>
        <w:spacing w:line="600" w:lineRule="exact"/>
        <w:ind w:firstLine="640" w:firstLineChars="200"/>
        <w:rPr>
          <w:rFonts w:eastAsia="方正仿宋_GBK"/>
        </w:rPr>
      </w:pPr>
    </w:p>
    <w:p>
      <w:pPr>
        <w:spacing w:line="600" w:lineRule="exact"/>
        <w:ind w:firstLine="640" w:firstLineChars="200"/>
        <w:rPr>
          <w:rFonts w:eastAsia="方正仿宋_GBK"/>
        </w:rPr>
      </w:pPr>
    </w:p>
    <w:p>
      <w:pPr>
        <w:spacing w:line="600" w:lineRule="exact"/>
        <w:ind w:firstLine="640" w:firstLineChars="200"/>
        <w:rPr>
          <w:rFonts w:eastAsia="方正仿宋_GBK"/>
        </w:rPr>
        <w:sectPr>
          <w:pgSz w:w="11906" w:h="16838"/>
          <w:pgMar w:top="2098" w:right="1474" w:bottom="1985" w:left="1588" w:header="851" w:footer="992" w:gutter="0"/>
          <w:pgNumType w:fmt="numberInDash"/>
          <w:cols w:space="720" w:num="1"/>
          <w:formProt w:val="1"/>
          <w:docGrid w:type="lines" w:linePitch="442" w:charSpace="0"/>
        </w:sectPr>
      </w:pPr>
    </w:p>
    <w:p>
      <w:pPr>
        <w:spacing w:line="600" w:lineRule="exact"/>
        <w:jc w:val="left"/>
        <w:rPr>
          <w:rFonts w:eastAsia="方正黑体_GBK" w:cs="方正小标宋_GBK"/>
        </w:rPr>
      </w:pPr>
      <w:r>
        <w:rPr>
          <w:rFonts w:hint="eastAsia" w:eastAsia="方正黑体_GBK" w:cs="方正小标宋_GBK"/>
        </w:rPr>
        <w:t>附件</w:t>
      </w:r>
    </w:p>
    <w:p>
      <w:pPr>
        <w:spacing w:line="600" w:lineRule="exact"/>
        <w:jc w:val="left"/>
        <w:rPr>
          <w:rFonts w:eastAsia="方正小标宋_GBK" w:cs="方正小标宋_GBK"/>
          <w:sz w:val="44"/>
          <w:szCs w:val="44"/>
        </w:rPr>
      </w:pPr>
    </w:p>
    <w:p>
      <w:pPr>
        <w:spacing w:line="600" w:lineRule="exact"/>
        <w:jc w:val="center"/>
        <w:rPr>
          <w:rFonts w:ascii="方正小标宋_GBK" w:eastAsia="方正小标宋_GBK" w:cs="方正小标宋_GBK"/>
          <w:spacing w:val="-8"/>
          <w:sz w:val="44"/>
          <w:szCs w:val="44"/>
        </w:rPr>
      </w:pPr>
      <w:r>
        <w:rPr>
          <w:rFonts w:hint="eastAsia" w:ascii="方正小标宋_GBK" w:eastAsia="方正小标宋_GBK" w:cs="方正小标宋_GBK"/>
          <w:spacing w:val="-8"/>
          <w:sz w:val="44"/>
          <w:szCs w:val="44"/>
        </w:rPr>
        <w:t>重庆市医疗保险执行2020年版国家医保谈判药品门诊用药保障目录</w:t>
      </w:r>
    </w:p>
    <w:tbl>
      <w:tblPr>
        <w:tblStyle w:val="15"/>
        <w:tblpPr w:leftFromText="180" w:rightFromText="180" w:vertAnchor="text" w:horzAnchor="page" w:tblpXSpec="center" w:tblpY="601"/>
        <w:tblOverlap w:val="never"/>
        <w:tblW w:w="14730" w:type="dxa"/>
        <w:tblInd w:w="0" w:type="dxa"/>
        <w:tblLayout w:type="fixed"/>
        <w:tblCellMar>
          <w:top w:w="15" w:type="dxa"/>
          <w:left w:w="15" w:type="dxa"/>
          <w:bottom w:w="15" w:type="dxa"/>
          <w:right w:w="15" w:type="dxa"/>
        </w:tblCellMar>
      </w:tblPr>
      <w:tblGrid>
        <w:gridCol w:w="867"/>
        <w:gridCol w:w="1740"/>
        <w:gridCol w:w="1395"/>
        <w:gridCol w:w="3453"/>
        <w:gridCol w:w="1890"/>
        <w:gridCol w:w="5385"/>
      </w:tblGrid>
      <w:tr>
        <w:tblPrEx>
          <w:tblLayout w:type="fixed"/>
          <w:tblCellMar>
            <w:top w:w="15" w:type="dxa"/>
            <w:left w:w="15" w:type="dxa"/>
            <w:bottom w:w="15" w:type="dxa"/>
            <w:right w:w="15" w:type="dxa"/>
          </w:tblCellMar>
        </w:tblPrEx>
        <w:trPr>
          <w:trHeight w:val="240"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jc w:val="center"/>
              <w:textAlignment w:val="center"/>
              <w:rPr>
                <w:rFonts w:eastAsia="宋体" w:cs="宋体"/>
                <w:b/>
                <w:sz w:val="18"/>
                <w:szCs w:val="18"/>
              </w:rPr>
            </w:pPr>
            <w:r>
              <w:rPr>
                <w:rFonts w:hint="eastAsia" w:eastAsia="宋体" w:cs="宋体"/>
                <w:b/>
                <w:kern w:val="0"/>
                <w:sz w:val="18"/>
                <w:szCs w:val="18"/>
              </w:rPr>
              <w:t>序号</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jc w:val="center"/>
              <w:textAlignment w:val="center"/>
              <w:rPr>
                <w:rFonts w:eastAsia="宋体" w:cs="宋体"/>
                <w:b/>
                <w:sz w:val="18"/>
                <w:szCs w:val="18"/>
              </w:rPr>
            </w:pPr>
            <w:r>
              <w:rPr>
                <w:rFonts w:hint="eastAsia" w:eastAsia="宋体" w:cs="宋体"/>
                <w:b/>
                <w:kern w:val="0"/>
                <w:sz w:val="18"/>
                <w:szCs w:val="18"/>
              </w:rPr>
              <w:t>通用名</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jc w:val="center"/>
              <w:textAlignment w:val="center"/>
              <w:rPr>
                <w:rFonts w:eastAsia="宋体" w:cs="宋体"/>
                <w:b/>
                <w:sz w:val="18"/>
                <w:szCs w:val="18"/>
              </w:rPr>
            </w:pPr>
            <w:r>
              <w:rPr>
                <w:rFonts w:hint="eastAsia" w:eastAsia="宋体" w:cs="宋体"/>
                <w:b/>
                <w:kern w:val="0"/>
                <w:sz w:val="18"/>
                <w:szCs w:val="18"/>
              </w:rPr>
              <w:t>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jc w:val="center"/>
              <w:textAlignment w:val="center"/>
              <w:rPr>
                <w:rFonts w:eastAsia="宋体" w:cs="宋体"/>
                <w:b/>
                <w:sz w:val="18"/>
                <w:szCs w:val="18"/>
              </w:rPr>
            </w:pPr>
            <w:r>
              <w:rPr>
                <w:rFonts w:hint="eastAsia" w:eastAsia="宋体" w:cs="宋体"/>
                <w:b/>
                <w:kern w:val="0"/>
                <w:sz w:val="18"/>
                <w:szCs w:val="18"/>
              </w:rPr>
              <w:t>限定支付范围</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jc w:val="center"/>
              <w:textAlignment w:val="center"/>
              <w:rPr>
                <w:rFonts w:eastAsia="宋体" w:cs="宋体"/>
                <w:b/>
                <w:sz w:val="18"/>
                <w:szCs w:val="18"/>
              </w:rPr>
            </w:pPr>
            <w:r>
              <w:rPr>
                <w:rFonts w:hint="eastAsia" w:eastAsia="宋体" w:cs="宋体"/>
                <w:b/>
                <w:kern w:val="0"/>
                <w:sz w:val="18"/>
                <w:szCs w:val="18"/>
              </w:rPr>
              <w:t>适用病种</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jc w:val="center"/>
              <w:textAlignment w:val="center"/>
              <w:rPr>
                <w:rFonts w:eastAsia="宋体" w:cs="宋体"/>
                <w:b/>
                <w:sz w:val="18"/>
                <w:szCs w:val="18"/>
              </w:rPr>
            </w:pPr>
            <w:r>
              <w:rPr>
                <w:rFonts w:hint="eastAsia" w:eastAsia="宋体" w:cs="宋体"/>
                <w:b/>
                <w:kern w:val="0"/>
                <w:sz w:val="18"/>
                <w:szCs w:val="18"/>
              </w:rPr>
              <w:t>所需证明材料</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1</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麦格司他</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限C型尼曼匹克病患者。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C型尼曼匹克病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1.病情诊断证明书；2.基因检测显示（NPC1 和/或 NPC2）突变；3.临床表现；4.血常规。</w:t>
            </w:r>
          </w:p>
        </w:tc>
      </w:tr>
      <w:tr>
        <w:tblPrEx>
          <w:tblLayout w:type="fixed"/>
          <w:tblCellMar>
            <w:top w:w="15" w:type="dxa"/>
            <w:left w:w="15" w:type="dxa"/>
            <w:bottom w:w="15" w:type="dxa"/>
            <w:right w:w="15" w:type="dxa"/>
          </w:tblCellMar>
        </w:tblPrEx>
        <w:trPr>
          <w:trHeight w:val="73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2</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维得利珠单抗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限中度至重度活动性溃疡性结肠炎的二线用药或中度至重度活动性克罗恩病的二线用药。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克罗恩病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1.病情证明书；2.影像学或内镜检查检查报告；3.病理学检查报告； 4.经传统治疗（糖皮质激素或免疫抑制剂）无效或不能耐受的病史资料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溃疡性结肠炎</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1.病情诊断证明书；2.影像学检查报告；3.sutherland疾病活动指数提示中、重度活动；4.一线治疗的病史资料。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3</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司来帕格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限WHO功能分级II级-III级的肺动脉高压（WHO第1组）的患者。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肺动脉高压</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1.病情诊断证明书；2.右心导管检查或至少2次超声心动图。</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sz w:val="20"/>
                <w:szCs w:val="20"/>
              </w:rPr>
              <w:t>4</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重组人组织型纤溶酶原激酶衍生物</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限急性心肌梗死发病12小时内使用。</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急性心肌梗死</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1.病情诊断证明书；2.心电图；3.心肌损伤标志物；4.患者发病时间到药物使用时间的记录。</w:t>
            </w:r>
            <w:r>
              <w:rPr>
                <w:rFonts w:hint="eastAsia" w:ascii="宋体" w:hAnsi="宋体" w:cs="宋体"/>
                <w:kern w:val="0"/>
                <w:sz w:val="20"/>
                <w:szCs w:val="20"/>
              </w:rPr>
              <w:t>（限处方医院内使用）</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5</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重组人尿激酶原</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限急性心肌梗死发病12小时内使用。</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急性心肌梗死</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1.病情诊断证明书；2.心电图；3.心肌损伤标志物；4.患者发病时间到药物使用时间的记录。</w:t>
            </w:r>
            <w:r>
              <w:rPr>
                <w:rFonts w:hint="eastAsia" w:ascii="宋体" w:hAnsi="宋体" w:cs="宋体"/>
                <w:kern w:val="0"/>
                <w:sz w:val="20"/>
                <w:szCs w:val="20"/>
              </w:rPr>
              <w:t>（限处方医院内使用）</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6</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阿替普酶</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限急性心肌梗死发病12小时内、脑梗死发病3小时内的溶栓治疗，超过说明书规定用药时限的不予支付。</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急性心肌梗死</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1.病情诊断证明书；2.心电图；3.心肌损伤标志物；4.患者发病时间到药物使用时间的记录。</w:t>
            </w:r>
            <w:r>
              <w:rPr>
                <w:rFonts w:hint="eastAsia" w:ascii="宋体" w:hAnsi="宋体" w:cs="宋体"/>
                <w:kern w:val="0"/>
                <w:sz w:val="20"/>
                <w:szCs w:val="20"/>
              </w:rPr>
              <w:t>（限处方医院内使用）</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脑梗死</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1.病情诊断证明书；2.脑部CT或MRI检查；3.患者发病时间到药物使用时间的记录。</w:t>
            </w:r>
            <w:r>
              <w:rPr>
                <w:rFonts w:hint="eastAsia" w:ascii="宋体" w:hAnsi="宋体" w:cs="宋体"/>
                <w:kern w:val="0"/>
                <w:sz w:val="20"/>
                <w:szCs w:val="20"/>
              </w:rPr>
              <w:t>（限处方医院内使用）</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7</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重组人TNK组织型纤溶酶原激活剂</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限急性心肌梗死发病6小时内使用。</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急性心肌梗死</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1.病情诊断证明书；2.心电图；3.心肌损伤标志物；4.患者发病时间到药物使用时间的记录。</w:t>
            </w:r>
            <w:r>
              <w:rPr>
                <w:rFonts w:hint="eastAsia" w:ascii="宋体" w:hAnsi="宋体" w:cs="宋体"/>
                <w:kern w:val="0"/>
                <w:sz w:val="20"/>
                <w:szCs w:val="20"/>
              </w:rPr>
              <w:t>（限处方医院内使用）</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8</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艾多沙班</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限华法林治疗控制不良或出血高危的非瓣膜性房颤、深静脉血栓、肺栓塞患者。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非瓣膜性房颤</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1.病情诊断证明书；2.超声心动图；3.心电图；4.凝血功能检查；5.华法林治疗相关资料。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深静脉血栓</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1.病情诊断证明书；2.深静脉超声检查；3.凝血功能检查；4.血栓弹力图；5.华法林治疗相关资料。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肺栓塞</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1.病情诊断证明书；2.肺动脉CT、MRI等影像检查；3.凝血功能检查；4.血浆D-二聚体测定；5.华法林治疗相关资料。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9</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重组人凝血因子Ⅶa</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以下情况方可支付：1、凝血因子Ⅷ或Ⅸ的抑制物&gt;5BU的先天性血友病患者。2、获得性血友病患者。3、先天性FⅦ缺乏症患者。4、具有GPIIb-IIIa和/或HLA抗体和既往或现在对血小板输注无效或不佳的血小板无力症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先天性血友病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1.病情诊断证明书；2.检查报告须符合下列两项：1）凝血因子Ⅷ或Ⅸ的活性降低，2）凝血因子Ⅷ或Ⅸ的抑制物&gt;5BU。</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获得性血友病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1.病情诊断证明书；2.凝血因子、凝血功能检查符合获得性血友病。</w:t>
            </w:r>
          </w:p>
        </w:tc>
      </w:tr>
      <w:tr>
        <w:tblPrEx>
          <w:tblLayout w:type="fixed"/>
          <w:tblCellMar>
            <w:top w:w="15" w:type="dxa"/>
            <w:left w:w="15" w:type="dxa"/>
            <w:bottom w:w="15" w:type="dxa"/>
            <w:right w:w="15" w:type="dxa"/>
          </w:tblCellMar>
        </w:tblPrEx>
        <w:trPr>
          <w:trHeight w:val="25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先天性FⅦ缺乏症</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1.病情诊断证明书；2.Ⅶ因子活性检测或基因检测报告。</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血小板无力症</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1.病情诊断证明书；2.GPIIb-IIIa和/或HLA抗体检查报告；3.既往或现在对血小板输注无效或不佳的病史资料。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10</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重组人血小板生成素</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限实体瘤化疗后所致的严重血小板减少症或特发性血小板减少性紫癜。</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严重血小板减少症</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1.病情诊断证明书；2.血小板计数；3.实体瘤化疗的病史资料。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特发性血小板减少性紫癜</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1.病情诊断证明书；2.血小板计数；3.脾脏超声检查；4.排除其他继发性血小板减少症。</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11</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阿伐曲泊帕</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限择期行诊断性操作或者手术的慢性肝病相关血小板减少症的成年患者。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慢性肝病相关血小板减少症</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1.病情诊断证明书；2.血小板计数；肝功能检查；4.有创性检查或手术的安排计划。</w:t>
            </w:r>
          </w:p>
        </w:tc>
      </w:tr>
      <w:tr>
        <w:tblPrEx>
          <w:tblLayout w:type="fixed"/>
          <w:tblCellMar>
            <w:top w:w="15" w:type="dxa"/>
            <w:left w:w="15" w:type="dxa"/>
            <w:bottom w:w="15" w:type="dxa"/>
            <w:right w:w="15" w:type="dxa"/>
          </w:tblCellMar>
        </w:tblPrEx>
        <w:trPr>
          <w:trHeight w:val="121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12</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波生坦</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32mg/片（分散片）限3-12岁特发性或先天性肺动脉高压患者；125mg/片限WHO功能分级II级- IV级的肺动脉高压（WHO第1组）的患者。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肺动脉高压</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1.病情诊断证明书；2.右心导管检查或2次以上超声心动图。</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13</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罗沙司他</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限慢性肾脏病引起贫血的患者。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肾性贫血</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1.病情诊断证明书；2.血常规；3.肾功能检查。</w:t>
            </w:r>
          </w:p>
        </w:tc>
      </w:tr>
      <w:tr>
        <w:tblPrEx>
          <w:tblLayout w:type="fixed"/>
          <w:tblCellMar>
            <w:top w:w="15" w:type="dxa"/>
            <w:left w:w="15" w:type="dxa"/>
            <w:bottom w:w="15" w:type="dxa"/>
            <w:right w:w="15" w:type="dxa"/>
          </w:tblCellMar>
        </w:tblPrEx>
        <w:trPr>
          <w:trHeight w:val="19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14</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利奥西呱</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限以下情况方可支付：1.术后持续性或复发性慢性血栓栓塞性肺动脉高压（CTEPH）或不能手术的CTEPH，且（WHO FC）为II-III的患者； 2.动脉性肺动脉高压（PAH）且（WHO FC）为 II-III患者的二线用药。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肺动脉高压</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右心导管检查或至少2次超声心动图；3.术后持续性或复发性慢性血栓栓塞性肺动脉高压（CTEPH）或不能手术的CTEPH的病史资料；4.动脉性肺动脉高压需提供3个月以上一线药物治疗病史，提示治疗效果不佳。</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15</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马昔腾坦</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限WHO功能分级II级-III级的肺动脉高压（WHO第1组）的患者。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肺动脉高压</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1.病情诊断证明书；2.右心导管检查或至少2次超声心动图。</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16</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沙库巴曲缬沙坦</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限慢性心力衰竭（NYHA II-IV级）患者，首次处方时应有射血分数降低的证据。</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慢性心力衰竭（NYHA II-IV级）</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1.病情诊断证明书；2.首次处方提供超声心动图报告。</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17</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本维莫德</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乳膏剂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限轻中度稳定性寻常型银屑病患者的二线治疗，需按说明书用药。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轻中度稳定性寻常型银屑病</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1.病情诊断证明书；2.寻常型银屑病常规治疗无效的病史资料。</w:t>
            </w:r>
          </w:p>
        </w:tc>
      </w:tr>
      <w:tr>
        <w:tblPrEx>
          <w:tblLayout w:type="fixed"/>
          <w:tblCellMar>
            <w:top w:w="15" w:type="dxa"/>
            <w:left w:w="15" w:type="dxa"/>
            <w:bottom w:w="15" w:type="dxa"/>
            <w:right w:w="15" w:type="dxa"/>
          </w:tblCellMar>
        </w:tblPrEx>
        <w:trPr>
          <w:trHeight w:val="1710"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18</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度普利尤单抗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限对传统治疗无效、有禁忌或不耐受的中重度特应性皮炎患者，需按说明书用药。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中重度特应性皮炎</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sz w:val="20"/>
                <w:szCs w:val="20"/>
              </w:rPr>
              <w:t>1.病情诊断证明书；2.AD诊断标准：①病程超过6个月的对称性湿疹；②特应性个人史和/或家族史（包括湿疹、过敏性鼻炎、哮喘、过敏性结膜炎等）；③血清总IgE升高和/或外周血嗜酸性粒细胞升高和/或过敏原特异性IgE阳性（过敏原特异性IgE检测2级或2级以上阳性）。符合第1条，另外加第2条或第3条中的任何1条即可3.传统治疗无效的病史资料。4.AD评分（SCORAD）</w:t>
            </w:r>
            <w:r>
              <w:rPr>
                <w:rFonts w:eastAsia="宋体" w:cs="宋体"/>
                <w:sz w:val="24"/>
              </w:rPr>
              <w:t>≥</w:t>
            </w:r>
            <w:r>
              <w:rPr>
                <w:rFonts w:hint="eastAsia" w:eastAsia="宋体" w:cs="宋体"/>
                <w:sz w:val="20"/>
                <w:szCs w:val="20"/>
              </w:rPr>
              <w:t>25分。</w:t>
            </w:r>
          </w:p>
        </w:tc>
      </w:tr>
      <w:tr>
        <w:tblPrEx>
          <w:tblLayout w:type="fixed"/>
          <w:tblCellMar>
            <w:top w:w="15" w:type="dxa"/>
            <w:left w:w="15" w:type="dxa"/>
            <w:bottom w:w="15" w:type="dxa"/>
            <w:right w:w="15" w:type="dxa"/>
          </w:tblCellMar>
        </w:tblPrEx>
        <w:trPr>
          <w:trHeight w:val="73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19</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奥曲肽</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微球注射剂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限胃肠胰内分泌肿瘤、肢端肥大症，按说明书用药。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肢端肥大症</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1.病情诊断证明书；2.血清生长激素（GH）或胰岛素样生长因子（IGF）-1检测报告；3.影像学检查报告；4.肢端肥大临床表现的病历资料。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胃、肠、胰内分泌肿瘤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1.病情诊断证明书；2.病理学检查报告；3.影像学或内镜检查报告；4.免疫组织化学标志物检测报告。</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20</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兰瑞肽</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缓释注射剂（预充式）</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限肢端肥大症，按说明书用药。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肢端肥大症</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1.病情诊断证明书；2.血清生长激素（GH）或胰岛素样生长因子（IGF）-1检测报告；3.影像学检查报告；4.肢端肥大临床表现的病历资料。</w:t>
            </w:r>
          </w:p>
        </w:tc>
      </w:tr>
      <w:tr>
        <w:tblPrEx>
          <w:tblLayout w:type="fixed"/>
          <w:tblCellMar>
            <w:top w:w="15" w:type="dxa"/>
            <w:left w:w="15" w:type="dxa"/>
            <w:bottom w:w="15" w:type="dxa"/>
            <w:right w:w="15" w:type="dxa"/>
          </w:tblCellMar>
        </w:tblPrEx>
        <w:trPr>
          <w:trHeight w:val="73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21</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泊沙康唑</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口服液体剂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限以下情况方可支付：1.预防移植后（干细胞及实体器官移植）及恶性肿瘤患者有重度粒细胞缺乏的侵袭性曲霉菌和念球菌感染。2.伊曲康唑或氟康唑难治性口咽念珠菌病。3.接合菌纲类感染。</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移植后（干细胞及实体器官移植）及恶性肿瘤患者重度粒细胞缺乏</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1.病情诊断证明书：移植后（干细胞及实体器官移植）或恶性肿瘤重度粒细胞缺乏；2.血常规报告。</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伊曲康唑或氟康唑难治性口咽念珠菌感染</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1.病情诊断证明书；2.伊曲康唑或氟康唑治疗无效的病史资料；3.口咽念珠菌阳性检查报告。</w:t>
            </w:r>
          </w:p>
        </w:tc>
      </w:tr>
      <w:tr>
        <w:tblPrEx>
          <w:tblLayout w:type="fixed"/>
          <w:tblCellMar>
            <w:top w:w="15" w:type="dxa"/>
            <w:left w:w="15" w:type="dxa"/>
            <w:bottom w:w="15" w:type="dxa"/>
            <w:right w:w="15" w:type="dxa"/>
          </w:tblCellMar>
        </w:tblPrEx>
        <w:trPr>
          <w:trHeight w:val="25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接合菌纲类感染</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1.病情诊断证明书；2.接合菌纲类感染阳性检查报告。</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22</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贝达喹啉</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限耐多药结核患者。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结核病</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1.病情诊断证明书；2.耐多药结核病的药物敏感性检测报告；3.耐多药的病史资料。</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23</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德拉马尼</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限耐多药结核患者。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结核病</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1.病情诊断证明书；2.耐多药结核病的药物敏感性检测报告；3.耐多药的病史资料。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24</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艾尔巴韦格拉瑞韦</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限经HCV基因分型检测确诊为基因1b型的慢性丙型肝炎患者。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慢性丙型病毒性肝炎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1.病情诊断证明书；2.血常规、肝功能、HCV-RNA、HCV基因分型和病史资料。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25</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来迪派韦索磷布韦</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限经HCV基因分型检测确诊为基因1b型的慢性丙型肝炎患者。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慢性丙型病毒性肝炎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1.病情诊断证明书；2.血常规、肝功能、HCV-RNA、HCV基因分型和病史资料。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26</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索磷布韦维帕他韦</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限经HCV基因分型检测确诊为基因1b型以外的慢性丙型肝炎患者。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慢性丙型病毒性肝炎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1.病情诊断证明书；2.血常规、肝功能、HCV-RNA、HCV基因分型和病史资料。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kern w:val="0"/>
                <w:sz w:val="18"/>
                <w:szCs w:val="18"/>
              </w:rPr>
            </w:pPr>
            <w:r>
              <w:rPr>
                <w:rFonts w:hint="eastAsia" w:eastAsia="宋体" w:cs="宋体"/>
                <w:kern w:val="0"/>
                <w:sz w:val="18"/>
                <w:szCs w:val="18"/>
              </w:rPr>
              <w:t>27</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kern w:val="0"/>
                <w:sz w:val="20"/>
                <w:szCs w:val="20"/>
              </w:rPr>
            </w:pPr>
            <w:r>
              <w:rPr>
                <w:rFonts w:hint="eastAsia" w:eastAsia="宋体" w:cs="宋体"/>
                <w:kern w:val="0"/>
                <w:sz w:val="20"/>
                <w:szCs w:val="20"/>
              </w:rPr>
              <w:t>可洛派韦</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kern w:val="0"/>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kern w:val="0"/>
                <w:sz w:val="20"/>
                <w:szCs w:val="20"/>
              </w:rPr>
            </w:pPr>
            <w:r>
              <w:rPr>
                <w:rFonts w:hint="eastAsia" w:eastAsia="宋体" w:cs="宋体"/>
                <w:kern w:val="0"/>
                <w:sz w:val="20"/>
                <w:szCs w:val="20"/>
              </w:rPr>
              <w:t>限经HCV基因分型检测确诊为基因1b型以外的慢性丙型肝炎患者。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kern w:val="0"/>
                <w:sz w:val="20"/>
                <w:szCs w:val="20"/>
              </w:rPr>
            </w:pPr>
            <w:r>
              <w:rPr>
                <w:rFonts w:hint="eastAsia" w:eastAsia="宋体" w:cs="宋体"/>
                <w:kern w:val="0"/>
                <w:sz w:val="20"/>
                <w:szCs w:val="20"/>
              </w:rPr>
              <w:t>慢性丙型病毒性肝炎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kern w:val="0"/>
                <w:sz w:val="20"/>
                <w:szCs w:val="20"/>
              </w:rPr>
            </w:pPr>
            <w:r>
              <w:rPr>
                <w:rFonts w:hint="eastAsia" w:eastAsia="宋体" w:cs="宋体"/>
                <w:kern w:val="0"/>
                <w:sz w:val="20"/>
                <w:szCs w:val="20"/>
              </w:rPr>
              <w:t>1.病情诊断证明书；2.血常规、肝功能、HCV-RNA、HCV基因分型和病史资料。</w:t>
            </w:r>
          </w:p>
        </w:tc>
      </w:tr>
      <w:tr>
        <w:tblPrEx>
          <w:tblLayout w:type="fixed"/>
          <w:tblCellMar>
            <w:top w:w="15" w:type="dxa"/>
            <w:left w:w="15" w:type="dxa"/>
            <w:bottom w:w="15" w:type="dxa"/>
            <w:right w:w="15" w:type="dxa"/>
          </w:tblCellMar>
        </w:tblPrEx>
        <w:trPr>
          <w:trHeight w:val="25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28</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艾考恩丙替</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限艾滋病病毒感染。</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艾滋病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1.病情诊断证明书；2.HIV 抗体或抗原检测报告。</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29</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奈韦拉平齐多拉米双夫定</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限艾滋病病毒感染。</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艾滋病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1.病情诊断证明书；2.HIV 抗体或抗原检测报告。</w:t>
            </w:r>
          </w:p>
        </w:tc>
      </w:tr>
      <w:tr>
        <w:tblPrEx>
          <w:tblLayout w:type="fixed"/>
          <w:tblCellMar>
            <w:top w:w="15" w:type="dxa"/>
            <w:left w:w="15" w:type="dxa"/>
            <w:bottom w:w="15" w:type="dxa"/>
            <w:right w:w="15" w:type="dxa"/>
          </w:tblCellMar>
        </w:tblPrEx>
        <w:trPr>
          <w:trHeight w:val="25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jc w:val="center"/>
              <w:textAlignment w:val="center"/>
              <w:rPr>
                <w:rFonts w:eastAsia="宋体" w:cs="宋体"/>
                <w:sz w:val="20"/>
                <w:szCs w:val="20"/>
              </w:rPr>
            </w:pPr>
            <w:r>
              <w:rPr>
                <w:rFonts w:hint="eastAsia" w:eastAsia="宋体" w:cs="宋体"/>
                <w:kern w:val="0"/>
                <w:sz w:val="20"/>
                <w:szCs w:val="20"/>
              </w:rPr>
              <w:t>30</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textAlignment w:val="center"/>
              <w:rPr>
                <w:rFonts w:eastAsia="宋体" w:cs="宋体"/>
                <w:sz w:val="20"/>
                <w:szCs w:val="20"/>
              </w:rPr>
            </w:pPr>
            <w:r>
              <w:rPr>
                <w:rFonts w:hint="eastAsia" w:eastAsia="宋体" w:cs="宋体"/>
                <w:kern w:val="0"/>
                <w:sz w:val="20"/>
                <w:szCs w:val="20"/>
              </w:rPr>
              <w:t>艾博韦泰</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textAlignment w:val="center"/>
              <w:rPr>
                <w:rFonts w:eastAsia="等线" w:cs="等线"/>
                <w:sz w:val="20"/>
                <w:szCs w:val="20"/>
              </w:rPr>
            </w:pPr>
            <w:r>
              <w:rPr>
                <w:rFonts w:eastAsia="等线" w:cs="等线"/>
                <w:kern w:val="0"/>
                <w:sz w:val="20"/>
                <w:szCs w:val="20"/>
              </w:rPr>
              <w:t>限艾滋病病毒感染。</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艾滋病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1.病情诊断证明书；2.HIV 抗体或抗原检测报告。</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jc w:val="center"/>
              <w:textAlignment w:val="center"/>
              <w:rPr>
                <w:rFonts w:eastAsia="宋体" w:cs="宋体"/>
                <w:sz w:val="18"/>
                <w:szCs w:val="18"/>
              </w:rPr>
            </w:pPr>
            <w:r>
              <w:rPr>
                <w:rFonts w:hint="eastAsia" w:eastAsia="宋体" w:cs="宋体"/>
                <w:kern w:val="0"/>
                <w:sz w:val="18"/>
                <w:szCs w:val="18"/>
              </w:rPr>
              <w:t>31</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雷替曲塞</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限氟尿嘧啶类药物不耐受的晚期结直肠癌患者。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结直肠癌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1.病情诊断证明书；2.病理学检查；3.影像学检查报告（无病理学报告时）；4.氟脲嘧啶不能耐受病史资料。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jc w:val="center"/>
              <w:textAlignment w:val="center"/>
              <w:rPr>
                <w:rFonts w:eastAsia="宋体" w:cs="宋体"/>
                <w:sz w:val="20"/>
                <w:szCs w:val="20"/>
              </w:rPr>
            </w:pPr>
            <w:r>
              <w:rPr>
                <w:rFonts w:hint="eastAsia" w:eastAsia="宋体" w:cs="宋体"/>
                <w:kern w:val="0"/>
                <w:sz w:val="20"/>
                <w:szCs w:val="20"/>
              </w:rPr>
              <w:t>32</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textAlignment w:val="center"/>
              <w:rPr>
                <w:rFonts w:eastAsia="宋体" w:cs="宋体"/>
                <w:sz w:val="20"/>
                <w:szCs w:val="20"/>
              </w:rPr>
            </w:pPr>
            <w:r>
              <w:rPr>
                <w:rFonts w:hint="eastAsia" w:eastAsia="宋体" w:cs="宋体"/>
                <w:kern w:val="0"/>
                <w:sz w:val="20"/>
                <w:szCs w:val="20"/>
              </w:rPr>
              <w:t>紫杉醇</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textAlignment w:val="center"/>
              <w:rPr>
                <w:rFonts w:eastAsia="宋体" w:cs="宋体"/>
                <w:sz w:val="20"/>
                <w:szCs w:val="20"/>
              </w:rPr>
            </w:pPr>
            <w:r>
              <w:rPr>
                <w:rFonts w:hint="eastAsia" w:eastAsia="宋体" w:cs="宋体"/>
                <w:kern w:val="0"/>
                <w:sz w:val="20"/>
                <w:szCs w:val="20"/>
              </w:rPr>
              <w:t>脂质体注射剂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textAlignment w:val="center"/>
              <w:rPr>
                <w:rFonts w:eastAsia="等线" w:cs="等线"/>
                <w:sz w:val="20"/>
                <w:szCs w:val="20"/>
              </w:rPr>
            </w:pPr>
            <w:r>
              <w:rPr>
                <w:rFonts w:eastAsia="等线" w:cs="等线"/>
                <w:kern w:val="0"/>
                <w:sz w:val="20"/>
                <w:szCs w:val="20"/>
              </w:rPr>
              <w:t>限1.卵巢癌的一线化疗及以后卵巢转移性癌的治疗、作为一线化疗，也可与顺铂联合应用；2.用于曾用过含阿霉素标准化疗的乳腺癌患者的后续治疗或复发患者的治疗。3.可与顺铂联合用于不能手术或放疗的非小细胞肺癌患者的一线化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卵巢癌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1.病情诊断证明书；2.病理学检查；3.影像学检查报告（无病理学报告时）。</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乳腺癌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1.病情诊断证明书；2.病理学检查；3.含阿霉素标准化疗的病史资料；4.乳腺癌复发的影像学检查。</w:t>
            </w:r>
          </w:p>
        </w:tc>
      </w:tr>
      <w:tr>
        <w:tblPrEx>
          <w:tblLayout w:type="fixed"/>
          <w:tblCellMar>
            <w:top w:w="15" w:type="dxa"/>
            <w:left w:w="15" w:type="dxa"/>
            <w:bottom w:w="15" w:type="dxa"/>
            <w:right w:w="15" w:type="dxa"/>
          </w:tblCellMar>
        </w:tblPrEx>
        <w:trPr>
          <w:trHeight w:val="90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1.病情诊断证明书；2.病理学检查；3.不能手术或放疗的病史资料。</w:t>
            </w:r>
          </w:p>
        </w:tc>
      </w:tr>
      <w:tr>
        <w:tblPrEx>
          <w:tblLayout w:type="fixed"/>
          <w:tblCellMar>
            <w:top w:w="15" w:type="dxa"/>
            <w:left w:w="15" w:type="dxa"/>
            <w:bottom w:w="15" w:type="dxa"/>
            <w:right w:w="15" w:type="dxa"/>
          </w:tblCellMar>
        </w:tblPrEx>
        <w:trPr>
          <w:trHeight w:val="25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jc w:val="center"/>
              <w:textAlignment w:val="center"/>
              <w:rPr>
                <w:rFonts w:eastAsia="宋体" w:cs="宋体"/>
                <w:sz w:val="18"/>
                <w:szCs w:val="18"/>
              </w:rPr>
            </w:pPr>
            <w:r>
              <w:rPr>
                <w:rFonts w:hint="eastAsia" w:eastAsia="宋体" w:cs="宋体"/>
                <w:kern w:val="0"/>
                <w:sz w:val="18"/>
                <w:szCs w:val="18"/>
              </w:rPr>
              <w:t>33</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阿扎胞苷</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成年患者中1.国际预后评分系统（IPSS）中的中危-2及高危骨髓增生异常综合征（MDS)；2.慢性粒-单核细胞白血病（CMML)；3.按照世界卫生组织（WHO）分类的急性髓系白血病（AML）、骨髓原始细胞为20-30%伴多系发育异常的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骨髓增生异常综合征</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1.病情诊断证明书；2.血常规、骨髓检查报告。</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慢性粒-单核细胞白血病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1.病情诊断证明书；2.血液及骨髓检查报告。</w:t>
            </w:r>
          </w:p>
        </w:tc>
      </w:tr>
      <w:tr>
        <w:tblPrEx>
          <w:tblLayout w:type="fixed"/>
          <w:tblCellMar>
            <w:top w:w="15" w:type="dxa"/>
            <w:left w:w="15" w:type="dxa"/>
            <w:bottom w:w="15" w:type="dxa"/>
            <w:right w:w="15" w:type="dxa"/>
          </w:tblCellMar>
        </w:tblPrEx>
        <w:trPr>
          <w:trHeight w:val="25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急性髓系（性）白血病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1.病情诊断证明书；2.血液及骨髓检查报告。</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jc w:val="center"/>
              <w:textAlignment w:val="center"/>
              <w:rPr>
                <w:rFonts w:eastAsia="宋体" w:cs="宋体"/>
                <w:sz w:val="18"/>
                <w:szCs w:val="18"/>
              </w:rPr>
            </w:pPr>
            <w:r>
              <w:rPr>
                <w:rFonts w:hint="eastAsia" w:eastAsia="宋体" w:cs="宋体"/>
                <w:kern w:val="0"/>
                <w:sz w:val="18"/>
                <w:szCs w:val="18"/>
              </w:rPr>
              <w:t>34</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西妥昔单抗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限RAS基因野生型的转移性结直肠癌。</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转移性结直肠癌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1.病情诊断证明书；2.病理学检查报告；3.影像学检查报告（无病理学报告时）；4.RAS基因检测报告。</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jc w:val="center"/>
              <w:textAlignment w:val="center"/>
              <w:rPr>
                <w:rFonts w:eastAsia="宋体" w:cs="宋体"/>
                <w:sz w:val="18"/>
                <w:szCs w:val="18"/>
              </w:rPr>
            </w:pPr>
            <w:r>
              <w:rPr>
                <w:rFonts w:hint="eastAsia" w:eastAsia="宋体" w:cs="宋体"/>
                <w:kern w:val="0"/>
                <w:sz w:val="18"/>
                <w:szCs w:val="18"/>
              </w:rPr>
              <w:t>35</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贝伐珠单抗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限晚期转移性结直肠癌或晚期非鳞非小细胞肺癌。</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转移性结直肠癌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1.病情诊断证明书；2.病理学检查；3.影像学检查报告（无病理学报告时）。</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2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2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非鳞非小细胞肺癌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1.病情诊断证明书；2.病理学检查；3.影像学检查报告（无病理学报告时）。</w:t>
            </w:r>
          </w:p>
        </w:tc>
      </w:tr>
      <w:tr>
        <w:tblPrEx>
          <w:tblLayout w:type="fixed"/>
          <w:tblCellMar>
            <w:top w:w="15" w:type="dxa"/>
            <w:left w:w="15" w:type="dxa"/>
            <w:bottom w:w="15" w:type="dxa"/>
            <w:right w:w="15" w:type="dxa"/>
          </w:tblCellMar>
        </w:tblPrEx>
        <w:trPr>
          <w:trHeight w:val="887"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20" w:lineRule="exact"/>
              <w:jc w:val="center"/>
              <w:textAlignment w:val="center"/>
              <w:rPr>
                <w:rFonts w:eastAsia="宋体" w:cs="宋体"/>
                <w:sz w:val="18"/>
                <w:szCs w:val="18"/>
              </w:rPr>
            </w:pPr>
            <w:r>
              <w:rPr>
                <w:rFonts w:hint="eastAsia" w:eastAsia="宋体" w:cs="宋体"/>
                <w:kern w:val="0"/>
                <w:sz w:val="18"/>
                <w:szCs w:val="18"/>
              </w:rPr>
              <w:t>36</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尼妥珠单抗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限与放疗联合治疗表皮生长因子受体(EGFR)表达阳性的Ⅲ/Ⅳ期鼻咽癌。</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鼻咽癌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20" w:lineRule="exact"/>
              <w:textAlignment w:val="top"/>
              <w:rPr>
                <w:rFonts w:eastAsia="宋体" w:cs="宋体"/>
                <w:sz w:val="20"/>
                <w:szCs w:val="20"/>
              </w:rPr>
            </w:pPr>
            <w:r>
              <w:rPr>
                <w:rFonts w:hint="eastAsia" w:eastAsia="宋体" w:cs="宋体"/>
                <w:kern w:val="0"/>
                <w:sz w:val="20"/>
                <w:szCs w:val="20"/>
              </w:rPr>
              <w:t>1.病情诊断证明书；2.病理学检查；3.EGFR阳性表达报告；4.放疗联合治疗方案。</w:t>
            </w:r>
          </w:p>
        </w:tc>
      </w:tr>
      <w:tr>
        <w:tblPrEx>
          <w:tblLayout w:type="fixed"/>
          <w:tblCellMar>
            <w:top w:w="15" w:type="dxa"/>
            <w:left w:w="15" w:type="dxa"/>
            <w:bottom w:w="15" w:type="dxa"/>
            <w:right w:w="15" w:type="dxa"/>
          </w:tblCellMar>
        </w:tblPrEx>
        <w:trPr>
          <w:trHeight w:val="340"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18"/>
                <w:szCs w:val="18"/>
              </w:rPr>
            </w:pPr>
            <w:r>
              <w:rPr>
                <w:rFonts w:hint="eastAsia" w:eastAsia="宋体" w:cs="宋体"/>
                <w:kern w:val="0"/>
                <w:sz w:val="18"/>
                <w:szCs w:val="18"/>
              </w:rPr>
              <w:t>37</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曲妥珠单抗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限以下情况方可支付：1.HER2阳性的转移性乳腺癌；2.HER2阳性的早期乳腺癌患者的辅助和新辅助治疗，支付不超过12个月；3.HER2阳性的转移性胃癌患者。</w:t>
            </w:r>
          </w:p>
        </w:tc>
        <w:tc>
          <w:tcPr>
            <w:tcW w:w="189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乳腺癌</w:t>
            </w:r>
          </w:p>
        </w:tc>
        <w:tc>
          <w:tcPr>
            <w:tcW w:w="538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b/>
                <w:sz w:val="20"/>
                <w:szCs w:val="20"/>
              </w:rPr>
            </w:pPr>
            <w:r>
              <w:rPr>
                <w:rFonts w:hint="eastAsia" w:eastAsia="宋体" w:cs="宋体"/>
                <w:b/>
                <w:sz w:val="20"/>
                <w:szCs w:val="20"/>
              </w:rPr>
              <w:t>转移性乳腺癌：</w:t>
            </w:r>
            <w:r>
              <w:rPr>
                <w:rFonts w:hint="eastAsia" w:eastAsia="宋体" w:cs="宋体"/>
                <w:sz w:val="20"/>
                <w:szCs w:val="20"/>
              </w:rPr>
              <w:t>1.病情诊断证明书；2.病理学检查或影像学检查报告；3.HER2阳性表达。</w:t>
            </w:r>
            <w:r>
              <w:rPr>
                <w:rFonts w:hint="eastAsia" w:eastAsia="宋体" w:cs="宋体"/>
                <w:b/>
                <w:sz w:val="20"/>
                <w:szCs w:val="20"/>
              </w:rPr>
              <w:t>早期乳腺癌：</w:t>
            </w:r>
            <w:r>
              <w:rPr>
                <w:rFonts w:hint="eastAsia" w:eastAsia="宋体" w:cs="宋体"/>
                <w:sz w:val="20"/>
                <w:szCs w:val="20"/>
              </w:rPr>
              <w:t>1.病情诊断证明书；2.病理学检查；3.HER2阳性表达。</w:t>
            </w:r>
          </w:p>
        </w:tc>
      </w:tr>
      <w:tr>
        <w:tblPrEx>
          <w:tblLayout w:type="fixed"/>
          <w:tblCellMar>
            <w:top w:w="15" w:type="dxa"/>
            <w:left w:w="15" w:type="dxa"/>
            <w:bottom w:w="15" w:type="dxa"/>
            <w:right w:w="15" w:type="dxa"/>
          </w:tblCellMar>
        </w:tblPrEx>
        <w:trPr>
          <w:trHeight w:val="34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89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b/>
                <w:sz w:val="20"/>
                <w:szCs w:val="20"/>
              </w:rPr>
            </w:pPr>
          </w:p>
        </w:tc>
      </w:tr>
      <w:tr>
        <w:tblPrEx>
          <w:tblLayout w:type="fixed"/>
          <w:tblCellMar>
            <w:top w:w="15" w:type="dxa"/>
            <w:left w:w="15" w:type="dxa"/>
            <w:bottom w:w="15" w:type="dxa"/>
            <w:right w:w="15" w:type="dxa"/>
          </w:tblCellMar>
        </w:tblPrEx>
        <w:trPr>
          <w:trHeight w:val="34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89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b/>
                <w:sz w:val="20"/>
                <w:szCs w:val="20"/>
              </w:rPr>
            </w:pP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胃癌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1.病情诊断证明书；2.病理学检查；3.HER2阳性表达；4.证明为转移性胃癌的影像学或病理学资料。</w:t>
            </w:r>
          </w:p>
        </w:tc>
      </w:tr>
      <w:tr>
        <w:tblPrEx>
          <w:tblLayout w:type="fixed"/>
          <w:tblCellMar>
            <w:top w:w="15" w:type="dxa"/>
            <w:left w:w="15" w:type="dxa"/>
            <w:bottom w:w="15" w:type="dxa"/>
            <w:right w:w="15" w:type="dxa"/>
          </w:tblCellMar>
        </w:tblPrEx>
        <w:trPr>
          <w:trHeight w:val="97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20"/>
                <w:szCs w:val="20"/>
              </w:rPr>
            </w:pPr>
            <w:r>
              <w:rPr>
                <w:rFonts w:hint="eastAsia" w:eastAsia="宋体" w:cs="宋体"/>
                <w:sz w:val="20"/>
                <w:szCs w:val="20"/>
              </w:rPr>
              <w:t>38</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伊尼妥单抗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等线" w:cs="等线"/>
                <w:sz w:val="20"/>
                <w:szCs w:val="20"/>
              </w:rPr>
            </w:pPr>
            <w:r>
              <w:rPr>
                <w:rFonts w:eastAsia="等线" w:cs="等线"/>
                <w:kern w:val="0"/>
                <w:sz w:val="20"/>
                <w:szCs w:val="20"/>
              </w:rPr>
              <w:t>限HER2阳性的转移性乳腺癌：与长春瑞滨联合治疗已接受过1个或多个化疗方案的转移性乳腺癌患者。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等线" w:cs="等线"/>
                <w:sz w:val="20"/>
                <w:szCs w:val="20"/>
              </w:rPr>
            </w:pPr>
            <w:r>
              <w:rPr>
                <w:rFonts w:eastAsia="等线" w:cs="等线"/>
                <w:kern w:val="0"/>
                <w:sz w:val="20"/>
                <w:szCs w:val="20"/>
              </w:rPr>
              <w:t>乳腺癌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等线" w:cs="等线"/>
                <w:sz w:val="20"/>
                <w:szCs w:val="20"/>
              </w:rPr>
            </w:pPr>
            <w:r>
              <w:rPr>
                <w:rFonts w:eastAsia="等线" w:cs="等线"/>
                <w:kern w:val="0"/>
                <w:sz w:val="20"/>
                <w:szCs w:val="20"/>
              </w:rPr>
              <w:t>转移性乳腺癌：1.病情诊断证明书；2.病理学检查或影像学检查报告；3.HER2阳性表达。</w:t>
            </w:r>
          </w:p>
        </w:tc>
      </w:tr>
      <w:tr>
        <w:tblPrEx>
          <w:tblLayout w:type="fixed"/>
          <w:tblCellMar>
            <w:top w:w="15" w:type="dxa"/>
            <w:left w:w="15" w:type="dxa"/>
            <w:bottom w:w="15" w:type="dxa"/>
            <w:right w:w="15" w:type="dxa"/>
          </w:tblCellMar>
        </w:tblPrEx>
        <w:trPr>
          <w:trHeight w:val="145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18"/>
                <w:szCs w:val="18"/>
              </w:rPr>
            </w:pPr>
            <w:r>
              <w:rPr>
                <w:rFonts w:hint="eastAsia" w:eastAsia="宋体" w:cs="宋体"/>
                <w:kern w:val="0"/>
                <w:sz w:val="18"/>
                <w:szCs w:val="18"/>
              </w:rPr>
              <w:t>39</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帕妥珠单抗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限以下情况方可支付，且支付不超过12个月： 1.HER2阳性的局部晚期、炎性或早期乳腺癌患者的新辅助治疗。2.具有高复发风险HER2阳性早期乳腺癌患者的辅助治疗。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乳腺癌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 xml:space="preserve">1.病情诊断证明书；2.病理学检查；3.HER2阳性表达；4.新辅助治疗后须有局部晚期、炎性或早期的影像学检查或病历资料；辅助治疗须具有高复发风险早期病历资料。                         </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18"/>
                <w:szCs w:val="18"/>
              </w:rPr>
            </w:pPr>
            <w:r>
              <w:rPr>
                <w:rFonts w:hint="eastAsia" w:eastAsia="宋体" w:cs="宋体"/>
                <w:sz w:val="18"/>
                <w:szCs w:val="18"/>
              </w:rPr>
              <w:t>40</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信迪利单抗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限至少经过二线系统化疗的复发或难治性经典型霍奇金淋巴瘤的患者。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经典型霍奇金淋巴瘤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1.病情诊断证明书；2.病理学检查；3. 既往接受过二线系统化疗、复发或难治的病史资料。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20"/>
                <w:szCs w:val="20"/>
              </w:rPr>
            </w:pPr>
            <w:r>
              <w:rPr>
                <w:rFonts w:hint="eastAsia" w:eastAsia="宋体" w:cs="宋体"/>
                <w:kern w:val="0"/>
                <w:sz w:val="20"/>
                <w:szCs w:val="20"/>
              </w:rPr>
              <w:t>41</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替雷利珠单抗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right w:val="single" w:color="000000" w:sz="12" w:space="0"/>
            </w:tcBorders>
            <w:shd w:val="clear" w:color="auto" w:fill="auto"/>
            <w:vAlign w:val="center"/>
          </w:tcPr>
          <w:p>
            <w:pPr>
              <w:widowControl/>
              <w:spacing w:line="340" w:lineRule="exact"/>
              <w:textAlignment w:val="center"/>
              <w:rPr>
                <w:rFonts w:eastAsia="等线" w:cs="等线"/>
                <w:sz w:val="20"/>
                <w:szCs w:val="20"/>
              </w:rPr>
            </w:pPr>
            <w:r>
              <w:rPr>
                <w:rFonts w:eastAsia="等线" w:cs="等线"/>
                <w:kern w:val="0"/>
                <w:sz w:val="20"/>
                <w:szCs w:val="20"/>
              </w:rPr>
              <w:t>限至少经过二线系统化疗的复发或难治性经典型霍奇金淋巴瘤的治疗；PD-L1高表达的含铂化疗失败包括新辅助或辅助化疗12个月内进展的局部晚期或转移性尿路上皮癌的治疗。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经典型霍奇金淋巴瘤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1.病情诊断证明书；2.病理学检查；3. 既往接受过二线系统化疗、复发或难治的病史资料。</w:t>
            </w:r>
          </w:p>
        </w:tc>
      </w:tr>
      <w:tr>
        <w:tblPrEx>
          <w:tblLayout w:type="fixed"/>
          <w:tblCellMar>
            <w:top w:w="15" w:type="dxa"/>
            <w:left w:w="15" w:type="dxa"/>
            <w:bottom w:w="15" w:type="dxa"/>
            <w:right w:w="15" w:type="dxa"/>
          </w:tblCellMar>
        </w:tblPrEx>
        <w:trPr>
          <w:trHeight w:val="115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rPr>
                <w:rFonts w:eastAsia="宋体" w:cs="宋体"/>
                <w:sz w:val="20"/>
                <w:szCs w:val="20"/>
              </w:rPr>
            </w:pPr>
          </w:p>
        </w:tc>
        <w:tc>
          <w:tcPr>
            <w:tcW w:w="3453" w:type="dxa"/>
            <w:vMerge w:val="continue"/>
            <w:tcBorders>
              <w:left w:val="single" w:color="000000" w:sz="12" w:space="0"/>
              <w:bottom w:val="single" w:color="000000" w:sz="12" w:space="0"/>
              <w:right w:val="single" w:color="000000" w:sz="12" w:space="0"/>
            </w:tcBorders>
            <w:shd w:val="clear" w:color="auto" w:fill="auto"/>
            <w:vAlign w:val="center"/>
          </w:tcPr>
          <w:p>
            <w:pPr>
              <w:spacing w:line="34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尿路上皮癌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1.病情诊断证明书；2.病理学检查；3.PD-L1免疫组化染色；3.含铂化疗失败的临床资料。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20"/>
                <w:szCs w:val="20"/>
              </w:rPr>
            </w:pPr>
            <w:r>
              <w:rPr>
                <w:rFonts w:hint="eastAsia" w:eastAsia="宋体" w:cs="宋体"/>
                <w:kern w:val="0"/>
                <w:sz w:val="20"/>
                <w:szCs w:val="20"/>
              </w:rPr>
              <w:t>42</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特瑞普利单抗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等线" w:cs="等线"/>
                <w:sz w:val="20"/>
                <w:szCs w:val="20"/>
              </w:rPr>
            </w:pPr>
            <w:r>
              <w:rPr>
                <w:rFonts w:eastAsia="等线" w:cs="等线"/>
                <w:kern w:val="0"/>
                <w:sz w:val="20"/>
                <w:szCs w:val="20"/>
              </w:rPr>
              <w:t>限既往接受全身系统治疗失败的不可切除或转移性黑色素瘤的治疗。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等线" w:cs="等线"/>
                <w:sz w:val="20"/>
                <w:szCs w:val="20"/>
              </w:rPr>
            </w:pPr>
            <w:r>
              <w:rPr>
                <w:rFonts w:eastAsia="等线" w:cs="等线"/>
                <w:kern w:val="0"/>
                <w:sz w:val="20"/>
                <w:szCs w:val="20"/>
              </w:rPr>
              <w:t>黑色素瘤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1.病情诊断证明书；2.病理学检查；3.系统治疗失败或不能手术切除的病史资料。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20"/>
                <w:szCs w:val="20"/>
              </w:rPr>
            </w:pPr>
            <w:r>
              <w:rPr>
                <w:rFonts w:hint="eastAsia" w:eastAsia="宋体" w:cs="宋体"/>
                <w:kern w:val="0"/>
                <w:sz w:val="20"/>
                <w:szCs w:val="20"/>
              </w:rPr>
              <w:t>43</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卡瑞利珠单抗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auto" w:sz="4" w:space="0"/>
              <w:right w:val="single" w:color="000000" w:sz="12" w:space="0"/>
            </w:tcBorders>
            <w:shd w:val="clear" w:color="auto" w:fill="auto"/>
            <w:vAlign w:val="center"/>
          </w:tcPr>
          <w:p>
            <w:pPr>
              <w:widowControl/>
              <w:spacing w:line="340" w:lineRule="exact"/>
              <w:textAlignment w:val="center"/>
              <w:rPr>
                <w:rFonts w:eastAsia="等线" w:cs="等线"/>
                <w:sz w:val="20"/>
                <w:szCs w:val="20"/>
              </w:rPr>
            </w:pPr>
            <w:r>
              <w:rPr>
                <w:rFonts w:eastAsia="等线" w:cs="等线"/>
                <w:kern w:val="0"/>
                <w:sz w:val="20"/>
                <w:szCs w:val="20"/>
              </w:rPr>
              <w:t>限1.至少经过二线系统化疗的复发或难治性经典型霍奇金淋巴瘤患者的治疗。2.既往接受过索拉非尼治疗和/或含奥沙利铂系统化疗的晚期肝细胞癌患者的治疗。3.联合培美曲塞和卡铂适用于表皮生长因子受体（EGFR）基因突变阴性和间变性淋巴瘤激酶（ALK）阴性的、不可手术切除的局部晚期或转移性非鳞状非小细胞肺癌（NSCLC）的一线治疗。4.既往接受过一线化疗后疾病进展或不可耐受的局部晚期或转移性食管鳞癌患者的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经典型霍奇金淋巴瘤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1.病情诊断证明书；2.病理学检查；3. 既往接受过二线系统化疗、复发或难治的病史资料。</w:t>
            </w:r>
          </w:p>
        </w:tc>
      </w:tr>
      <w:tr>
        <w:tblPrEx>
          <w:tblLayout w:type="fixed"/>
          <w:tblCellMar>
            <w:top w:w="15" w:type="dxa"/>
            <w:left w:w="15" w:type="dxa"/>
            <w:bottom w:w="15" w:type="dxa"/>
            <w:right w:w="15" w:type="dxa"/>
          </w:tblCellMar>
        </w:tblPrEx>
        <w:trPr>
          <w:trHeight w:val="73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auto" w:sz="4" w:space="0"/>
              <w:left w:val="single" w:color="000000" w:sz="12" w:space="0"/>
              <w:bottom w:val="single" w:color="auto" w:sz="4"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肝细胞癌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 既往接受过索拉非尼治疗和/或含奥沙利铂系统化疗的病史资料；4.肝癌分期所需的影像学检查。</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auto" w:sz="4" w:space="0"/>
              <w:left w:val="single" w:color="000000" w:sz="12" w:space="0"/>
              <w:bottom w:val="single" w:color="auto" w:sz="4"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非鳞状非小细胞肺癌（NSCLC）</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 EGFR基因检测；4.间变性淋巴瘤激酶（ALK）免疫组化。</w:t>
            </w:r>
          </w:p>
        </w:tc>
      </w:tr>
      <w:tr>
        <w:tblPrEx>
          <w:tblLayout w:type="fixed"/>
          <w:tblCellMar>
            <w:top w:w="15" w:type="dxa"/>
            <w:left w:w="15" w:type="dxa"/>
            <w:bottom w:w="15" w:type="dxa"/>
            <w:right w:w="15" w:type="dxa"/>
          </w:tblCellMar>
        </w:tblPrEx>
        <w:trPr>
          <w:trHeight w:val="82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auto" w:sz="4"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食管鳞癌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 既往接受过一线化疗后疾病进展的病史资料。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44</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厄洛替尼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限表皮生长因子受体（EGFR）基因敏感突变的晚期非小细胞肺癌患者。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1.病情诊断证明书；2.病理学检查；3.EGFR基因检测敏感突变。</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45</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阿法替尼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1.具有EGFR基因敏感突变的局部晚期或转移性非小细胞肺癌，既往未接受过EGFR-TKI治疗。2.含铂化疗期间或化疗后疾病进展的局部晚期或转移性鳞状组织学类型的非小细胞肺癌。</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1.病情诊断证明书；2.病理学检查报告；3.EGFR基因检测敏感突变。</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肺鳞癌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1.病情诊断证明书；2.病理学检查报告；3.含铂化疗期间或化疗后疾病进展的病史资料。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46</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氟马替尼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限费城染色体阳性的慢性髓性白血病（Ph+ CML）慢性期成人患者。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慢性髓性白血病</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1.病情诊断证明书；2.血液及骨髓检查报告；3.费城染色体阳性和（或）BCR/ABL融合基因检查阳性。</w:t>
            </w:r>
          </w:p>
        </w:tc>
      </w:tr>
      <w:tr>
        <w:tblPrEx>
          <w:tblLayout w:type="fixed"/>
          <w:tblCellMar>
            <w:top w:w="15" w:type="dxa"/>
            <w:left w:w="15" w:type="dxa"/>
            <w:bottom w:w="15" w:type="dxa"/>
            <w:right w:w="15" w:type="dxa"/>
          </w:tblCellMar>
        </w:tblPrEx>
        <w:trPr>
          <w:trHeight w:val="90"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47</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奥希替尼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表皮生长因子受体（EGFR）外显子19缺失或外显子21（L858R）置换突变的局部晚期或转移性非小细胞肺癌（NSCLC）成人患者的一线治疗；既往因表皮生长因子受体（EGFR）酪氨酸激酶抑制剂（TKI）治疗时或治疗后出现疾病进展，并且经检验确认存在EGFR T790M 突变阳性的局部晚期或转移性非小细胞肺癌成人患者的治疗。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1.病情诊断证明书；2.病理学检查报告；3.影像学检查报告；4.EGFR T790M 突变阳性报告；5.表皮生长因子受体（EGFR）酪氨酸激酶抑制剂（TKI）治疗时或治疗后出现疾病进展的病史资料；6.NSCLC治疗时提供表皮生长因子受体（EGFR）外显子19缺失或外显子21（L858R）置换突变报告。</w:t>
            </w:r>
          </w:p>
        </w:tc>
      </w:tr>
      <w:tr>
        <w:tblPrEx>
          <w:tblLayout w:type="fixed"/>
          <w:tblCellMar>
            <w:top w:w="15" w:type="dxa"/>
            <w:left w:w="15" w:type="dxa"/>
            <w:bottom w:w="15" w:type="dxa"/>
            <w:right w:w="15" w:type="dxa"/>
          </w:tblCellMar>
        </w:tblPrEx>
        <w:trPr>
          <w:trHeight w:val="16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48</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阿美替尼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限既往因表皮生长因子受体（EGFR）酪氨酸激酶抑制剂（TKI）治疗时或治疗后出现疾病进展，并且经检验确认存在EGFR T790M 突变阳性的局部晚期或转移性非小细胞肺癌成人患者。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1.病情诊断证明书；2.病理学检查报告；3.影像学检查报告；4.EGFR T790M 突变阳性报告；5.表皮生长因子受体（EGFR）酪氨酸激酶抑制剂（TKI）治疗时或治疗后出现疾病进展的病史资料。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49</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安罗替尼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1.既往至少接受过2种系统化疗后出现进展或复发的局部晚期或转移性非小细胞肺癌患者。2.既往至少接受过2种化疗方案治疗后进展或复发的小细胞肺癌患者。3.腺泡状软组织肉瘤、透明细胞肉瘤以及既往至少接受过含蒽环类化疗方案治疗后进展或复发的其他晚期软组织肉瘤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1.病情诊断证明书；2.病理学检查报告；3.影像学检查报告；4.既往至少接受过2种系统化疗出现进展或复发病史资料。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1.病情诊断证明书；2.病理学检查报告；3.影像学检查报告；4.既往至少接受过2种系统化疗出现进展或复发病史资料。</w:t>
            </w:r>
          </w:p>
        </w:tc>
      </w:tr>
      <w:tr>
        <w:tblPrEx>
          <w:tblLayout w:type="fixed"/>
          <w:tblCellMar>
            <w:top w:w="15" w:type="dxa"/>
            <w:left w:w="15" w:type="dxa"/>
            <w:bottom w:w="15" w:type="dxa"/>
            <w:right w:w="15" w:type="dxa"/>
          </w:tblCellMar>
        </w:tblPrEx>
        <w:trPr>
          <w:trHeight w:val="9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.腺泡状软组织肉瘤、透明细胞肉瘤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w:t>
            </w:r>
          </w:p>
        </w:tc>
      </w:tr>
      <w:tr>
        <w:tblPrEx>
          <w:tblLayout w:type="fixed"/>
          <w:tblCellMar>
            <w:top w:w="15" w:type="dxa"/>
            <w:left w:w="15" w:type="dxa"/>
            <w:bottom w:w="15" w:type="dxa"/>
            <w:right w:w="15" w:type="dxa"/>
          </w:tblCellMar>
        </w:tblPrEx>
        <w:trPr>
          <w:trHeight w:val="48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其他晚期软组织肉瘤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1.病情诊断证明书；2.病理学检查报告；3.接受过含蒽环类化疗方案治疗后进展或复发的病史资料。</w:t>
            </w:r>
          </w:p>
        </w:tc>
      </w:tr>
      <w:tr>
        <w:tblPrEx>
          <w:tblLayout w:type="fixed"/>
          <w:tblCellMar>
            <w:top w:w="15" w:type="dxa"/>
            <w:left w:w="15" w:type="dxa"/>
            <w:bottom w:w="15" w:type="dxa"/>
            <w:right w:w="15" w:type="dxa"/>
          </w:tblCellMar>
        </w:tblPrEx>
        <w:trPr>
          <w:trHeight w:val="97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sz w:val="18"/>
                <w:szCs w:val="18"/>
              </w:rPr>
              <w:t>50</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克唑替尼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限间变性淋巴瘤激酶（ALK）阳性的局部晚期或转移性非小细胞肺癌患者或 ROS1阳性的晚期非小细胞肺癌患者。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1.病情诊断证明书；2.病理学检查报告；3.影像学检查报告；4.符合下列两项之一：（1）生物分子标志物检测ALK阳性；（2）生物分子标志物检测ROS1阳性(FISH或PCR或NGS方法）。</w:t>
            </w:r>
          </w:p>
        </w:tc>
      </w:tr>
      <w:tr>
        <w:tblPrEx>
          <w:tblLayout w:type="fixed"/>
          <w:tblCellMar>
            <w:top w:w="15" w:type="dxa"/>
            <w:left w:w="15" w:type="dxa"/>
            <w:bottom w:w="15" w:type="dxa"/>
            <w:right w:w="15" w:type="dxa"/>
          </w:tblCellMar>
        </w:tblPrEx>
        <w:trPr>
          <w:trHeight w:val="97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51</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塞瑞替尼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限间变性淋巴瘤激酶（ALK）阳性的局部晚期或转移性非小细胞肺癌（NSCLC）患者的治疗。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1.病情诊断证明书；2.病理学检查报告；3.影像学检查报告（无病理学报告时）；4.生物分子标志物检测ALK阳性。</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0" w:lineRule="exact"/>
              <w:jc w:val="center"/>
              <w:textAlignment w:val="center"/>
              <w:rPr>
                <w:rFonts w:eastAsia="宋体" w:cs="宋体"/>
                <w:sz w:val="18"/>
                <w:szCs w:val="18"/>
              </w:rPr>
            </w:pPr>
            <w:r>
              <w:rPr>
                <w:rFonts w:hint="eastAsia" w:eastAsia="宋体" w:cs="宋体"/>
                <w:kern w:val="0"/>
                <w:sz w:val="18"/>
                <w:szCs w:val="18"/>
              </w:rPr>
              <w:t>52</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阿来替尼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限间变性淋巴瘤激酶（ALK）阳性的局部晚期或转移性非小细胞肺癌患者。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1.病情诊断证明书；2.病理学检查报告；3.影像学检查报告（无病理学报告时）；4.生物分子标志物检测ALK阳性。</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0" w:lineRule="exact"/>
              <w:jc w:val="center"/>
              <w:textAlignment w:val="center"/>
              <w:rPr>
                <w:rFonts w:eastAsia="宋体" w:cs="宋体"/>
                <w:sz w:val="18"/>
                <w:szCs w:val="18"/>
              </w:rPr>
            </w:pPr>
            <w:r>
              <w:rPr>
                <w:rFonts w:hint="eastAsia" w:eastAsia="宋体" w:cs="宋体"/>
                <w:kern w:val="0"/>
                <w:sz w:val="18"/>
                <w:szCs w:val="18"/>
              </w:rPr>
              <w:t>53</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培唑帕尼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限晚期肾细胞癌患者的一线治疗和曾经接受过细胞因子治疗的晚期肾细胞癌的治疗。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肾细胞癌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1.病情诊断证明书；2.病理学检查报告；3.影像学检查报告（无病理学报告时）；4.一线治疗或曾经接受过细胞因子治疗的病史证明资料。</w:t>
            </w:r>
          </w:p>
        </w:tc>
      </w:tr>
      <w:tr>
        <w:tblPrEx>
          <w:tblLayout w:type="fixed"/>
          <w:tblCellMar>
            <w:top w:w="15" w:type="dxa"/>
            <w:left w:w="15" w:type="dxa"/>
            <w:bottom w:w="15" w:type="dxa"/>
            <w:right w:w="15" w:type="dxa"/>
          </w:tblCellMar>
        </w:tblPrEx>
        <w:trPr>
          <w:trHeight w:val="97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0" w:lineRule="exact"/>
              <w:jc w:val="center"/>
              <w:textAlignment w:val="center"/>
              <w:rPr>
                <w:rFonts w:eastAsia="宋体" w:cs="宋体"/>
                <w:sz w:val="18"/>
                <w:szCs w:val="18"/>
              </w:rPr>
            </w:pPr>
            <w:r>
              <w:rPr>
                <w:rFonts w:hint="eastAsia" w:eastAsia="宋体" w:cs="宋体"/>
                <w:kern w:val="0"/>
                <w:sz w:val="18"/>
                <w:szCs w:val="18"/>
              </w:rPr>
              <w:t>54</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阿昔替尼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限既往接受过一种酪氨酸激酶抑制剂或细胞因子治疗失败的进展期肾细胞癌(RCC)的成人患者。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肾细胞癌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 xml:space="preserve"> 1.病情诊断证明书；2.病理学检查报告；3.肿瘤进展符合RECIST标准；4.既往接受过一种酪氨酸激酶抑制剂或细胞因子治疗失败的病史资料。</w:t>
            </w:r>
          </w:p>
        </w:tc>
      </w:tr>
      <w:tr>
        <w:tblPrEx>
          <w:tblLayout w:type="fixed"/>
          <w:tblCellMar>
            <w:top w:w="15" w:type="dxa"/>
            <w:left w:w="15" w:type="dxa"/>
            <w:bottom w:w="15" w:type="dxa"/>
            <w:right w:w="15" w:type="dxa"/>
          </w:tblCellMar>
        </w:tblPrEx>
        <w:trPr>
          <w:trHeight w:val="25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0" w:lineRule="exact"/>
              <w:jc w:val="center"/>
              <w:textAlignment w:val="center"/>
              <w:rPr>
                <w:rFonts w:eastAsia="宋体" w:cs="宋体"/>
                <w:sz w:val="18"/>
                <w:szCs w:val="18"/>
              </w:rPr>
            </w:pPr>
            <w:r>
              <w:rPr>
                <w:rFonts w:hint="eastAsia" w:eastAsia="宋体" w:cs="宋体"/>
                <w:kern w:val="0"/>
                <w:sz w:val="18"/>
                <w:szCs w:val="18"/>
              </w:rPr>
              <w:t>55</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索拉非尼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限以下情况方可支付：1.不能手术的肾细胞癌。2.不能手术或远处转移的肝细胞癌。3.放射性碘治疗无效的局部复发或转移性、分化型甲状腺癌。</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肾细胞癌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1.病情诊断证明书；2.病理学检查；3.不能手术的病史资料。</w:t>
            </w:r>
          </w:p>
        </w:tc>
      </w:tr>
      <w:tr>
        <w:tblPrEx>
          <w:tblLayout w:type="fixed"/>
          <w:tblCellMar>
            <w:top w:w="15" w:type="dxa"/>
            <w:left w:w="15" w:type="dxa"/>
            <w:bottom w:w="15" w:type="dxa"/>
            <w:right w:w="15" w:type="dxa"/>
          </w:tblCellMar>
        </w:tblPrEx>
        <w:trPr>
          <w:trHeight w:val="73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8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肝细胞癌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1.病情诊断证明书；2.病理学检查或影像学报告；3.不能手术的：需提供病史资料；远处转移的：需提供影像学或病理学检查报告。</w:t>
            </w:r>
          </w:p>
        </w:tc>
      </w:tr>
      <w:tr>
        <w:tblPrEx>
          <w:tblLayout w:type="fixed"/>
          <w:tblCellMar>
            <w:top w:w="15" w:type="dxa"/>
            <w:left w:w="15" w:type="dxa"/>
            <w:bottom w:w="15" w:type="dxa"/>
            <w:right w:w="15" w:type="dxa"/>
          </w:tblCellMar>
        </w:tblPrEx>
        <w:trPr>
          <w:trHeight w:val="73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8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分化型甲状腺癌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1.病情诊断证明书；2.病理学检查；3.放射性碘治疗无效局部复发的：需提供病史资料；放射性碘治疗无效转移的：需提供影像学或病理学检查报告。</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0" w:lineRule="exact"/>
              <w:jc w:val="center"/>
              <w:textAlignment w:val="center"/>
              <w:rPr>
                <w:rFonts w:eastAsia="宋体" w:cs="宋体"/>
                <w:sz w:val="18"/>
                <w:szCs w:val="18"/>
              </w:rPr>
            </w:pPr>
            <w:r>
              <w:rPr>
                <w:rFonts w:hint="eastAsia" w:eastAsia="宋体" w:cs="宋体"/>
                <w:kern w:val="0"/>
                <w:sz w:val="18"/>
                <w:szCs w:val="18"/>
              </w:rPr>
              <w:t>56</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瑞戈非尼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1.肝细胞癌二线治疗；2.转移性结直肠癌三线治疗；3.胃肠道间质瘤三线治疗。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肝细胞癌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1.病情诊断证明书；2.病理学检查或影像学报告；3.一线药物治疗失败或不能耐受的病史资料。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8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转移性结直肠癌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1.病情诊断证明书；2.病理学检查报告或影像学检查报告；3.一线、二线药物治疗失败或不能耐受的病史资料。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8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胃肠道间质瘤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1.病情诊断证明书；2.病理学检查报告；3.一线、二线药物治疗失败或不能耐受的病史资料。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0" w:lineRule="exact"/>
              <w:jc w:val="center"/>
              <w:textAlignment w:val="center"/>
              <w:rPr>
                <w:rFonts w:eastAsia="宋体" w:cs="宋体"/>
                <w:sz w:val="18"/>
                <w:szCs w:val="18"/>
              </w:rPr>
            </w:pPr>
            <w:r>
              <w:rPr>
                <w:rFonts w:hint="eastAsia" w:eastAsia="宋体" w:cs="宋体"/>
                <w:kern w:val="0"/>
                <w:sz w:val="18"/>
                <w:szCs w:val="18"/>
              </w:rPr>
              <w:t>57</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舒尼替尼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1.不能手术的晚期肾细胞癌（RCC)；2.甲磺酸伊马替尼治疗失败或不能耐受的胃肠间质瘤（GIST)；3.不可切除的，转移性高分化进展期胰腺神经内分泌瘤（pNET）成人患者。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肾细胞癌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1.病情诊断证明书；2.病理学检查报告；3.不能手术的病史资料。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8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胃肠间质瘤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0" w:lineRule="exact"/>
              <w:textAlignment w:val="top"/>
              <w:rPr>
                <w:rFonts w:eastAsia="宋体" w:cs="宋体"/>
                <w:sz w:val="20"/>
                <w:szCs w:val="20"/>
              </w:rPr>
            </w:pPr>
            <w:r>
              <w:rPr>
                <w:rFonts w:hint="eastAsia" w:eastAsia="宋体" w:cs="宋体"/>
                <w:kern w:val="0"/>
                <w:sz w:val="20"/>
                <w:szCs w:val="20"/>
              </w:rPr>
              <w:t>1.病情诊断证明书；2.病理学检查报告；3.甲磺酸伊马替尼治疗失败或不能耐受的病史资料。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胰腺神经内分泌瘤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1.病情诊断证明书；2.病理学检查报告；3.不可手术切除的病史资料。</w:t>
            </w:r>
          </w:p>
        </w:tc>
      </w:tr>
      <w:tr>
        <w:tblPrEx>
          <w:tblLayout w:type="fixed"/>
          <w:tblCellMar>
            <w:top w:w="15" w:type="dxa"/>
            <w:left w:w="15" w:type="dxa"/>
            <w:bottom w:w="15" w:type="dxa"/>
            <w:right w:w="15" w:type="dxa"/>
          </w:tblCellMar>
        </w:tblPrEx>
        <w:trPr>
          <w:trHeight w:val="73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18"/>
                <w:szCs w:val="18"/>
              </w:rPr>
            </w:pPr>
            <w:r>
              <w:rPr>
                <w:rFonts w:hint="eastAsia" w:eastAsia="宋体" w:cs="宋体"/>
                <w:kern w:val="0"/>
                <w:sz w:val="18"/>
                <w:szCs w:val="18"/>
              </w:rPr>
              <w:t>58</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阿帕替尼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限既往至少接受过2种系统化疗后进展或复发的晚期胃腺癌或胃-食管结合部腺癌患者。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胃腺癌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1.病情诊断证明书；2.病理学检查；3.既往接受过至少两种系统化疗后疾病进展或复发的病史资料；4.证明为晚期的影像学或病理学检查报告</w:t>
            </w:r>
          </w:p>
        </w:tc>
      </w:tr>
      <w:tr>
        <w:tblPrEx>
          <w:tblLayout w:type="fixed"/>
          <w:tblCellMar>
            <w:top w:w="15" w:type="dxa"/>
            <w:left w:w="15" w:type="dxa"/>
            <w:bottom w:w="15" w:type="dxa"/>
            <w:right w:w="15" w:type="dxa"/>
          </w:tblCellMar>
        </w:tblPrEx>
        <w:trPr>
          <w:trHeight w:val="73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胃-食管结合部腺癌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1.病情诊断证明书；2.病理学检查；3.既往接受过至少两种系统化疗后疾病进展或复发的病史资料；4.证明为晚期的影像学或病理学检查报告。</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18"/>
                <w:szCs w:val="18"/>
              </w:rPr>
            </w:pPr>
            <w:r>
              <w:rPr>
                <w:rFonts w:hint="eastAsia" w:eastAsia="宋体" w:cs="宋体"/>
                <w:kern w:val="0"/>
                <w:sz w:val="18"/>
                <w:szCs w:val="18"/>
              </w:rPr>
              <w:t>59</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呋喹替尼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限转移性结直肠癌患者的三线治疗。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结直肠癌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1.病情诊断证明书；2.病理学检查报告；3.影像学检查报告（无病理学报告时）；4.一线、二线药物治疗失败或不能耐受的病史资料。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18"/>
                <w:szCs w:val="18"/>
              </w:rPr>
            </w:pPr>
            <w:r>
              <w:rPr>
                <w:rFonts w:hint="eastAsia" w:eastAsia="宋体" w:cs="宋体"/>
                <w:sz w:val="18"/>
                <w:szCs w:val="18"/>
              </w:rPr>
              <w:t>60</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吡咯替尼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限表皮生长因子受体2（HER2）阳性的复发或转移性乳腺癌患者的二线治疗。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乳腺癌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1.病情诊断证明书；2.病理学或影像学检查；3.HER2阳性表达；4.  一线药物治疗病史资料。</w:t>
            </w:r>
          </w:p>
        </w:tc>
      </w:tr>
      <w:tr>
        <w:tblPrEx>
          <w:tblLayout w:type="fixed"/>
          <w:tblCellMar>
            <w:top w:w="15" w:type="dxa"/>
            <w:left w:w="15" w:type="dxa"/>
            <w:bottom w:w="15" w:type="dxa"/>
            <w:right w:w="15" w:type="dxa"/>
          </w:tblCellMar>
        </w:tblPrEx>
        <w:trPr>
          <w:trHeight w:val="840"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18"/>
                <w:szCs w:val="18"/>
              </w:rPr>
            </w:pPr>
            <w:r>
              <w:rPr>
                <w:rFonts w:hint="eastAsia" w:eastAsia="宋体" w:cs="宋体"/>
                <w:kern w:val="0"/>
                <w:sz w:val="18"/>
                <w:szCs w:val="18"/>
              </w:rPr>
              <w:t>61</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尼洛替尼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限治疗新诊断的费城染色体阳性的慢性髓性白血病（Ph+ CML）慢性期成人患者，或对既往治疗（包括伊马替尼）耐药或不耐受的费城染色体阳性的慢性髓性白血病（Ph+ CML）慢性期或加速期成人患者。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慢性髓性白血病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1.病情诊断证明书；2.血液及骨髓检查报告；3.费城染色体阳性和（或）BCR/ABL融合基因检查阳性；4.既往接受过治疗（包括伊马替尼）出现耐药或不耐受的病史资料。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18"/>
                <w:szCs w:val="18"/>
              </w:rPr>
            </w:pPr>
            <w:r>
              <w:rPr>
                <w:rFonts w:hint="eastAsia" w:eastAsia="宋体" w:cs="宋体"/>
                <w:kern w:val="0"/>
                <w:sz w:val="18"/>
                <w:szCs w:val="18"/>
              </w:rPr>
              <w:t>62</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伊布替尼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限1.既往至少接受过一种治疗的套细胞淋巴瘤（MCL）患者的治疗；2.慢性淋巴细胞白血病/小淋巴细胞淋巴瘤（CLL/SLL）患者的治疗；3.华氏巨球蛋白血症患者的治疗，按说明书用药。。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套细胞淋巴瘤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1.病情诊断证明书；2.病理学检查报告；3.既往至少接受过一种治疗的病史资料。</w:t>
            </w:r>
          </w:p>
        </w:tc>
      </w:tr>
      <w:tr>
        <w:tblPrEx>
          <w:tblLayout w:type="fixed"/>
          <w:tblCellMar>
            <w:top w:w="15" w:type="dxa"/>
            <w:left w:w="15" w:type="dxa"/>
            <w:bottom w:w="15" w:type="dxa"/>
            <w:right w:w="15" w:type="dxa"/>
          </w:tblCellMar>
        </w:tblPrEx>
        <w:trPr>
          <w:trHeight w:val="42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慢性淋巴细胞白血病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1.病情诊断证明书；2.血常规；3.骨髓细胞检查报告。</w:t>
            </w:r>
          </w:p>
        </w:tc>
      </w:tr>
      <w:tr>
        <w:tblPrEx>
          <w:tblLayout w:type="fixed"/>
          <w:tblCellMar>
            <w:top w:w="15" w:type="dxa"/>
            <w:left w:w="15" w:type="dxa"/>
            <w:bottom w:w="15" w:type="dxa"/>
            <w:right w:w="15" w:type="dxa"/>
          </w:tblCellMar>
        </w:tblPrEx>
        <w:trPr>
          <w:trHeight w:val="60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小淋巴细胞淋巴瘤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1.病情诊断证明书；2、病理学检查报告。</w:t>
            </w:r>
          </w:p>
        </w:tc>
      </w:tr>
      <w:tr>
        <w:tblPrEx>
          <w:tblLayout w:type="fixed"/>
          <w:tblCellMar>
            <w:top w:w="15" w:type="dxa"/>
            <w:left w:w="15" w:type="dxa"/>
            <w:bottom w:w="15" w:type="dxa"/>
            <w:right w:w="15" w:type="dxa"/>
          </w:tblCellMar>
        </w:tblPrEx>
        <w:trPr>
          <w:trHeight w:val="42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华氏巨球蛋白血症</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1.病情诊断证明书；2.血清蛋白电泳；3.骨髓细胞检查报告。</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jc w:val="center"/>
              <w:textAlignment w:val="center"/>
              <w:rPr>
                <w:rFonts w:eastAsia="宋体" w:cs="宋体"/>
                <w:sz w:val="20"/>
                <w:szCs w:val="20"/>
              </w:rPr>
            </w:pPr>
            <w:r>
              <w:rPr>
                <w:rFonts w:hint="eastAsia" w:eastAsia="宋体" w:cs="宋体"/>
                <w:kern w:val="0"/>
                <w:sz w:val="20"/>
                <w:szCs w:val="20"/>
              </w:rPr>
              <w:t>63</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泽布替尼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40" w:lineRule="exact"/>
              <w:textAlignment w:val="center"/>
              <w:rPr>
                <w:rFonts w:eastAsia="等线" w:cs="等线"/>
                <w:sz w:val="20"/>
                <w:szCs w:val="20"/>
              </w:rPr>
            </w:pPr>
            <w:r>
              <w:rPr>
                <w:rFonts w:eastAsia="等线" w:cs="等线"/>
                <w:kern w:val="0"/>
                <w:sz w:val="20"/>
                <w:szCs w:val="20"/>
              </w:rPr>
              <w:t>限：1.既往至少接受过一种治疗的成人套细胞淋巴瘤（MCL）患者。2.既往至少接受过一种治疗的成人慢性淋巴细胞白血病（CLL）/ 小淋巴细胞淋巴瘤（SLL）患者。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套细胞淋巴瘤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40" w:lineRule="exact"/>
              <w:textAlignment w:val="top"/>
              <w:rPr>
                <w:rFonts w:eastAsia="宋体" w:cs="宋体"/>
                <w:sz w:val="20"/>
                <w:szCs w:val="20"/>
              </w:rPr>
            </w:pPr>
            <w:r>
              <w:rPr>
                <w:rFonts w:hint="eastAsia" w:eastAsia="宋体" w:cs="宋体"/>
                <w:kern w:val="0"/>
                <w:sz w:val="20"/>
                <w:szCs w:val="20"/>
              </w:rPr>
              <w:t>1.病情诊断证明书；2.病理学检查报告；3.既往至少接受过一种治疗的病史资料。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慢性淋巴细胞白血病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1.病情诊断证明书；2.血常规；3.骨髓细胞检查报告；3.既往至少接受过一种治疗的病史资料。</w:t>
            </w:r>
          </w:p>
        </w:tc>
      </w:tr>
      <w:tr>
        <w:tblPrEx>
          <w:tblLayout w:type="fixed"/>
          <w:tblCellMar>
            <w:top w:w="15" w:type="dxa"/>
            <w:left w:w="15" w:type="dxa"/>
            <w:bottom w:w="15" w:type="dxa"/>
            <w:right w:w="15" w:type="dxa"/>
          </w:tblCellMar>
        </w:tblPrEx>
        <w:trPr>
          <w:trHeight w:val="72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小淋巴细胞淋巴瘤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1.病情诊断证明书；2、病理学检查报告；3.既往至少接受过一种治疗的病史资料。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64</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维莫非尼</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治疗经CFDA批准的检测方法确定的BRAF V600 突变阳性的不可切除或转移性黑色素瘤。</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黑色素瘤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1.病情诊断证明书；2.病理学检查报告；3.影像学检查报告；4.经国家药监局批准的检测方法确定BRAF V600 突变阳性；5.不可切除的病史资料。</w:t>
            </w:r>
          </w:p>
        </w:tc>
      </w:tr>
      <w:tr>
        <w:tblPrEx>
          <w:tblLayout w:type="fixed"/>
          <w:tblCellMar>
            <w:top w:w="15" w:type="dxa"/>
            <w:left w:w="15" w:type="dxa"/>
            <w:bottom w:w="15" w:type="dxa"/>
            <w:right w:w="15" w:type="dxa"/>
          </w:tblCellMar>
        </w:tblPrEx>
        <w:trPr>
          <w:trHeight w:val="25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65</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芦可替尼</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限中危或高危的原发性骨髓纤维化（PMF）、真性红细胞增多症继发的骨髓纤维化（PPV-MF）或原发性血小板增多症继发的骨髓纤维化（PET-MF）的患者。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原发性骨髓纤维化</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1、病情诊断证明书；2.骨髓病理学检查。</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继发性骨髓纤维化</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1、病情诊断证明书；2.骨髓病理学检查；3.继发性骨髓纤维化需提供真性红细胞增多症或原发性血小板增多症病史资料。</w:t>
            </w:r>
          </w:p>
        </w:tc>
      </w:tr>
      <w:tr>
        <w:tblPrEx>
          <w:tblLayout w:type="fixed"/>
          <w:tblCellMar>
            <w:top w:w="15" w:type="dxa"/>
            <w:left w:w="15" w:type="dxa"/>
            <w:bottom w:w="15" w:type="dxa"/>
            <w:right w:w="15" w:type="dxa"/>
          </w:tblCellMar>
        </w:tblPrEx>
        <w:trPr>
          <w:trHeight w:val="151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66</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曲美替尼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限1.BRAF V600 突变阳性不可切除或转移性黑色素瘤：联合甲磺酸达拉非尼适用于治疗BRAF V600 突变阳性的不可切除或转移性黑色素瘤患者。2.BRAF V600 突变阳性黑色素瘤的术后辅助治疗：联合甲磺酸达拉非尼适用于BRAF V600 突变阳性的III期黑色素瘤患者完全切除后的辅助治疗。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BRAF V600突变阳性黑色素瘤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1.病情诊断证明书；2.病理学检查报告；3.影像学检查报告（转移性黑色素瘤）；4.经国家药监局批准的检测方法确定BRAF V600 突变阳性；5.相关病史资料。</w:t>
            </w:r>
          </w:p>
        </w:tc>
      </w:tr>
      <w:tr>
        <w:tblPrEx>
          <w:tblLayout w:type="fixed"/>
          <w:tblCellMar>
            <w:top w:w="15" w:type="dxa"/>
            <w:left w:w="15" w:type="dxa"/>
            <w:bottom w:w="15" w:type="dxa"/>
            <w:right w:w="15" w:type="dxa"/>
          </w:tblCellMar>
        </w:tblPrEx>
        <w:trPr>
          <w:trHeight w:val="241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67</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达拉非尼</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限1.BRAF V600 突变阳性不可切除或转移性黑色素瘤：联合曲美替尼适用于治疗BRAF V600 突变阳性的不可切除或转移性黑色素瘤患者。2.BRAF V600 突变阳性黑色素瘤的术后辅助治疗：联合曲美替尼适用于BRAF V600 突变阳性的III期黑色素瘤患者完全切除后的辅助治疗。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BRAF V600突变阳性黑色素瘤</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1.病情诊断证明书；2.病理学检查报告；3.影像学检查报告（转移性黑色素瘤）；4.经国家药监局批准的检测方法确定BRAF V600 突变阳性；5.相关病史资料。</w:t>
            </w:r>
          </w:p>
        </w:tc>
      </w:tr>
      <w:tr>
        <w:tblPrEx>
          <w:tblLayout w:type="fixed"/>
          <w:tblCellMar>
            <w:top w:w="15" w:type="dxa"/>
            <w:left w:w="15" w:type="dxa"/>
            <w:bottom w:w="15" w:type="dxa"/>
            <w:right w:w="15" w:type="dxa"/>
          </w:tblCellMar>
        </w:tblPrEx>
        <w:trPr>
          <w:trHeight w:val="660"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68</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仑伐替尼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限既往未接受过全身系统治疗的不可切除的肝细胞癌患者。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肝细胞癌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1.病情诊断证明书；2.病理学检查报告；3.相关病史资料。</w:t>
            </w:r>
          </w:p>
        </w:tc>
      </w:tr>
      <w:tr>
        <w:tblPrEx>
          <w:tblLayout w:type="fixed"/>
          <w:tblCellMar>
            <w:top w:w="15" w:type="dxa"/>
            <w:left w:w="15" w:type="dxa"/>
            <w:bottom w:w="15" w:type="dxa"/>
            <w:right w:w="15" w:type="dxa"/>
          </w:tblCellMar>
        </w:tblPrEx>
        <w:trPr>
          <w:trHeight w:val="145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69</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伊沙佐米</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1.每2个疗程需提供治疗有效的证据后方可继续支付；2.由三级医院血液专科或血液专科医院医师处方；3.与来那度胺联合使用时，只支付伊沙佐米或来那度胺中的一种。</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多发性骨髓瘤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骨髓细胞形态学或病理学检查或M蛋白检查结果；3.符合下列条件之一：贫血、肾功能损害、高钙血症、骨损害、骨髓浆细胞≥60%、受累轻链/非受累轻链&gt;100、PET-CT或核磁共振（MRI）提示病灶&gt;5毫米。</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sz w:val="18"/>
                <w:szCs w:val="18"/>
              </w:rPr>
              <w:t>70</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培门冬酶</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儿童急性淋巴细胞白血病患者的一线治疗。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儿童急性淋巴细胞白血病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1.病情诊断证明书；2.骨髓检查报告。</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71</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奥拉帕利</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携带胚系或体细胞BRCA突变的（gBRCAm或sBRCAm）晚期上皮性卵巢癌、输卵管癌或原发性腹膜癌初治成人患者在一线含铂化疗达到完全缓解或部分缓解后的维持治疗；铂敏感的复发性上皮性卵巢癌、输卵管癌或原发性腹膜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卵巢癌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1.病情诊断证明书；2.病理学或影像学检查；3.铂敏感的病史资料。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输卵管癌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1.病情诊断证明书；2.病理学或影像学检查；3.铂敏感的病史资料。</w:t>
            </w:r>
          </w:p>
        </w:tc>
      </w:tr>
      <w:tr>
        <w:tblPrEx>
          <w:tblLayout w:type="fixed"/>
          <w:tblCellMar>
            <w:top w:w="15" w:type="dxa"/>
            <w:left w:w="15" w:type="dxa"/>
            <w:bottom w:w="15" w:type="dxa"/>
            <w:right w:w="15" w:type="dxa"/>
          </w:tblCellMar>
        </w:tblPrEx>
        <w:trPr>
          <w:trHeight w:val="9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原发性腹膜癌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1.病情诊断证明书；2.病理学或影像学检查；3.铂敏感的病史资料。</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72</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重组人血管内皮抑制素</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限晚期非小细胞肺癌患者。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非小细胞肺癌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1.病情诊断证明书；2.病理学检查；3.影像学检查报告。</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73</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西达本胺</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限既往至少接受过1次全身化疗的复发或难治的外周T细胞淋巴瘤（PTCL）患者。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复发或难治外周T细胞淋巴瘤（PTCL）</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1.病情诊断证明书；2.病理学检查；3.既往至少接受过一次全身化疗的复发或难治的病史资料。</w:t>
            </w:r>
          </w:p>
        </w:tc>
      </w:tr>
      <w:tr>
        <w:tblPrEx>
          <w:tblLayout w:type="fixed"/>
          <w:tblCellMar>
            <w:top w:w="15" w:type="dxa"/>
            <w:left w:w="15" w:type="dxa"/>
            <w:bottom w:w="15" w:type="dxa"/>
            <w:right w:w="15" w:type="dxa"/>
          </w:tblCellMar>
        </w:tblPrEx>
        <w:trPr>
          <w:trHeight w:val="121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74</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恩扎卢胺</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限雄激素剥夺治疗（ADT）失败后无症状或有轻微症状且未接受化疗的转移性去势抵抗性前列腺癌（CRPC）成年患者的治疗。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前列腺癌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1.病情诊断证明书；2.病理学检查；3.既往接受过雄激素剥夺治疗（ADT）失败的病史资料；4.远处转移的证据。</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75</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尼拉帕利</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限铂敏感的复发性上皮性卵巢癌、输卵管癌或原发性腹膜癌成人患者在含铂化疗达到完全缓解或部分缓解后的维持治疗。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上皮性卵巢癌</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1.病情诊断证明书；2.病理学或影像学检查；3.铂敏感的病史资料。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输卵管癌</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1.病情诊断证明书；2.病理学或影像学检查；3.铂敏感的病史资料。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原发性腹膜癌</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1.病情诊断证明书；2.病理学或影像学检查；3.铂敏感的病史资料。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76</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戈舍瑞林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缓释植入剂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前列腺癌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1.病情诊断证明书；2.病理学检查；3.激素治疗有效的临床病史资料。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乳腺癌</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1.病情诊断证明书；2.病理学检查；3.激素治疗有效的临床病史资料。</w:t>
            </w:r>
          </w:p>
        </w:tc>
      </w:tr>
      <w:tr>
        <w:tblPrEx>
          <w:tblLayout w:type="fixed"/>
          <w:tblCellMar>
            <w:top w:w="15" w:type="dxa"/>
            <w:left w:w="15" w:type="dxa"/>
            <w:bottom w:w="15" w:type="dxa"/>
            <w:right w:w="15" w:type="dxa"/>
          </w:tblCellMar>
        </w:tblPrEx>
        <w:trPr>
          <w:trHeight w:val="25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子宫内膜异位症</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1.病情诊断证明书；2.腹腔镜检查结果；3.影像学检查。</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77</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地舒单抗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限绝经后妇女的重度骨质疏松；限不可手术切除或者手术切除可能导致严重功能障碍的骨巨细胞瘤。</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重度骨质疏松（绝经后）</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1.病情诊断证明书；2.骨密度检测（OXA法）T-值≤－2. 5；3.脆性骨折影像学检查。</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骨巨细胞瘤</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1.病情诊断证明书；2.病理学检查；3.不宜手术切除的临床病史资料。</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78</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硫培非格司亭</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限前次化疗曾发生重度中性粒细胞减少合并发热的患者。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重度中性粒细胞减少症</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1.病情诊断证明书；2.前次化疗的病史资料；3.血常规；4.发热的病历或体温记录资料。</w:t>
            </w:r>
          </w:p>
        </w:tc>
      </w:tr>
      <w:tr>
        <w:tblPrEx>
          <w:tblLayout w:type="fixed"/>
          <w:tblCellMar>
            <w:top w:w="15" w:type="dxa"/>
            <w:left w:w="15" w:type="dxa"/>
            <w:bottom w:w="15" w:type="dxa"/>
            <w:right w:w="15" w:type="dxa"/>
          </w:tblCellMar>
        </w:tblPrEx>
        <w:trPr>
          <w:trHeight w:val="97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79</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托法替布</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限诊断明确的类风湿关节炎经传统DMARDs治疗 3-6个月疾病活动度下降低于50%者，并需风湿病专科医师处方。</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类风湿性关节炎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1.病情诊断证明书；2.类风湿因子阳性或抗环瓜氨酸抗体阳性或抗角蛋白抗体阳性；3.传统DMARDs治疗3-6个月疾病活动度下降低于50%病史资料。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sz w:val="18"/>
                <w:szCs w:val="18"/>
              </w:rPr>
              <w:t>80</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特立氟胺</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限常规治疗无效的多发性硬化患者。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多发性硬化</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1.病情诊断证明书；2.影像学(头颅或脊髓MRI)；3.VEP或ABR或SEP电生理检查报告或脑脊液检查报告；4.常规治疗无效的病史资料。</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81</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西尼莫德</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限成人复发型多发性硬化的患者。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多发性硬化</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1.病情诊断证明书；2.影像学(头颅或脊髓MRI)；3.VEP或ABR或SEP电生理检查报告或脑脊液检查报告。</w:t>
            </w:r>
          </w:p>
        </w:tc>
      </w:tr>
      <w:tr>
        <w:tblPrEx>
          <w:tblLayout w:type="fixed"/>
          <w:tblCellMar>
            <w:top w:w="15" w:type="dxa"/>
            <w:left w:w="15" w:type="dxa"/>
            <w:bottom w:w="15" w:type="dxa"/>
            <w:right w:w="15" w:type="dxa"/>
          </w:tblCellMar>
        </w:tblPrEx>
        <w:trPr>
          <w:trHeight w:val="4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82</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芬戈莫德</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限10岁及以上患者复发型多发性硬化（RMS）的患者。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多发性硬化（10岁及以上）</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1.病情诊断证明书；2.影像学(头颅或脊髓MRI)；3.VEP或ABR或SEP电生理检查报告或脑脊液检查报告。</w:t>
            </w:r>
          </w:p>
        </w:tc>
      </w:tr>
      <w:tr>
        <w:tblPrEx>
          <w:tblLayout w:type="fixed"/>
          <w:tblCellMar>
            <w:top w:w="15" w:type="dxa"/>
            <w:left w:w="15" w:type="dxa"/>
            <w:bottom w:w="15" w:type="dxa"/>
            <w:right w:w="15" w:type="dxa"/>
          </w:tblCellMar>
        </w:tblPrEx>
        <w:trPr>
          <w:trHeight w:val="73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83</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依维莫司</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以下情况方可支付：1.接受舒尼替尼或索拉非尼治疗失败的晚期肾细胞癌成人患者。2.不可切除的、局部晚期或转移性的、分化良好的（中度分化或高度分化）进展期胰腺神经内分泌瘤成人患者。3.无法手术切除的、局部晚期或转移性的、分化良好的、进展期非功能性胃肠道或肺源神经内分泌肿瘤患者。4.不需立即手术治疗的结节性硬化症相关的肾血管平滑肌脂肪瘤（TSC-AML)成人患者。5.不能手术的结节性硬化症相关的室管膜下巨细胞星型细胞瘤的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肾细胞癌</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1.病情诊断证明书；2.病理学检查；3.既往接受舒尼替尼或索拉非尼治疗失败的病史资料；4.证明为晚期的影像学或病理学检查报告。</w:t>
            </w:r>
          </w:p>
        </w:tc>
      </w:tr>
      <w:tr>
        <w:tblPrEx>
          <w:tblLayout w:type="fixed"/>
          <w:tblCellMar>
            <w:top w:w="15" w:type="dxa"/>
            <w:left w:w="15" w:type="dxa"/>
            <w:bottom w:w="15" w:type="dxa"/>
            <w:right w:w="15" w:type="dxa"/>
          </w:tblCellMar>
        </w:tblPrEx>
        <w:trPr>
          <w:trHeight w:val="73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胰腺神经内分泌瘤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1.病情诊断证明书；2.病理学检查；3.不可切除的：需提供病史资料；局部晚期或转移性的：需提供影像学或病理学检查报告；进展期需提供疾病进展期病历资料。</w:t>
            </w:r>
          </w:p>
        </w:tc>
      </w:tr>
      <w:tr>
        <w:tblPrEx>
          <w:tblLayout w:type="fixed"/>
          <w:tblCellMar>
            <w:top w:w="15" w:type="dxa"/>
            <w:left w:w="15" w:type="dxa"/>
            <w:bottom w:w="15" w:type="dxa"/>
            <w:right w:w="15" w:type="dxa"/>
          </w:tblCellMar>
        </w:tblPrEx>
        <w:trPr>
          <w:trHeight w:val="73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胃肠道或肺源神经内分泌肿瘤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1.病情诊断证明书；2.无法手术切除的：需提供病史资料；局部晚期或转移性的、分化良好的：需提供影像学或病理学检查报告；进展期需提供疾病进展期病历资料。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肾血管平滑肌脂肪瘤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1.病情诊断证明书；2.病理学或影像学检查；3.无需立即手术的病史资料。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巨细胞星型细胞瘤</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1.病情诊断证明书；2.病理学或影像学检查；3.不能手术的病史资料。</w:t>
            </w:r>
          </w:p>
        </w:tc>
      </w:tr>
      <w:tr>
        <w:tblPrEx>
          <w:tblLayout w:type="fixed"/>
          <w:tblCellMar>
            <w:top w:w="15" w:type="dxa"/>
            <w:left w:w="15" w:type="dxa"/>
            <w:bottom w:w="15" w:type="dxa"/>
            <w:right w:w="15" w:type="dxa"/>
          </w:tblCellMar>
        </w:tblPrEx>
        <w:trPr>
          <w:trHeight w:val="1170"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jc w:val="center"/>
              <w:textAlignment w:val="center"/>
              <w:rPr>
                <w:rFonts w:eastAsia="宋体" w:cs="宋体"/>
                <w:sz w:val="20"/>
                <w:szCs w:val="20"/>
              </w:rPr>
            </w:pPr>
            <w:r>
              <w:rPr>
                <w:rFonts w:hint="eastAsia" w:eastAsia="宋体" w:cs="宋体"/>
                <w:kern w:val="0"/>
                <w:sz w:val="20"/>
                <w:szCs w:val="20"/>
              </w:rPr>
              <w:t>84</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textAlignment w:val="center"/>
              <w:rPr>
                <w:rFonts w:eastAsia="宋体" w:cs="宋体"/>
                <w:sz w:val="20"/>
                <w:szCs w:val="20"/>
              </w:rPr>
            </w:pPr>
            <w:r>
              <w:rPr>
                <w:rFonts w:hint="eastAsia" w:eastAsia="宋体" w:cs="宋体"/>
                <w:kern w:val="0"/>
                <w:sz w:val="20"/>
                <w:szCs w:val="20"/>
              </w:rPr>
              <w:t>巴瑞替尼</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textAlignment w:val="center"/>
              <w:rPr>
                <w:rFonts w:eastAsia="等线" w:cs="等线"/>
                <w:sz w:val="20"/>
                <w:szCs w:val="20"/>
              </w:rPr>
            </w:pPr>
            <w:r>
              <w:rPr>
                <w:rFonts w:eastAsia="等线" w:cs="等线"/>
                <w:kern w:val="0"/>
                <w:sz w:val="20"/>
                <w:szCs w:val="20"/>
              </w:rPr>
              <w:t>限诊断明确的类风湿关节炎经传统DMARDs治疗3-6个月疾病活动度下降低于50%者，并需风湿病专科医师处方。</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类风湿性关节炎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1.病情诊断证明书；2.类风湿因子阳性或抗环瓜氨酸抗体阳性或抗角蛋白抗体阳性；3.手和腕后前位的X片或CT或MRI显示骨质侵蚀或明确的骨质疏松；4.传统DMARDs治疗3-6个月疾病活动度下降低于50%病史资料。</w:t>
            </w:r>
          </w:p>
        </w:tc>
      </w:tr>
      <w:tr>
        <w:tblPrEx>
          <w:tblLayout w:type="fixed"/>
          <w:tblCellMar>
            <w:top w:w="15" w:type="dxa"/>
            <w:left w:w="15" w:type="dxa"/>
            <w:bottom w:w="15" w:type="dxa"/>
            <w:right w:w="15" w:type="dxa"/>
          </w:tblCellMar>
        </w:tblPrEx>
        <w:trPr>
          <w:trHeight w:val="181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jc w:val="center"/>
              <w:textAlignment w:val="center"/>
              <w:rPr>
                <w:rFonts w:eastAsia="宋体" w:cs="宋体"/>
                <w:sz w:val="20"/>
                <w:szCs w:val="20"/>
              </w:rPr>
            </w:pPr>
            <w:r>
              <w:rPr>
                <w:rFonts w:hint="eastAsia" w:eastAsia="宋体" w:cs="宋体"/>
                <w:kern w:val="0"/>
                <w:sz w:val="20"/>
                <w:szCs w:val="20"/>
              </w:rPr>
              <w:t>85</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textAlignment w:val="center"/>
              <w:rPr>
                <w:rFonts w:eastAsia="宋体" w:cs="宋体"/>
                <w:sz w:val="20"/>
                <w:szCs w:val="20"/>
              </w:rPr>
            </w:pPr>
            <w:r>
              <w:rPr>
                <w:rFonts w:hint="eastAsia" w:eastAsia="宋体" w:cs="宋体"/>
                <w:kern w:val="0"/>
                <w:sz w:val="20"/>
                <w:szCs w:val="20"/>
              </w:rPr>
              <w:t>贝利尤单抗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textAlignment w:val="center"/>
              <w:rPr>
                <w:rFonts w:eastAsia="等线" w:cs="等线"/>
                <w:sz w:val="20"/>
                <w:szCs w:val="20"/>
              </w:rPr>
            </w:pPr>
            <w:r>
              <w:rPr>
                <w:rFonts w:eastAsia="等线" w:cs="等线"/>
                <w:kern w:val="0"/>
                <w:sz w:val="20"/>
                <w:szCs w:val="20"/>
              </w:rPr>
              <w:t>限与常规治疗联合，适用于在常规治疗基础上仍具有高疾病活动（例如：抗ds-DNA抗体阳性及低补体、SELENA-SLEDAI评分≥8）的活动性、自身抗体阳性的系统性红斑狼疮（SLE）成年患者。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textAlignment w:val="center"/>
              <w:rPr>
                <w:rFonts w:eastAsia="宋体" w:cs="宋体"/>
                <w:sz w:val="20"/>
                <w:szCs w:val="20"/>
              </w:rPr>
            </w:pPr>
            <w:r>
              <w:rPr>
                <w:rFonts w:hint="eastAsia" w:eastAsia="宋体" w:cs="宋体"/>
                <w:kern w:val="0"/>
                <w:sz w:val="20"/>
                <w:szCs w:val="20"/>
              </w:rPr>
              <w:t>系统性红斑狼疮（SLE）</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textAlignment w:val="center"/>
              <w:rPr>
                <w:rFonts w:eastAsia="等线" w:cs="等线"/>
                <w:sz w:val="20"/>
                <w:szCs w:val="20"/>
              </w:rPr>
            </w:pPr>
            <w:r>
              <w:rPr>
                <w:rFonts w:eastAsia="等线" w:cs="等线"/>
                <w:kern w:val="0"/>
                <w:sz w:val="20"/>
                <w:szCs w:val="20"/>
              </w:rPr>
              <w:t>1.病情诊断证明书；2.常规治疗后抗ds-DNA抗体及血清补体检查；3.SELENA-SLEDAI评分。</w:t>
            </w:r>
          </w:p>
        </w:tc>
      </w:tr>
      <w:tr>
        <w:tblPrEx>
          <w:tblLayout w:type="fixed"/>
          <w:tblCellMar>
            <w:top w:w="15" w:type="dxa"/>
            <w:left w:w="15" w:type="dxa"/>
            <w:bottom w:w="15" w:type="dxa"/>
            <w:right w:w="15" w:type="dxa"/>
          </w:tblCellMar>
        </w:tblPrEx>
        <w:trPr>
          <w:trHeight w:val="97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jc w:val="center"/>
              <w:textAlignment w:val="center"/>
              <w:rPr>
                <w:rFonts w:eastAsia="宋体" w:cs="宋体"/>
                <w:sz w:val="18"/>
                <w:szCs w:val="18"/>
              </w:rPr>
            </w:pPr>
            <w:r>
              <w:rPr>
                <w:rFonts w:hint="eastAsia" w:eastAsia="宋体" w:cs="宋体"/>
                <w:kern w:val="0"/>
                <w:sz w:val="18"/>
                <w:szCs w:val="18"/>
              </w:rPr>
              <w:t>86</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阿达木单抗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中重度斑块状银屑病患者，需按说明书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类风湿性关节炎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1.病情诊断证明书；2.类风湿因子阳性或抗环瓜氨酸抗体阳性或抗角蛋白抗体阳性；3.手和腕后前位的X片或CT或MRI显示骨质侵蚀或明确的骨质疏松；4.传统DMARDs治疗3-6个月疾病活动度下降低于50%病史资料。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强直性脊柱炎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1.病情诊断证明书；2.影像学检查；3.NSAIDs充分治疗3个月疾病活动度下降低于50%病史资料。</w:t>
            </w:r>
          </w:p>
        </w:tc>
      </w:tr>
      <w:tr>
        <w:tblPrEx>
          <w:tblLayout w:type="fixed"/>
          <w:tblCellMar>
            <w:top w:w="15" w:type="dxa"/>
            <w:left w:w="15" w:type="dxa"/>
            <w:bottom w:w="15" w:type="dxa"/>
            <w:right w:w="15" w:type="dxa"/>
          </w:tblCellMar>
        </w:tblPrEx>
        <w:trPr>
          <w:trHeight w:val="73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斑块状银屑病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1.病情诊断证明书；2.临床表现；3.对环孢霉素、甲氨蝶呤、光化学疗法或其他系统治疗无效、禁忌或不耐受的慢性中重度斑块型银屑病病史资料。</w:t>
            </w:r>
          </w:p>
        </w:tc>
      </w:tr>
      <w:tr>
        <w:tblPrEx>
          <w:tblLayout w:type="fixed"/>
          <w:tblCellMar>
            <w:top w:w="15" w:type="dxa"/>
            <w:left w:w="15" w:type="dxa"/>
            <w:bottom w:w="15" w:type="dxa"/>
            <w:right w:w="15" w:type="dxa"/>
          </w:tblCellMar>
        </w:tblPrEx>
        <w:trPr>
          <w:trHeight w:val="73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400" w:lineRule="exact"/>
              <w:jc w:val="center"/>
              <w:textAlignment w:val="center"/>
              <w:rPr>
                <w:rFonts w:eastAsia="宋体" w:cs="宋体"/>
                <w:sz w:val="18"/>
                <w:szCs w:val="18"/>
              </w:rPr>
            </w:pPr>
            <w:r>
              <w:rPr>
                <w:rFonts w:hint="eastAsia" w:eastAsia="宋体" w:cs="宋体"/>
                <w:kern w:val="0"/>
                <w:sz w:val="18"/>
                <w:szCs w:val="18"/>
              </w:rPr>
              <w:t>87</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英夫利西单抗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400" w:lineRule="exact"/>
              <w:textAlignment w:val="top"/>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重度斑块状银屑病患者，需按说明书用药。3.克罗恩病患者的二线治疗。4.中重度溃疡性结肠炎患者的二线治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类风湿性关节炎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1.病情诊断证明书；2.类风湿因子阳性或抗环瓜氨酸抗体阳性或抗角蛋白抗体阳性；3.传统DMARDs治疗3-6个月疾病活动度下降低于50%病史资料。</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强直性脊柱炎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1.病情诊断证明书；2.影像学检查；3.NSAIDs充分治疗3个月疾病活动度下降低于50%病史资料。</w:t>
            </w:r>
          </w:p>
        </w:tc>
      </w:tr>
      <w:tr>
        <w:tblPrEx>
          <w:tblLayout w:type="fixed"/>
          <w:tblCellMar>
            <w:top w:w="15" w:type="dxa"/>
            <w:left w:w="15" w:type="dxa"/>
            <w:bottom w:w="15" w:type="dxa"/>
            <w:right w:w="15" w:type="dxa"/>
          </w:tblCellMar>
        </w:tblPrEx>
        <w:trPr>
          <w:trHeight w:val="9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斑块状银屑病</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1.病情诊断证明书；2.临床表现；3.对环孢霉素、甲氨蝶呤、光化学疗法或其他系统治疗无效、禁忌或不耐受的慢性重度斑块型银屑病病史资料。</w:t>
            </w:r>
          </w:p>
        </w:tc>
      </w:tr>
      <w:tr>
        <w:tblPrEx>
          <w:tblLayout w:type="fixed"/>
          <w:tblCellMar>
            <w:top w:w="15" w:type="dxa"/>
            <w:left w:w="15" w:type="dxa"/>
            <w:bottom w:w="15" w:type="dxa"/>
            <w:right w:w="15" w:type="dxa"/>
          </w:tblCellMar>
        </w:tblPrEx>
        <w:trPr>
          <w:trHeight w:val="40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4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189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克罗恩病</w:t>
            </w:r>
          </w:p>
        </w:tc>
        <w:tc>
          <w:tcPr>
            <w:tcW w:w="538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1.病情证明书；2.影像学或内镜检查检查报告；3.病理学检查报告； 4.经传统治疗（糖皮质激素或免疫抑制剂）无效或不能耐受的病史资料</w:t>
            </w:r>
          </w:p>
        </w:tc>
      </w:tr>
      <w:tr>
        <w:tblPrEx>
          <w:tblLayout w:type="fixed"/>
          <w:tblCellMar>
            <w:top w:w="15" w:type="dxa"/>
            <w:left w:w="15" w:type="dxa"/>
            <w:bottom w:w="15" w:type="dxa"/>
            <w:right w:w="15" w:type="dxa"/>
          </w:tblCellMar>
        </w:tblPrEx>
        <w:trPr>
          <w:trHeight w:val="30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189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r>
      <w:tr>
        <w:tblPrEx>
          <w:tblLayout w:type="fixed"/>
          <w:tblCellMar>
            <w:top w:w="15" w:type="dxa"/>
            <w:left w:w="15" w:type="dxa"/>
            <w:bottom w:w="15" w:type="dxa"/>
            <w:right w:w="15" w:type="dxa"/>
          </w:tblCellMar>
        </w:tblPrEx>
        <w:trPr>
          <w:trHeight w:val="30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189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r>
      <w:tr>
        <w:tblPrEx>
          <w:tblLayout w:type="fixed"/>
          <w:tblCellMar>
            <w:top w:w="15" w:type="dxa"/>
            <w:left w:w="15" w:type="dxa"/>
            <w:bottom w:w="15" w:type="dxa"/>
            <w:right w:w="15" w:type="dxa"/>
          </w:tblCellMar>
        </w:tblPrEx>
        <w:trPr>
          <w:trHeight w:val="312"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189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r>
      <w:tr>
        <w:tblPrEx>
          <w:tblLayout w:type="fixed"/>
          <w:tblCellMar>
            <w:top w:w="15" w:type="dxa"/>
            <w:left w:w="15" w:type="dxa"/>
            <w:bottom w:w="15" w:type="dxa"/>
            <w:right w:w="15" w:type="dxa"/>
          </w:tblCellMar>
        </w:tblPrEx>
        <w:trPr>
          <w:trHeight w:val="9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84"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溃疡性结肠炎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1.病情诊断证明书；2.影像学检查报告；3.sutherland疾病活动指数提示中、重度活动；4.一线治疗的病史资料。</w:t>
            </w:r>
          </w:p>
        </w:tc>
      </w:tr>
      <w:tr>
        <w:tblPrEx>
          <w:tblLayout w:type="fixed"/>
          <w:tblCellMar>
            <w:top w:w="15" w:type="dxa"/>
            <w:left w:w="15" w:type="dxa"/>
            <w:bottom w:w="15" w:type="dxa"/>
            <w:right w:w="15" w:type="dxa"/>
          </w:tblCellMar>
        </w:tblPrEx>
        <w:trPr>
          <w:trHeight w:val="73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88</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依那西普</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4" w:lineRule="exact"/>
              <w:textAlignment w:val="center"/>
              <w:rPr>
                <w:rFonts w:eastAsia="等线" w:cs="等线"/>
                <w:sz w:val="20"/>
                <w:szCs w:val="20"/>
              </w:rPr>
            </w:pPr>
            <w:r>
              <w:rPr>
                <w:rFonts w:eastAsia="等线" w:cs="等线"/>
                <w:kern w:val="0"/>
                <w:sz w:val="20"/>
                <w:szCs w:val="20"/>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类风湿性关节炎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1.病情诊断证明书；2.类风湿因子阳性或抗环瓜氨酸抗体阳性或抗角蛋白抗体阳性；3.传统DMARDs治疗3-6个月疾病活动度下降低于50%病史资料。</w:t>
            </w:r>
          </w:p>
        </w:tc>
      </w:tr>
      <w:tr>
        <w:tblPrEx>
          <w:tblLayout w:type="fixed"/>
          <w:tblCellMar>
            <w:top w:w="15" w:type="dxa"/>
            <w:left w:w="15" w:type="dxa"/>
            <w:bottom w:w="15" w:type="dxa"/>
            <w:right w:w="15" w:type="dxa"/>
          </w:tblCellMar>
        </w:tblPrEx>
        <w:trPr>
          <w:trHeight w:val="129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84"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强直性脊柱炎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1.病情诊断证明书；2.影像学检查；3.NSAIDs充分治疗3个月疾病活动度下降低于50%病史资料。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89</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司库奇尤单抗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4" w:lineRule="exact"/>
              <w:textAlignment w:val="center"/>
              <w:rPr>
                <w:rFonts w:eastAsia="宋体" w:cs="宋体"/>
                <w:sz w:val="20"/>
                <w:szCs w:val="20"/>
              </w:rPr>
            </w:pPr>
            <w:r>
              <w:rPr>
                <w:rFonts w:hint="eastAsia" w:eastAsia="宋体" w:cs="宋体"/>
                <w:kern w:val="0"/>
                <w:sz w:val="20"/>
                <w:szCs w:val="20"/>
              </w:rPr>
              <w:t>限以下情况方可支付：1.诊断明确的强直性脊柱炎（不含放射学前期中轴性脊柱关节炎）NSAIDs充分治疗3个月疾病活动度下降低于50%者；并需风湿病专科医师处方。2.对传统治疗无效、有禁忌或不耐受的中重度斑块状银屑病患者，需按说明书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强直性脊柱炎</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84" w:lineRule="exact"/>
              <w:textAlignment w:val="top"/>
              <w:rPr>
                <w:rFonts w:eastAsia="宋体" w:cs="宋体"/>
                <w:sz w:val="20"/>
                <w:szCs w:val="20"/>
              </w:rPr>
            </w:pPr>
            <w:r>
              <w:rPr>
                <w:rFonts w:hint="eastAsia" w:eastAsia="宋体" w:cs="宋体"/>
                <w:kern w:val="0"/>
                <w:sz w:val="20"/>
                <w:szCs w:val="20"/>
              </w:rPr>
              <w:t>1.病情诊断证明书；2.影像学检查；3.NSAIDs充分治疗3个月疾病活动度下降低于50%病史资料。</w:t>
            </w:r>
          </w:p>
        </w:tc>
      </w:tr>
      <w:tr>
        <w:tblPrEx>
          <w:tblLayout w:type="fixed"/>
          <w:tblCellMar>
            <w:top w:w="15" w:type="dxa"/>
            <w:left w:w="15" w:type="dxa"/>
            <w:bottom w:w="15" w:type="dxa"/>
            <w:right w:w="15" w:type="dxa"/>
          </w:tblCellMar>
        </w:tblPrEx>
        <w:trPr>
          <w:trHeight w:val="1711"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84"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4" w:lineRule="exact"/>
              <w:textAlignment w:val="center"/>
              <w:rPr>
                <w:rFonts w:eastAsia="宋体" w:cs="宋体"/>
                <w:sz w:val="20"/>
                <w:szCs w:val="20"/>
              </w:rPr>
            </w:pPr>
            <w:r>
              <w:rPr>
                <w:rFonts w:hint="eastAsia" w:eastAsia="宋体" w:cs="宋体"/>
                <w:kern w:val="0"/>
                <w:sz w:val="20"/>
                <w:szCs w:val="20"/>
              </w:rPr>
              <w:t>斑块状银屑病（中重度）</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4" w:lineRule="exact"/>
              <w:textAlignment w:val="center"/>
              <w:rPr>
                <w:rFonts w:eastAsia="宋体" w:cs="宋体"/>
                <w:sz w:val="20"/>
                <w:szCs w:val="20"/>
              </w:rPr>
            </w:pPr>
            <w:r>
              <w:rPr>
                <w:rFonts w:hint="eastAsia" w:eastAsia="宋体" w:cs="宋体"/>
                <w:kern w:val="0"/>
                <w:sz w:val="20"/>
                <w:szCs w:val="20"/>
              </w:rPr>
              <w:t>1.病情诊断证明书；2.临床表现；3.对环孢霉素、甲氨蝶呤、光化学疗法或其他系统治疗无效、禁忌或不耐受的慢性重度斑块型银屑病病史资料。</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sz w:val="20"/>
                <w:szCs w:val="20"/>
              </w:rPr>
              <w:t>90</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尼达尼布</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4" w:lineRule="exact"/>
              <w:textAlignment w:val="center"/>
              <w:rPr>
                <w:rFonts w:eastAsia="等线" w:cs="等线"/>
                <w:sz w:val="20"/>
                <w:szCs w:val="20"/>
              </w:rPr>
            </w:pPr>
            <w:r>
              <w:rPr>
                <w:rFonts w:eastAsia="等线" w:cs="等线"/>
                <w:kern w:val="0"/>
                <w:sz w:val="20"/>
                <w:szCs w:val="20"/>
              </w:rPr>
              <w:t>限特发性肺纤维化（IPF）或系统性硬化病相关间质性肺疾病（SSc-ILD）患者。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4" w:lineRule="exact"/>
              <w:textAlignment w:val="center"/>
              <w:rPr>
                <w:rFonts w:eastAsia="宋体" w:cs="宋体"/>
                <w:sz w:val="20"/>
                <w:szCs w:val="20"/>
              </w:rPr>
            </w:pPr>
            <w:r>
              <w:rPr>
                <w:rFonts w:hint="eastAsia" w:eastAsia="宋体" w:cs="宋体"/>
                <w:kern w:val="0"/>
                <w:sz w:val="20"/>
                <w:szCs w:val="20"/>
              </w:rPr>
              <w:t>特发性肺纤维化</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84" w:lineRule="exact"/>
              <w:textAlignment w:val="center"/>
              <w:rPr>
                <w:rFonts w:eastAsia="等线" w:cs="等线"/>
                <w:sz w:val="20"/>
                <w:szCs w:val="20"/>
              </w:rPr>
            </w:pPr>
            <w:r>
              <w:rPr>
                <w:rFonts w:eastAsia="等线" w:cs="等线"/>
                <w:kern w:val="0"/>
                <w:sz w:val="20"/>
                <w:szCs w:val="20"/>
              </w:rPr>
              <w:t>1.病情诊断证明书；2.影像学检查；3.排除过敏性肺部疾病的病史资料。</w:t>
            </w:r>
          </w:p>
        </w:tc>
      </w:tr>
      <w:tr>
        <w:tblPrEx>
          <w:tblLayout w:type="fixed"/>
          <w:tblCellMar>
            <w:top w:w="15" w:type="dxa"/>
            <w:left w:w="15" w:type="dxa"/>
            <w:bottom w:w="15" w:type="dxa"/>
            <w:right w:w="15" w:type="dxa"/>
          </w:tblCellMar>
        </w:tblPrEx>
        <w:trPr>
          <w:trHeight w:val="58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系统性硬化病相关间质性肺疾病</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sz w:val="20"/>
                <w:szCs w:val="20"/>
              </w:rPr>
              <w:t>1.病情诊断证明书；2.肺部影像学检查；3.血清抗核抗体、抗拓扑异构酶</w:t>
            </w:r>
            <w:r>
              <w:rPr>
                <w:rFonts w:eastAsia="微软雅黑" w:cs="微软雅黑"/>
                <w:sz w:val="20"/>
                <w:szCs w:val="20"/>
              </w:rPr>
              <w:t>Ⅰ</w:t>
            </w:r>
            <w:r>
              <w:rPr>
                <w:rFonts w:eastAsia="等线" w:cs="等线"/>
                <w:sz w:val="20"/>
                <w:szCs w:val="20"/>
              </w:rPr>
              <w:t>检查。</w:t>
            </w:r>
          </w:p>
        </w:tc>
      </w:tr>
      <w:tr>
        <w:tblPrEx>
          <w:tblLayout w:type="fixed"/>
          <w:tblCellMar>
            <w:top w:w="15" w:type="dxa"/>
            <w:left w:w="15" w:type="dxa"/>
            <w:bottom w:w="15" w:type="dxa"/>
            <w:right w:w="15" w:type="dxa"/>
          </w:tblCellMar>
        </w:tblPrEx>
        <w:trPr>
          <w:trHeight w:val="349"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91</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吡仑帕奈</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癫痫</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1.病情诊断证明书；2.脑电图检查。</w:t>
            </w: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92</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氘丁苯那嗪</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限与亨廷顿病有关的舞蹈病或成人迟发性运动障碍。</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亨廷顿舞蹈病</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1.病情诊断证明书；2.典型的家族史；3.典型的临床表现；4.基因检测（必要时）。</w:t>
            </w: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jc w:val="center"/>
              <w:rPr>
                <w:rFonts w:eastAsia="宋体" w:cs="宋体"/>
                <w:sz w:val="20"/>
                <w:szCs w:val="20"/>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等线" w:cs="等线"/>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成人迟发性运动障碍</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1.病情诊断证明书；2.服用抗精神病药或长期服用抗抑郁药、抗帕金森药抗癫痫药或抗组胺药史；3.典型的临床表现。</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93</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棕榈帕利哌酮酯（3M）</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限接受过棕榈酸帕利哌酮注射液（1个月剂型）至少4个月充分治疗的精神分裂症患者。</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精神分裂症</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1.病情诊断证明书；2.接受过棕榈酸帕利哌酮注射液（1个月剂型）至少4个月充分治疗的病史资料。</w:t>
            </w:r>
          </w:p>
        </w:tc>
      </w:tr>
      <w:tr>
        <w:tblPrEx>
          <w:tblLayout w:type="fixed"/>
          <w:tblCellMar>
            <w:top w:w="15" w:type="dxa"/>
            <w:left w:w="15" w:type="dxa"/>
            <w:bottom w:w="15" w:type="dxa"/>
            <w:right w:w="15" w:type="dxa"/>
          </w:tblCellMar>
        </w:tblPrEx>
        <w:trPr>
          <w:trHeight w:val="145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94</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奥马珠单抗</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注射剂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限经吸入型糖皮质激素和长效吸入型β2-肾上腺素受体激动剂治疗后，仍不能有效控制症状的中至重度持续性过敏性哮喘患者，并需IgE（免疫球蛋白E）介导确诊证据。</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过敏性哮喘</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1.病情诊断证明书；2.IgE检测报告；3.经中到大剂量吸入型糖皮质激素和长效吸入型β2-肾上腺素受体激动剂治疗后仍不能有效控制症状病史资料；4.中至重度持续性过敏性哮喘的病史资料。</w:t>
            </w:r>
          </w:p>
        </w:tc>
      </w:tr>
      <w:tr>
        <w:tblPrEx>
          <w:tblLayout w:type="fixed"/>
          <w:tblCellMar>
            <w:top w:w="15" w:type="dxa"/>
            <w:left w:w="15" w:type="dxa"/>
            <w:bottom w:w="15" w:type="dxa"/>
            <w:right w:w="15" w:type="dxa"/>
          </w:tblCellMar>
        </w:tblPrEx>
        <w:trPr>
          <w:trHeight w:val="25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18"/>
                <w:szCs w:val="18"/>
              </w:rPr>
            </w:pPr>
            <w:r>
              <w:rPr>
                <w:rFonts w:hint="eastAsia" w:eastAsia="宋体" w:cs="宋体"/>
                <w:kern w:val="0"/>
                <w:sz w:val="18"/>
                <w:szCs w:val="18"/>
              </w:rPr>
              <w:t>95</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他氟前列素</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滴眼剂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0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开角型青光眼、高眼压症</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1.病情诊断证明书；2.前房角镜报告。</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96</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布林佐胺噻吗洛尔</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滴眼剂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限二线用药。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开角型青光眼、高眼压症</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1.病情诊断证明书；2.其他药物疗效不佳的病史资料。</w:t>
            </w:r>
          </w:p>
        </w:tc>
      </w:tr>
      <w:tr>
        <w:tblPrEx>
          <w:tblLayout w:type="fixed"/>
          <w:tblCellMar>
            <w:top w:w="15" w:type="dxa"/>
            <w:left w:w="15" w:type="dxa"/>
            <w:bottom w:w="15" w:type="dxa"/>
            <w:right w:w="15" w:type="dxa"/>
          </w:tblCellMar>
        </w:tblPrEx>
        <w:trPr>
          <w:trHeight w:val="73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jc w:val="center"/>
              <w:textAlignment w:val="center"/>
              <w:rPr>
                <w:rFonts w:eastAsia="宋体" w:cs="宋体"/>
                <w:sz w:val="20"/>
                <w:szCs w:val="20"/>
              </w:rPr>
            </w:pPr>
            <w:r>
              <w:rPr>
                <w:rFonts w:hint="eastAsia" w:eastAsia="宋体" w:cs="宋体"/>
                <w:kern w:val="0"/>
                <w:sz w:val="20"/>
                <w:szCs w:val="20"/>
              </w:rPr>
              <w:t>97</w:t>
            </w:r>
          </w:p>
        </w:tc>
        <w:tc>
          <w:tcPr>
            <w:tcW w:w="17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布林佐胺溴莫尼定</w:t>
            </w:r>
          </w:p>
        </w:tc>
        <w:tc>
          <w:tcPr>
            <w:tcW w:w="13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滴眼剂</w:t>
            </w:r>
          </w:p>
        </w:tc>
        <w:tc>
          <w:tcPr>
            <w:tcW w:w="34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限二线用药。</w:t>
            </w:r>
          </w:p>
        </w:tc>
        <w:tc>
          <w:tcPr>
            <w:tcW w:w="18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宋体" w:cs="宋体"/>
                <w:sz w:val="20"/>
                <w:szCs w:val="20"/>
              </w:rPr>
            </w:pPr>
            <w:r>
              <w:rPr>
                <w:rFonts w:hint="eastAsia" w:eastAsia="宋体" w:cs="宋体"/>
                <w:kern w:val="0"/>
                <w:sz w:val="20"/>
                <w:szCs w:val="20"/>
              </w:rPr>
              <w:t>开角型青光眼、高眼压症</w:t>
            </w:r>
          </w:p>
        </w:tc>
        <w:tc>
          <w:tcPr>
            <w:tcW w:w="5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00" w:lineRule="exact"/>
              <w:textAlignment w:val="center"/>
              <w:rPr>
                <w:rFonts w:eastAsia="等线" w:cs="等线"/>
                <w:sz w:val="20"/>
                <w:szCs w:val="20"/>
              </w:rPr>
            </w:pPr>
            <w:r>
              <w:rPr>
                <w:rFonts w:eastAsia="等线" w:cs="等线"/>
                <w:kern w:val="0"/>
                <w:sz w:val="20"/>
                <w:szCs w:val="20"/>
              </w:rPr>
              <w:t>1.病情诊断证明书；2.其他药物疗效不佳的病史资料。</w:t>
            </w:r>
          </w:p>
        </w:tc>
      </w:tr>
      <w:tr>
        <w:tblPrEx>
          <w:tblLayout w:type="fixed"/>
          <w:tblCellMar>
            <w:top w:w="15" w:type="dxa"/>
            <w:left w:w="15" w:type="dxa"/>
            <w:bottom w:w="15" w:type="dxa"/>
            <w:right w:w="15" w:type="dxa"/>
          </w:tblCellMar>
        </w:tblPrEx>
        <w:trPr>
          <w:trHeight w:val="2895" w:hRule="atLeast"/>
        </w:trPr>
        <w:tc>
          <w:tcPr>
            <w:tcW w:w="8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80" w:lineRule="exact"/>
              <w:jc w:val="center"/>
              <w:textAlignment w:val="center"/>
              <w:rPr>
                <w:rFonts w:eastAsia="宋体" w:cs="宋体"/>
                <w:sz w:val="18"/>
                <w:szCs w:val="18"/>
              </w:rPr>
            </w:pPr>
            <w:r>
              <w:rPr>
                <w:rFonts w:hint="eastAsia" w:eastAsia="宋体" w:cs="宋体"/>
                <w:kern w:val="0"/>
                <w:sz w:val="18"/>
                <w:szCs w:val="18"/>
              </w:rPr>
              <w:t>98</w:t>
            </w:r>
          </w:p>
        </w:tc>
        <w:tc>
          <w:tcPr>
            <w:tcW w:w="17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80" w:lineRule="exact"/>
              <w:textAlignment w:val="top"/>
              <w:rPr>
                <w:rFonts w:eastAsia="宋体" w:cs="宋体"/>
                <w:sz w:val="20"/>
                <w:szCs w:val="20"/>
              </w:rPr>
            </w:pPr>
            <w:r>
              <w:rPr>
                <w:rFonts w:hint="eastAsia" w:eastAsia="宋体" w:cs="宋体"/>
                <w:kern w:val="0"/>
                <w:sz w:val="20"/>
                <w:szCs w:val="20"/>
              </w:rPr>
              <w:t>地塞米松</w:t>
            </w:r>
          </w:p>
        </w:tc>
        <w:tc>
          <w:tcPr>
            <w:tcW w:w="13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80" w:lineRule="exact"/>
              <w:textAlignment w:val="top"/>
              <w:rPr>
                <w:rFonts w:eastAsia="宋体" w:cs="宋体"/>
                <w:sz w:val="20"/>
                <w:szCs w:val="20"/>
              </w:rPr>
            </w:pPr>
            <w:r>
              <w:rPr>
                <w:rFonts w:hint="eastAsia" w:eastAsia="宋体" w:cs="宋体"/>
                <w:kern w:val="0"/>
                <w:sz w:val="20"/>
                <w:szCs w:val="20"/>
              </w:rPr>
              <w:t>玻璃体内植入剂</w:t>
            </w:r>
          </w:p>
        </w:tc>
        <w:tc>
          <w:tcPr>
            <w:tcW w:w="345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80" w:lineRule="exact"/>
              <w:textAlignment w:val="top"/>
              <w:rPr>
                <w:rFonts w:eastAsia="宋体" w:cs="宋体"/>
                <w:sz w:val="20"/>
                <w:szCs w:val="20"/>
              </w:rPr>
            </w:pPr>
            <w:r>
              <w:rPr>
                <w:rFonts w:hint="eastAsia" w:eastAsia="宋体" w:cs="宋体"/>
                <w:kern w:val="0"/>
                <w:sz w:val="20"/>
                <w:szCs w:val="20"/>
              </w:rPr>
              <w:t>限视网膜静脉阻塞（RVO）的黄斑水肿患者，并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视网膜静脉阻塞（RVO）的黄斑水肿</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 血管造影或OCT（全身情况不允许的患者可以提供OCT血管成像）检查报告；3.病眼基线矫正视力0.05-0.5。</w:t>
            </w:r>
          </w:p>
        </w:tc>
      </w:tr>
      <w:tr>
        <w:tblPrEx>
          <w:tblLayout w:type="fixed"/>
          <w:tblCellMar>
            <w:top w:w="15" w:type="dxa"/>
            <w:left w:w="15" w:type="dxa"/>
            <w:bottom w:w="15" w:type="dxa"/>
            <w:right w:w="15" w:type="dxa"/>
          </w:tblCellMar>
        </w:tblPrEx>
        <w:trPr>
          <w:trHeight w:val="91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80" w:lineRule="exact"/>
              <w:jc w:val="center"/>
              <w:textAlignment w:val="center"/>
              <w:rPr>
                <w:rFonts w:eastAsia="宋体" w:cs="宋体"/>
                <w:sz w:val="18"/>
                <w:szCs w:val="18"/>
              </w:rPr>
            </w:pPr>
            <w:r>
              <w:rPr>
                <w:rFonts w:hint="eastAsia" w:eastAsia="宋体" w:cs="宋体"/>
                <w:kern w:val="0"/>
                <w:sz w:val="18"/>
                <w:szCs w:val="18"/>
              </w:rPr>
              <w:t>99</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80" w:lineRule="exact"/>
              <w:textAlignment w:val="top"/>
              <w:rPr>
                <w:rFonts w:eastAsia="宋体" w:cs="宋体"/>
                <w:sz w:val="20"/>
                <w:szCs w:val="20"/>
              </w:rPr>
            </w:pPr>
            <w:r>
              <w:rPr>
                <w:rFonts w:hint="eastAsia" w:eastAsia="宋体" w:cs="宋体"/>
                <w:kern w:val="0"/>
                <w:sz w:val="20"/>
                <w:szCs w:val="20"/>
              </w:rPr>
              <w:t>康柏西普</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80" w:lineRule="exact"/>
              <w:textAlignment w:val="top"/>
              <w:rPr>
                <w:rFonts w:eastAsia="宋体" w:cs="宋体"/>
                <w:sz w:val="20"/>
                <w:szCs w:val="20"/>
              </w:rPr>
            </w:pPr>
            <w:r>
              <w:rPr>
                <w:rFonts w:hint="eastAsia" w:eastAsia="宋体" w:cs="宋体"/>
                <w:kern w:val="0"/>
                <w:sz w:val="20"/>
                <w:szCs w:val="20"/>
              </w:rPr>
              <w:t>眼用注射液</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80" w:lineRule="exact"/>
              <w:textAlignment w:val="top"/>
              <w:rPr>
                <w:rFonts w:eastAsia="宋体" w:cs="宋体"/>
                <w:sz w:val="20"/>
                <w:szCs w:val="20"/>
              </w:rPr>
            </w:pPr>
            <w:r>
              <w:rPr>
                <w:rFonts w:hint="eastAsia" w:eastAsia="宋体" w:cs="宋体"/>
                <w:kern w:val="0"/>
                <w:sz w:val="20"/>
                <w:szCs w:val="20"/>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湿性年龄相关性黄斑变性</w:t>
            </w:r>
          </w:p>
        </w:tc>
        <w:tc>
          <w:tcPr>
            <w:tcW w:w="538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1.病情诊断证明书；2. 血管造影或OCT（全身情况不允许的患者可以提供OCT血管成像）检查报告；3. 病眼基线矫正视力0.05-0.5。</w:t>
            </w:r>
          </w:p>
        </w:tc>
      </w:tr>
      <w:tr>
        <w:tblPrEx>
          <w:tblLayout w:type="fixed"/>
          <w:tblCellMar>
            <w:top w:w="15" w:type="dxa"/>
            <w:left w:w="15" w:type="dxa"/>
            <w:bottom w:w="15" w:type="dxa"/>
            <w:right w:w="15" w:type="dxa"/>
          </w:tblCellMar>
        </w:tblPrEx>
        <w:trPr>
          <w:trHeight w:val="151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8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8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8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8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糖尿病性黄斑水肿</w:t>
            </w: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r>
      <w:tr>
        <w:tblPrEx>
          <w:tblLayout w:type="fixed"/>
          <w:tblCellMar>
            <w:top w:w="15" w:type="dxa"/>
            <w:left w:w="15" w:type="dxa"/>
            <w:bottom w:w="15" w:type="dxa"/>
            <w:right w:w="15" w:type="dxa"/>
          </w:tblCellMar>
        </w:tblPrEx>
        <w:trPr>
          <w:trHeight w:val="45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38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8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8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8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300" w:lineRule="exact"/>
              <w:textAlignment w:val="top"/>
              <w:rPr>
                <w:rFonts w:eastAsia="宋体" w:cs="宋体"/>
                <w:sz w:val="20"/>
                <w:szCs w:val="20"/>
              </w:rPr>
            </w:pPr>
            <w:r>
              <w:rPr>
                <w:rFonts w:hint="eastAsia" w:eastAsia="宋体" w:cs="宋体"/>
                <w:kern w:val="0"/>
                <w:sz w:val="20"/>
                <w:szCs w:val="20"/>
              </w:rPr>
              <w:t>脉络膜新生血管病</w:t>
            </w: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300" w:lineRule="exact"/>
              <w:rPr>
                <w:rFonts w:eastAsia="宋体" w:cs="宋体"/>
                <w:sz w:val="20"/>
                <w:szCs w:val="20"/>
              </w:rPr>
            </w:pPr>
          </w:p>
        </w:tc>
      </w:tr>
      <w:tr>
        <w:tblPrEx>
          <w:tblLayout w:type="fixed"/>
          <w:tblCellMar>
            <w:top w:w="15" w:type="dxa"/>
            <w:left w:w="15" w:type="dxa"/>
            <w:bottom w:w="15" w:type="dxa"/>
            <w:right w:w="15" w:type="dxa"/>
          </w:tblCellMar>
        </w:tblPrEx>
        <w:trPr>
          <w:trHeight w:val="380"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40" w:lineRule="exact"/>
              <w:jc w:val="center"/>
              <w:textAlignment w:val="center"/>
              <w:rPr>
                <w:rFonts w:eastAsia="宋体" w:cs="宋体"/>
                <w:sz w:val="18"/>
                <w:szCs w:val="18"/>
              </w:rPr>
            </w:pPr>
            <w:r>
              <w:rPr>
                <w:rFonts w:hint="eastAsia" w:eastAsia="宋体" w:cs="宋体"/>
                <w:sz w:val="18"/>
                <w:szCs w:val="18"/>
              </w:rPr>
              <w:t>100</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阿柏西普</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眼内注射溶液</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限以下疾病：1.50岁以上的湿性年龄相关性黄斑变性（AMD）；2.糖尿病性黄斑水肿（DME）引起的视力损害。应同时符合以下条件：1.需三级综合医院眼科或二级及以上眼科专科医院医师处方；2.首次处方时病眼基线矫正视力 0.05-0.5；3.事前审查后方可用，初次申请需有血管造影或OCT（全身情况不允许的患者可以提供OCT血管成像）证据；4.每眼累计最多支付 9支，第1年度最多支付5支。阿柏西普、雷珠单抗和康柏西普的药品支数合并计算。</w:t>
            </w:r>
          </w:p>
        </w:tc>
        <w:tc>
          <w:tcPr>
            <w:tcW w:w="189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湿性年龄相关性黄斑变性</w:t>
            </w:r>
          </w:p>
        </w:tc>
        <w:tc>
          <w:tcPr>
            <w:tcW w:w="538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1.病情诊断证明书；2.血管造影或OCT（全身情况不允许的患者可以提供OCT血管成像）检查报告；3.病眼基线矫正视力0.05-0.5。</w:t>
            </w:r>
          </w:p>
        </w:tc>
      </w:tr>
      <w:tr>
        <w:tblPrEx>
          <w:tblLayout w:type="fixed"/>
          <w:tblCellMar>
            <w:top w:w="15" w:type="dxa"/>
            <w:left w:w="15" w:type="dxa"/>
            <w:bottom w:w="15" w:type="dxa"/>
            <w:right w:w="15" w:type="dxa"/>
          </w:tblCellMar>
        </w:tblPrEx>
        <w:trPr>
          <w:trHeight w:val="30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89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r>
      <w:tr>
        <w:tblPrEx>
          <w:tblLayout w:type="fixed"/>
          <w:tblCellMar>
            <w:top w:w="15" w:type="dxa"/>
            <w:left w:w="15" w:type="dxa"/>
            <w:bottom w:w="15" w:type="dxa"/>
            <w:right w:w="15" w:type="dxa"/>
          </w:tblCellMar>
        </w:tblPrEx>
        <w:trPr>
          <w:trHeight w:val="45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糖尿病性黄斑水肿</w:t>
            </w: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r>
      <w:tr>
        <w:tblPrEx>
          <w:tblLayout w:type="fixed"/>
          <w:tblCellMar>
            <w:top w:w="15" w:type="dxa"/>
            <w:left w:w="15" w:type="dxa"/>
            <w:bottom w:w="15" w:type="dxa"/>
            <w:right w:w="15" w:type="dxa"/>
          </w:tblCellMar>
        </w:tblPrEx>
        <w:trPr>
          <w:trHeight w:val="300"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40" w:lineRule="exact"/>
              <w:jc w:val="center"/>
              <w:textAlignment w:val="center"/>
              <w:rPr>
                <w:rFonts w:eastAsia="宋体" w:cs="宋体"/>
                <w:sz w:val="18"/>
                <w:szCs w:val="18"/>
              </w:rPr>
            </w:pPr>
            <w:r>
              <w:rPr>
                <w:rFonts w:hint="eastAsia" w:eastAsia="宋体" w:cs="宋体"/>
                <w:kern w:val="0"/>
                <w:sz w:val="18"/>
                <w:szCs w:val="18"/>
              </w:rPr>
              <w:t>101</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雷珠单抗</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注射液</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89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湿性年龄相关性黄斑变性</w:t>
            </w:r>
          </w:p>
        </w:tc>
        <w:tc>
          <w:tcPr>
            <w:tcW w:w="538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1.病情诊断证明书；2.血管造影或OCT（全身情况不允许的患者可以提供OCT血管成像）检查报告；3.病眼基线矫正视力0.05-0.5。</w:t>
            </w:r>
          </w:p>
        </w:tc>
      </w:tr>
      <w:tr>
        <w:tblPrEx>
          <w:tblLayout w:type="fixed"/>
          <w:tblCellMar>
            <w:top w:w="15" w:type="dxa"/>
            <w:left w:w="15" w:type="dxa"/>
            <w:bottom w:w="15" w:type="dxa"/>
            <w:right w:w="15" w:type="dxa"/>
          </w:tblCellMar>
        </w:tblPrEx>
        <w:trPr>
          <w:trHeight w:val="300"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89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r>
      <w:tr>
        <w:tblPrEx>
          <w:tblLayout w:type="fixed"/>
          <w:tblCellMar>
            <w:top w:w="15" w:type="dxa"/>
            <w:left w:w="15" w:type="dxa"/>
            <w:bottom w:w="15" w:type="dxa"/>
            <w:right w:w="15" w:type="dxa"/>
          </w:tblCellMar>
        </w:tblPrEx>
        <w:trPr>
          <w:trHeight w:val="25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糖尿病性黄斑水肿</w:t>
            </w: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r>
      <w:tr>
        <w:tblPrEx>
          <w:tblLayout w:type="fixed"/>
          <w:tblCellMar>
            <w:top w:w="15" w:type="dxa"/>
            <w:left w:w="15" w:type="dxa"/>
            <w:bottom w:w="15" w:type="dxa"/>
            <w:right w:w="15" w:type="dxa"/>
          </w:tblCellMar>
        </w:tblPrEx>
        <w:trPr>
          <w:trHeight w:val="25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脉络膜新生血管病</w:t>
            </w: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r>
      <w:tr>
        <w:tblPrEx>
          <w:tblLayout w:type="fixed"/>
          <w:tblCellMar>
            <w:top w:w="15" w:type="dxa"/>
            <w:left w:w="15" w:type="dxa"/>
            <w:bottom w:w="15" w:type="dxa"/>
            <w:right w:w="15" w:type="dxa"/>
          </w:tblCellMar>
        </w:tblPrEx>
        <w:trPr>
          <w:trHeight w:val="49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视网膜静脉阻塞（RVO）的黄斑水肿</w:t>
            </w:r>
          </w:p>
        </w:tc>
        <w:tc>
          <w:tcPr>
            <w:tcW w:w="538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r>
      <w:tr>
        <w:tblPrEx>
          <w:tblLayout w:type="fixed"/>
          <w:tblCellMar>
            <w:top w:w="15" w:type="dxa"/>
            <w:left w:w="15" w:type="dxa"/>
            <w:bottom w:w="15" w:type="dxa"/>
            <w:right w:w="15" w:type="dxa"/>
          </w:tblCellMar>
        </w:tblPrEx>
        <w:trPr>
          <w:trHeight w:val="495" w:hRule="atLeast"/>
        </w:trPr>
        <w:tc>
          <w:tcPr>
            <w:tcW w:w="8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240" w:lineRule="exact"/>
              <w:jc w:val="center"/>
              <w:textAlignment w:val="center"/>
              <w:rPr>
                <w:rFonts w:eastAsia="宋体" w:cs="宋体"/>
                <w:sz w:val="18"/>
                <w:szCs w:val="18"/>
              </w:rPr>
            </w:pPr>
            <w:r>
              <w:rPr>
                <w:rFonts w:hint="eastAsia" w:eastAsia="宋体" w:cs="宋体"/>
                <w:kern w:val="0"/>
                <w:sz w:val="18"/>
                <w:szCs w:val="18"/>
              </w:rPr>
              <w:t>102</w:t>
            </w:r>
          </w:p>
        </w:tc>
        <w:tc>
          <w:tcPr>
            <w:tcW w:w="1740"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地拉罗司</w:t>
            </w:r>
          </w:p>
        </w:tc>
        <w:tc>
          <w:tcPr>
            <w:tcW w:w="1395"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口服常释剂型</w:t>
            </w:r>
          </w:p>
        </w:tc>
        <w:tc>
          <w:tcPr>
            <w:tcW w:w="3453" w:type="dxa"/>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β-地中海贫血</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1.病情诊断证明书；2.输血的病史资料；3.血常规、血红蛋白电泳和（或）地贫相关基因检测；4.血清铁蛋白。</w:t>
            </w:r>
          </w:p>
        </w:tc>
      </w:tr>
      <w:tr>
        <w:tblPrEx>
          <w:tblLayout w:type="fixed"/>
          <w:tblCellMar>
            <w:top w:w="15" w:type="dxa"/>
            <w:left w:w="15" w:type="dxa"/>
            <w:bottom w:w="15" w:type="dxa"/>
            <w:right w:w="15" w:type="dxa"/>
          </w:tblCellMar>
        </w:tblPrEx>
        <w:trPr>
          <w:trHeight w:val="735" w:hRule="atLeast"/>
        </w:trPr>
        <w:tc>
          <w:tcPr>
            <w:tcW w:w="8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rPr>
                <w:rFonts w:eastAsia="宋体" w:cs="宋体"/>
                <w:sz w:val="18"/>
                <w:szCs w:val="18"/>
              </w:rPr>
            </w:pPr>
          </w:p>
        </w:tc>
        <w:tc>
          <w:tcPr>
            <w:tcW w:w="1740"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395"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3453" w:type="dxa"/>
            <w:vMerge w:val="continue"/>
            <w:tcBorders>
              <w:top w:val="single" w:color="000000" w:sz="12" w:space="0"/>
              <w:left w:val="single" w:color="000000" w:sz="12" w:space="0"/>
              <w:bottom w:val="single" w:color="000000" w:sz="12" w:space="0"/>
              <w:right w:val="single" w:color="000000" w:sz="12" w:space="0"/>
            </w:tcBorders>
            <w:shd w:val="clear" w:color="auto" w:fill="FFFFFF"/>
            <w:vAlign w:val="center"/>
          </w:tcPr>
          <w:p>
            <w:pPr>
              <w:spacing w:line="240" w:lineRule="exact"/>
              <w:rPr>
                <w:rFonts w:eastAsia="宋体" w:cs="宋体"/>
                <w:sz w:val="20"/>
                <w:szCs w:val="20"/>
              </w:rPr>
            </w:pPr>
          </w:p>
        </w:tc>
        <w:tc>
          <w:tcPr>
            <w:tcW w:w="1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输血依赖性疾病所致的铁过载</w:t>
            </w:r>
          </w:p>
        </w:tc>
        <w:tc>
          <w:tcPr>
            <w:tcW w:w="538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spacing w:line="240" w:lineRule="exact"/>
              <w:textAlignment w:val="top"/>
              <w:rPr>
                <w:rFonts w:eastAsia="宋体" w:cs="宋体"/>
                <w:sz w:val="20"/>
                <w:szCs w:val="20"/>
              </w:rPr>
            </w:pPr>
            <w:r>
              <w:rPr>
                <w:rFonts w:hint="eastAsia" w:eastAsia="宋体" w:cs="宋体"/>
                <w:kern w:val="0"/>
                <w:sz w:val="20"/>
                <w:szCs w:val="20"/>
              </w:rPr>
              <w:t>1.病情诊断证明书（其他输血依赖性疾病：包括髓系肿瘤、恶性淋巴瘤、再生障碍性贫血、其他遗传性贫血）；2.输血的病史资料；3.血清铁蛋白。</w:t>
            </w:r>
          </w:p>
        </w:tc>
      </w:tr>
    </w:tbl>
    <w:p>
      <w:pPr>
        <w:spacing w:line="240" w:lineRule="exact"/>
        <w:jc w:val="center"/>
        <w:rPr>
          <w:rFonts w:eastAsia="方正小标宋_GBK" w:cs="方正小标宋_GBK"/>
          <w:sz w:val="44"/>
          <w:szCs w:val="44"/>
        </w:rPr>
      </w:pPr>
    </w:p>
    <w:p>
      <w:pPr>
        <w:spacing w:line="240" w:lineRule="exact"/>
        <w:jc w:val="center"/>
        <w:rPr>
          <w:rFonts w:eastAsia="方正仿宋_GBK"/>
        </w:rPr>
      </w:pPr>
    </w:p>
    <w:p>
      <w:pPr>
        <w:spacing w:line="240" w:lineRule="exact"/>
        <w:sectPr>
          <w:headerReference r:id="rId3" w:type="default"/>
          <w:footerReference r:id="rId4" w:type="default"/>
          <w:pgSz w:w="16838" w:h="11906" w:orient="landscape"/>
          <w:pgMar w:top="1588" w:right="2098" w:bottom="1474" w:left="1985" w:header="850" w:footer="992" w:gutter="0"/>
          <w:pgNumType w:fmt="numberInDash"/>
          <w:cols w:space="720" w:num="1"/>
          <w:formProt w:val="1"/>
          <w:docGrid w:type="linesAndChars" w:linePitch="442" w:charSpace="0"/>
        </w:sectPr>
      </w:pPr>
    </w:p>
    <w:p>
      <w:pPr>
        <w:spacing w:line="240" w:lineRule="exact"/>
      </w:pPr>
    </w:p>
    <w:p>
      <w:pPr>
        <w:snapToGrid w:val="0"/>
        <w:spacing w:line="240" w:lineRule="exact"/>
        <w:rPr>
          <w:rFonts w:eastAsia="方正小标宋_GBK" w:cs="方正小标宋_GBK"/>
          <w:sz w:val="44"/>
          <w:szCs w:val="44"/>
        </w:rPr>
      </w:pPr>
    </w:p>
    <w:p>
      <w:pPr>
        <w:spacing w:line="240" w:lineRule="exact"/>
      </w:pPr>
    </w:p>
    <w:p/>
    <w:p/>
    <w:p/>
    <w:p/>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tbl>
      <w:tblPr>
        <w:tblStyle w:val="15"/>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0" w:name="印发时间"/>
            <w:r>
              <w:rPr>
                <w:rFonts w:hint="eastAsia" w:eastAsia="方正仿宋_GBK"/>
                <w:sz w:val="28"/>
                <w:szCs w:val="28"/>
              </w:rPr>
              <w:t>　      　2021年2月24日</w:t>
            </w:r>
            <w:bookmarkEnd w:id="0"/>
            <w:r>
              <w:rPr>
                <w:rFonts w:hint="eastAsia" w:eastAsia="方正仿宋_GBK"/>
                <w:sz w:val="28"/>
                <w:szCs w:val="28"/>
              </w:rPr>
              <w:t>印发</w:t>
            </w:r>
          </w:p>
        </w:tc>
      </w:tr>
    </w:tbl>
    <w:p>
      <w:pPr>
        <w:snapToGrid w:val="0"/>
        <w:spacing w:line="15" w:lineRule="auto"/>
      </w:pPr>
    </w:p>
    <w:sectPr>
      <w:pgSz w:w="11906" w:h="16838"/>
      <w:pgMar w:top="2098" w:right="1474" w:bottom="1985" w:left="1588" w:header="851" w:footer="992" w:gutter="0"/>
      <w:pgNumType w:fmt="numberInDash"/>
      <w:cols w:space="720" w:num="1"/>
      <w:formProt w:val="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w:pict>
        <v:shape id="文本框 1037" o:spid="_x0000_s2050" o:spt="202" type="#_x0000_t202" style="position:absolute;left:0pt;margin-top:0pt;height:18.15pt;width:35.05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">
          <v:path/>
          <v:fill on="f" focussize="0,0"/>
          <v:stroke on="f"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w:r>
    <w:r>
      <w:rPr>
        <w:sz w:val="28"/>
      </w:rPr>
      <w:pict>
        <v:shape id="文本框 1027" o:spid="_x0000_s2049" o:spt="202" type="#_x0000_t202" style="position:absolute;left:0pt;margin-top:0pt;height:18.4pt;width:9.05pt;mso-position-horizontal:outside;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&#1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D2059"/>
    <w:rsid w:val="000021CC"/>
    <w:rsid w:val="00003C03"/>
    <w:rsid w:val="00013AA2"/>
    <w:rsid w:val="000151A0"/>
    <w:rsid w:val="00033299"/>
    <w:rsid w:val="0003438E"/>
    <w:rsid w:val="00046B11"/>
    <w:rsid w:val="0005582E"/>
    <w:rsid w:val="0006362E"/>
    <w:rsid w:val="00082E4C"/>
    <w:rsid w:val="00084A46"/>
    <w:rsid w:val="00094947"/>
    <w:rsid w:val="000A1BAB"/>
    <w:rsid w:val="000A4018"/>
    <w:rsid w:val="000B5339"/>
    <w:rsid w:val="000C4E01"/>
    <w:rsid w:val="000C736E"/>
    <w:rsid w:val="000D381A"/>
    <w:rsid w:val="000E4E46"/>
    <w:rsid w:val="000E5052"/>
    <w:rsid w:val="0010069C"/>
    <w:rsid w:val="0011032B"/>
    <w:rsid w:val="00134C2F"/>
    <w:rsid w:val="001373C3"/>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272C3"/>
    <w:rsid w:val="00341B87"/>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7225A1"/>
    <w:rsid w:val="00731C2F"/>
    <w:rsid w:val="0073488C"/>
    <w:rsid w:val="0074234B"/>
    <w:rsid w:val="00750AF8"/>
    <w:rsid w:val="00752371"/>
    <w:rsid w:val="0075491C"/>
    <w:rsid w:val="0076050D"/>
    <w:rsid w:val="007705D9"/>
    <w:rsid w:val="007735D8"/>
    <w:rsid w:val="007811A8"/>
    <w:rsid w:val="007C4CE2"/>
    <w:rsid w:val="007D2059"/>
    <w:rsid w:val="007E36B2"/>
    <w:rsid w:val="007E71AE"/>
    <w:rsid w:val="008040DC"/>
    <w:rsid w:val="00817540"/>
    <w:rsid w:val="0082135B"/>
    <w:rsid w:val="0082359D"/>
    <w:rsid w:val="008315C9"/>
    <w:rsid w:val="00833943"/>
    <w:rsid w:val="008539C7"/>
    <w:rsid w:val="00871D6E"/>
    <w:rsid w:val="008810C9"/>
    <w:rsid w:val="008854F8"/>
    <w:rsid w:val="00891D18"/>
    <w:rsid w:val="00892839"/>
    <w:rsid w:val="00896438"/>
    <w:rsid w:val="008A47EE"/>
    <w:rsid w:val="008B0D1F"/>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E55BE"/>
    <w:rsid w:val="009E6E96"/>
    <w:rsid w:val="009F60A5"/>
    <w:rsid w:val="00A00BB0"/>
    <w:rsid w:val="00A017D8"/>
    <w:rsid w:val="00A076C3"/>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2120EA"/>
    <w:rsid w:val="01AB0EEA"/>
    <w:rsid w:val="01EB19D0"/>
    <w:rsid w:val="021155E1"/>
    <w:rsid w:val="02381CF9"/>
    <w:rsid w:val="02441991"/>
    <w:rsid w:val="025517B2"/>
    <w:rsid w:val="025E71FE"/>
    <w:rsid w:val="03E94935"/>
    <w:rsid w:val="05950F8D"/>
    <w:rsid w:val="070048D5"/>
    <w:rsid w:val="07EC6E0C"/>
    <w:rsid w:val="0914781F"/>
    <w:rsid w:val="0918084D"/>
    <w:rsid w:val="09885F51"/>
    <w:rsid w:val="09B43962"/>
    <w:rsid w:val="0BB13BB7"/>
    <w:rsid w:val="0C54147B"/>
    <w:rsid w:val="0CCB7D8E"/>
    <w:rsid w:val="0D8B1353"/>
    <w:rsid w:val="1079076C"/>
    <w:rsid w:val="11531582"/>
    <w:rsid w:val="11E8226D"/>
    <w:rsid w:val="123A777F"/>
    <w:rsid w:val="132574D5"/>
    <w:rsid w:val="1357521D"/>
    <w:rsid w:val="14337333"/>
    <w:rsid w:val="144A63DE"/>
    <w:rsid w:val="16C246E7"/>
    <w:rsid w:val="17C024B6"/>
    <w:rsid w:val="1968378C"/>
    <w:rsid w:val="1A5A741F"/>
    <w:rsid w:val="1AC44166"/>
    <w:rsid w:val="1ADC51BC"/>
    <w:rsid w:val="1B2F2EA0"/>
    <w:rsid w:val="1B633972"/>
    <w:rsid w:val="1DBD3183"/>
    <w:rsid w:val="1DC13E8E"/>
    <w:rsid w:val="1DF4732F"/>
    <w:rsid w:val="1E2F6BFE"/>
    <w:rsid w:val="1EB406AA"/>
    <w:rsid w:val="20224B82"/>
    <w:rsid w:val="208507EF"/>
    <w:rsid w:val="2095338A"/>
    <w:rsid w:val="2105730F"/>
    <w:rsid w:val="221727AE"/>
    <w:rsid w:val="236013BA"/>
    <w:rsid w:val="23FD601C"/>
    <w:rsid w:val="24002D3E"/>
    <w:rsid w:val="24D07B88"/>
    <w:rsid w:val="264D363D"/>
    <w:rsid w:val="26FD574A"/>
    <w:rsid w:val="28F44D1D"/>
    <w:rsid w:val="29B31962"/>
    <w:rsid w:val="2B853FFF"/>
    <w:rsid w:val="2B854C48"/>
    <w:rsid w:val="2C7A0633"/>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8E900CA"/>
    <w:rsid w:val="39885C97"/>
    <w:rsid w:val="3A2C643A"/>
    <w:rsid w:val="3B2D0AC8"/>
    <w:rsid w:val="3CD16A8F"/>
    <w:rsid w:val="3DED3659"/>
    <w:rsid w:val="3E2D13C0"/>
    <w:rsid w:val="3ED05151"/>
    <w:rsid w:val="40450D0B"/>
    <w:rsid w:val="4118065B"/>
    <w:rsid w:val="41BD7918"/>
    <w:rsid w:val="41C457D9"/>
    <w:rsid w:val="424E1501"/>
    <w:rsid w:val="42F651DF"/>
    <w:rsid w:val="435F45BF"/>
    <w:rsid w:val="439B0296"/>
    <w:rsid w:val="442F1979"/>
    <w:rsid w:val="44A57506"/>
    <w:rsid w:val="45706BA0"/>
    <w:rsid w:val="462209E8"/>
    <w:rsid w:val="466A111A"/>
    <w:rsid w:val="4706389A"/>
    <w:rsid w:val="486024E4"/>
    <w:rsid w:val="49CE4388"/>
    <w:rsid w:val="4A8973CF"/>
    <w:rsid w:val="4AE96240"/>
    <w:rsid w:val="4AFC7E5B"/>
    <w:rsid w:val="4BD434FE"/>
    <w:rsid w:val="4C4706A2"/>
    <w:rsid w:val="4C843B13"/>
    <w:rsid w:val="4D26576E"/>
    <w:rsid w:val="4FB44B8E"/>
    <w:rsid w:val="50100E41"/>
    <w:rsid w:val="514D6AF1"/>
    <w:rsid w:val="51BF1041"/>
    <w:rsid w:val="51D448DF"/>
    <w:rsid w:val="52CA27DA"/>
    <w:rsid w:val="52FC793E"/>
    <w:rsid w:val="534E478B"/>
    <w:rsid w:val="53EF20D7"/>
    <w:rsid w:val="545A5A48"/>
    <w:rsid w:val="56F4369F"/>
    <w:rsid w:val="575B66FE"/>
    <w:rsid w:val="57855D92"/>
    <w:rsid w:val="579B5BB6"/>
    <w:rsid w:val="5AA50FB7"/>
    <w:rsid w:val="5B463F7E"/>
    <w:rsid w:val="5C3418D5"/>
    <w:rsid w:val="5F10323B"/>
    <w:rsid w:val="61A637F2"/>
    <w:rsid w:val="61D811B2"/>
    <w:rsid w:val="62691836"/>
    <w:rsid w:val="62D83631"/>
    <w:rsid w:val="62F07BBD"/>
    <w:rsid w:val="63C94BAA"/>
    <w:rsid w:val="64461E53"/>
    <w:rsid w:val="646255DF"/>
    <w:rsid w:val="64DC200C"/>
    <w:rsid w:val="659D1143"/>
    <w:rsid w:val="65B41EFD"/>
    <w:rsid w:val="65F85279"/>
    <w:rsid w:val="662B4C75"/>
    <w:rsid w:val="6685660E"/>
    <w:rsid w:val="67887E6E"/>
    <w:rsid w:val="6813133D"/>
    <w:rsid w:val="68C717DE"/>
    <w:rsid w:val="697A06DC"/>
    <w:rsid w:val="6A956AC6"/>
    <w:rsid w:val="6CB5381A"/>
    <w:rsid w:val="6D2140D5"/>
    <w:rsid w:val="6DDD337E"/>
    <w:rsid w:val="6FC65ADB"/>
    <w:rsid w:val="6FD138EF"/>
    <w:rsid w:val="71315E0C"/>
    <w:rsid w:val="7139185E"/>
    <w:rsid w:val="727F6D42"/>
    <w:rsid w:val="72B90ED5"/>
    <w:rsid w:val="72E86363"/>
    <w:rsid w:val="73B6418E"/>
    <w:rsid w:val="73B715EA"/>
    <w:rsid w:val="73FD347F"/>
    <w:rsid w:val="74013D68"/>
    <w:rsid w:val="741E0C47"/>
    <w:rsid w:val="74697E0C"/>
    <w:rsid w:val="754176A5"/>
    <w:rsid w:val="75C44DCE"/>
    <w:rsid w:val="7806177E"/>
    <w:rsid w:val="780D4995"/>
    <w:rsid w:val="789D3E31"/>
    <w:rsid w:val="78B16511"/>
    <w:rsid w:val="78DE2C63"/>
    <w:rsid w:val="79596BC4"/>
    <w:rsid w:val="79FA3B7B"/>
    <w:rsid w:val="7AA358B2"/>
    <w:rsid w:val="7AB53E5F"/>
    <w:rsid w:val="7BF950F8"/>
    <w:rsid w:val="7D351262"/>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rPr>
  </w:style>
  <w:style w:type="paragraph" w:styleId="4">
    <w:name w:val="Date"/>
    <w:basedOn w:val="1"/>
    <w:next w:val="1"/>
    <w:link w:val="17"/>
    <w:qFormat/>
    <w:uiPriority w:val="0"/>
    <w:pPr>
      <w:ind w:left="100" w:leftChars="2500"/>
    </w:pPr>
  </w:style>
  <w:style w:type="paragraph" w:styleId="5">
    <w:name w:val="Balloon Text"/>
    <w:basedOn w:val="1"/>
    <w:link w:val="32"/>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character" w:styleId="13">
    <w:name w:val="page number"/>
    <w:basedOn w:val="12"/>
    <w:uiPriority w:val="0"/>
  </w:style>
  <w:style w:type="character" w:styleId="14">
    <w:name w:val="Hyperlink"/>
    <w:qFormat/>
    <w:uiPriority w:val="0"/>
    <w:rPr>
      <w:color w:val="0000FF"/>
      <w:u w:val="single"/>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日期 Char"/>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0"/>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 w:type="character" w:customStyle="1" w:styleId="32">
    <w:name w:val="批注框文本 Char"/>
    <w:basedOn w:val="12"/>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15454</Words>
  <Characters>3257</Characters>
  <Lines>27</Lines>
  <Paragraphs>37</Paragraphs>
  <TotalTime>31</TotalTime>
  <ScaleCrop>false</ScaleCrop>
  <LinksUpToDate>false</LinksUpToDate>
  <CharactersWithSpaces>18674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2020-08-03T03:17:00Z</dcterms:created>
  <dc:creator>霍丹</dc:creator>
  <cp:lastModifiedBy>xhj</cp:lastModifiedBy>
  <cp:lastPrinted>2019-06-25T03:46:00Z</cp:lastPrinted>
  <dcterms:modified xsi:type="dcterms:W3CDTF">2021-02-25T03:41:05Z</dcterms:modified>
  <dc:title>重庆市人力资源和社会保障局文件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