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cs="Times New Roman"/>
        </w:rPr>
        <w:pict>
          <v:shape id="_x0000_s1029" o:spid="_x0000_s1029" o:spt="136" type="#_x0000_t136" style="position:absolute;left:0pt;margin-left:88.1pt;margin-top:102.25pt;height:53.85pt;width:422.15pt;mso-position-horizontal-relative:page;mso-position-vertical-relative:margin;z-index:251660288;mso-width-relative:page;mso-height-relative:page;" fillcolor="#FF0000" filled="t" stroked="f" coordsize="21600,21600" adj="10800">
            <v:path/>
            <v:fill on="t" color2="#FFFFFF" focussize="0,0"/>
            <v:stroke on="f"/>
            <v:imagedata o:title=""/>
            <o:lock v:ext="edit" aspectratio="f"/>
            <v:textpath on="t" fitshape="t" fitpath="t" trim="t" xscale="f" string="重庆市沙坪坝区卫生健康委员会电子公文" style="font-family:方正小标宋_GBK;font-size:36pt;font-weight:bold;v-rotate-letters:f;v-same-letter-heights:f;v-text-align:center;"/>
          </v:shape>
        </w:pict>
      </w:r>
    </w:p>
    <w:p>
      <w:pPr>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eastAsia="方正楷体_GBK" w:cs="Times New Roman"/>
          <w:sz w:val="32"/>
          <w:szCs w:val="32"/>
        </w:rPr>
      </w:pPr>
      <w:r>
        <w:rPr>
          <w:rFonts w:hint="default" w:ascii="Times New Roman" w:hAnsi="Times New Roman" w:eastAsia="方正仿宋_GBK" w:cs="Times New Roman"/>
          <w:color w:val="000000"/>
          <w:sz w:val="32"/>
          <w:szCs w:val="32"/>
        </w:rPr>
        <w:t>沙卫发〔20</w:t>
      </w:r>
      <w:r>
        <w:rPr>
          <w:rFonts w:hint="default" w:ascii="Times New Roman" w:hAnsi="Times New Roman" w:eastAsia="方正仿宋_GBK" w:cs="Times New Roman"/>
          <w:color w:val="000000"/>
          <w:sz w:val="32"/>
          <w:szCs w:val="32"/>
          <w:lang w:val="en-US" w:eastAsia="zh-CN"/>
        </w:rPr>
        <w:t>2</w:t>
      </w:r>
      <w:r>
        <w:rPr>
          <w:rFonts w:hint="eastAsia"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w:t>
      </w:r>
      <w:r>
        <w:rPr>
          <w:rFonts w:hint="eastAsia" w:eastAsia="方正仿宋_GBK" w:cs="Times New Roman"/>
          <w:color w:val="000000"/>
          <w:sz w:val="32"/>
          <w:szCs w:val="32"/>
          <w:lang w:val="en-US" w:eastAsia="zh-CN"/>
        </w:rPr>
        <w:t>88</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page">
                  <wp:posOffset>1029335</wp:posOffset>
                </wp:positionH>
                <wp:positionV relativeFrom="margin">
                  <wp:posOffset>3091180</wp:posOffset>
                </wp:positionV>
                <wp:extent cx="5615940" cy="0"/>
                <wp:effectExtent l="0" t="10795" r="3810" b="1778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81.05pt;margin-top:243.4pt;height:0pt;width:442.2pt;mso-position-horizontal-relative:page;mso-position-vertical-relative:margin;z-index:251661312;mso-width-relative:page;mso-height-relative:page;" filled="f" stroked="t" coordsize="21600,21600" o:gfxdata="UEsFBgAAAAAAAAAAAAAAAAAAAAAAAFBLAwQKAAAAAACHTuJAAAAAAAAAAAAAAAAABAAAAGRycy9Q&#10;SwMEFAAAAAgAh07iQDc1jTnYAAAADAEAAA8AAABkcnMvZG93bnJldi54bWxNj81OwzAQhO9IvIO1&#10;SNyonaqYKo3TAxJI/FVK4QGceJtE9U+I3bTw9GwlJDjO7KfZmWJ9cpZNOMY+eAXZTABD3wTT+1bB&#10;x/vDzRJYTNobbYNHBV8YYV1eXhQ6N+HoK5y2qWUU4mOuFXQpDTnnsenQ6TgLA3q67cLodCI5ttyM&#10;+kjhzvK5EJI73Xv60OkB7zts9tuDo5Tpbv/68vZdfT734al6lJu6tajU9VUmVsASntIfDOf6VB1K&#10;6lSHgzeRWdJynhGqYLGUtOFMiIW8BVb/Wrws+P8R5Q9QSwMEFAAAAAgAh07iQLbPeTHdAQAAmgMA&#10;AA4AAABkcnMvZTJvRG9jLnhtbK1TS44TMRDdI3EHy3vSnYiMoJXOLCaEDYJIwAEqtrvbkn9yOenk&#10;ElwAiR2sWLLnNgzHoOxkMnw2COFFddlVflXvuXpxfbCG7VVE7V3Lp5OaM+WEl9r1LX/7Zv3oCWeY&#10;wEkw3qmWHxXy6+XDB4sxNGrmB2+kioxAHDZjaPmQUmiqCsWgLODEB+Uo2PloIdE29pWMMBK6NdWs&#10;rq+q0UcZohcKkU5XpyBfFvyuUyK96jpUiZmWU2+p2FjsNttquYCmjxAGLc5twD90YUE7KnqBWkEC&#10;tov6DyirRfTouzQR3la+67RQhQOxmda/sXk9QFCFC4mD4SIT/j9Y8XK/iUxLejvOHFh6otv3X769&#10;+/j96weyt58/sWkWaQzYUO6N28TzDsMmZsaHLtr8JS7sUIQ9XoRVh8QEHc6vpvOnj0l/cRer7i+G&#10;iOm58pZlp+VGu8wZGti/wETFKPUuJR8bx8aWz2jNCQ9oZjoDiVwbiAW6vlxGb7Rca2PyFYz99sZE&#10;tgeagvW6ppU5EfAvabnKCnA45ZXQaT4GBfKZkywdA+njaJB57sEqyZlRNPfZI0BoEmjzN5lU2jjq&#10;IMt6EjJ7Wy+P9Bq7EHU/kBQp7lRpNAdpAErL52HNE/bzvoDd/1LL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Dc1jTnYAAAADAEAAA8AAAAAAAAAAQAgAAAAOAAAAGRycy9kb3ducmV2LnhtbFBLAQIU&#10;ABQAAAAIAIdO4kC2z3kx3QEAAJoDAAAOAAAAAAAAAAEAIAAAAD0BAABkcnMvZTJvRG9jLnhtbFBL&#10;BQYAAAAABgAGAFkBAACMBQ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tabs>
          <w:tab w:val="left" w:pos="799"/>
        </w:tabs>
        <w:kinsoku/>
        <w:wordWrap/>
        <w:overflowPunct/>
        <w:topLinePunct w:val="0"/>
        <w:autoSpaceDE/>
        <w:autoSpaceDN/>
        <w:bidi w:val="0"/>
        <w:adjustRightInd/>
        <w:snapToGrid/>
        <w:spacing w:line="560" w:lineRule="exact"/>
        <w:ind w:left="0" w:leftChars="0"/>
        <w:jc w:val="center"/>
        <w:textAlignment w:val="auto"/>
        <w:outlineLvl w:val="9"/>
        <w:rPr>
          <w:rFonts w:hint="eastAsia" w:ascii="方正小标宋_GBK" w:hAnsi="方正小标宋_GBK" w:eastAsia="方正小标宋_GBK" w:cs="方正小标宋_GBK"/>
          <w:sz w:val="44"/>
          <w:szCs w:val="44"/>
          <w:lang w:val="en-US" w:eastAsia="zh-CN"/>
        </w:rPr>
      </w:pPr>
      <w:r>
        <w:rPr>
          <w:rFonts w:hint="default" w:ascii="Times New Roman" w:hAnsi="Times New Roman" w:eastAsia="方正小标宋_GBK" w:cs="Times New Roman"/>
          <w:b w:val="0"/>
          <w:i w:val="0"/>
          <w:caps w:val="0"/>
          <w:color w:val="000000"/>
          <w:spacing w:val="0"/>
          <w:kern w:val="0"/>
          <w:sz w:val="44"/>
          <w:szCs w:val="44"/>
          <w:lang w:val="en-US" w:eastAsia="zh-CN" w:bidi="ar"/>
        </w:rPr>
        <w:t>重庆市沙坪坝区卫生健康委员会</w:t>
      </w:r>
    </w:p>
    <w:p>
      <w:pPr>
        <w:keepNext w:val="0"/>
        <w:keepLines w:val="0"/>
        <w:pageBreakBefore w:val="0"/>
        <w:widowControl w:val="0"/>
        <w:tabs>
          <w:tab w:val="left" w:pos="799"/>
        </w:tabs>
        <w:kinsoku/>
        <w:wordWrap/>
        <w:overflowPunct/>
        <w:topLinePunct w:val="0"/>
        <w:autoSpaceDE/>
        <w:autoSpaceDN/>
        <w:bidi w:val="0"/>
        <w:adjustRightInd/>
        <w:snapToGrid/>
        <w:spacing w:line="560" w:lineRule="exact"/>
        <w:ind w:left="0" w:left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关于印发《沙坪坝区卫生健康委柔性执法事项负面清单》的通知</w:t>
      </w:r>
    </w:p>
    <w:p>
      <w:pPr>
        <w:keepNext w:val="0"/>
        <w:keepLines w:val="0"/>
        <w:pageBreakBefore w:val="0"/>
        <w:widowControl w:val="0"/>
        <w:tabs>
          <w:tab w:val="left" w:pos="799"/>
        </w:tabs>
        <w:kinsoku/>
        <w:wordWrap/>
        <w:overflowPunct/>
        <w:topLinePunct w:val="0"/>
        <w:autoSpaceDE/>
        <w:autoSpaceDN/>
        <w:bidi w:val="0"/>
        <w:adjustRightInd/>
        <w:snapToGrid/>
        <w:spacing w:line="560" w:lineRule="exact"/>
        <w:ind w:left="0" w:leftChars="0"/>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tabs>
          <w:tab w:val="left" w:pos="799"/>
        </w:tabs>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辖区各监管对象，区卫生健康综合行政执法支队：</w:t>
      </w:r>
    </w:p>
    <w:p>
      <w:pPr>
        <w:keepNext w:val="0"/>
        <w:keepLines w:val="0"/>
        <w:pageBreakBefore w:val="0"/>
        <w:widowControl w:val="0"/>
        <w:tabs>
          <w:tab w:val="left" w:pos="799"/>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深入贯彻中共中央、国务院《法治政府建设实施纲要(2021—2025)》,严格落实《重庆市沙坪坝区人民政府关于印发&lt;重庆市沙坪坝区推行行政机关柔性执法的实施意见&gt;的通知》(沙府发〔2021〕69号),切实规范行政执法行为,创新行政执法方式,促进严格规范公正文明执法,保护和增进行政相对人的合法权益,实现法律效果与社会效果的统一,根据《医疗废物管理条例》《医疗事故处理条例》等相关规定,结合我区实际,我委制定了《沙坪坝区卫生健康委柔性执法事项负面清单》，并已于2021年12月29日第13次行政办公会通过，现印发执行。</w:t>
      </w:r>
    </w:p>
    <w:p>
      <w:pPr>
        <w:keepNext w:val="0"/>
        <w:keepLines w:val="0"/>
        <w:pageBreakBefore w:val="0"/>
        <w:widowControl w:val="0"/>
        <w:tabs>
          <w:tab w:val="left" w:pos="799"/>
        </w:tabs>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tabs>
          <w:tab w:val="left" w:pos="799"/>
        </w:tabs>
        <w:kinsoku/>
        <w:wordWrap/>
        <w:overflowPunct/>
        <w:topLinePunct w:val="0"/>
        <w:autoSpaceDE/>
        <w:autoSpaceDN/>
        <w:bidi w:val="0"/>
        <w:adjustRightInd/>
        <w:snapToGrid/>
        <w:spacing w:line="560" w:lineRule="exact"/>
        <w:ind w:left="1280" w:leftChars="200" w:hanging="640" w:hanging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附件：沙坪坝区卫生健康委柔性执法事项负面清单</w:t>
      </w:r>
    </w:p>
    <w:p>
      <w:pPr>
        <w:keepNext w:val="0"/>
        <w:keepLines w:val="0"/>
        <w:pageBreakBefore w:val="0"/>
        <w:widowControl w:val="0"/>
        <w:tabs>
          <w:tab w:val="left" w:pos="799"/>
        </w:tabs>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tabs>
          <w:tab w:val="left" w:pos="799"/>
        </w:tabs>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tabs>
          <w:tab w:val="left" w:pos="799"/>
        </w:tabs>
        <w:kinsoku/>
        <w:wordWrap/>
        <w:overflowPunct/>
        <w:topLinePunct w:val="0"/>
        <w:autoSpaceDE/>
        <w:autoSpaceDN/>
        <w:bidi w:val="0"/>
        <w:adjustRightInd/>
        <w:snapToGrid/>
        <w:spacing w:line="560" w:lineRule="exact"/>
        <w:ind w:firstLine="4480" w:firstLineChars="14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沙坪坝区卫生健康委员会</w:t>
      </w:r>
    </w:p>
    <w:p>
      <w:pPr>
        <w:ind w:firstLine="4800" w:firstLineChars="15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2021年12月30日</w:t>
      </w:r>
    </w:p>
    <w:p>
      <w:pPr>
        <w:pStyle w:val="4"/>
        <w:keepNext w:val="0"/>
        <w:keepLines w:val="0"/>
        <w:pageBreakBefore w:val="0"/>
        <w:widowControl/>
        <w:kinsoku/>
        <w:wordWrap/>
        <w:topLinePunct w:val="0"/>
        <w:autoSpaceDE/>
        <w:autoSpaceDN/>
        <w:bidi w:val="0"/>
        <w:adjustRightInd/>
        <w:snapToGrid/>
        <w:spacing w:beforeAutospacing="0" w:afterAutospacing="0" w:line="560" w:lineRule="exact"/>
        <w:textAlignment w:val="auto"/>
        <w:rPr>
          <w:rFonts w:hint="default" w:ascii="方正仿宋_GBK" w:eastAsia="方正仿宋_GBK"/>
          <w:sz w:val="32"/>
          <w:szCs w:val="32"/>
          <w:lang w:val="en-US" w:eastAsia="zh-CN"/>
        </w:rPr>
      </w:pPr>
      <w:r>
        <w:rPr>
          <w:rFonts w:hint="eastAsia" w:ascii="方正仿宋_GBK" w:eastAsia="方正仿宋_GBK"/>
          <w:sz w:val="32"/>
          <w:szCs w:val="32"/>
          <w:lang w:val="en-US" w:eastAsia="zh-CN"/>
        </w:rPr>
        <w:t>（此件主动公开）</w:t>
      </w:r>
    </w:p>
    <w:p>
      <w:pPr>
        <w:ind w:firstLine="4800" w:firstLineChars="1500"/>
        <w:rPr>
          <w:rFonts w:hint="eastAsia" w:ascii="方正仿宋_GBK" w:hAnsi="方正仿宋_GBK" w:eastAsia="方正仿宋_GBK" w:cs="方正仿宋_GBK"/>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default" w:ascii="Times New Roman" w:hAnsi="Times New Roman" w:eastAsia="方正仿宋_GBK" w:cs="Times New Roman"/>
          <w:i w:val="0"/>
          <w:caps w:val="0"/>
          <w:color w:val="000000"/>
          <w:spacing w:val="0"/>
          <w:kern w:val="0"/>
          <w:sz w:val="32"/>
          <w:szCs w:val="32"/>
          <w:shd w:val="clear" w:fill="FFFFFF"/>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default" w:ascii="Times New Roman" w:hAnsi="Times New Roman" w:eastAsia="方正仿宋_GBK" w:cs="Times New Roman"/>
          <w:i w:val="0"/>
          <w:caps w:val="0"/>
          <w:color w:val="000000"/>
          <w:spacing w:val="0"/>
          <w:kern w:val="0"/>
          <w:sz w:val="32"/>
          <w:szCs w:val="32"/>
          <w:shd w:val="clear" w:fill="FFFFFF"/>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default" w:ascii="Times New Roman" w:hAnsi="Times New Roman" w:eastAsia="方正仿宋_GBK" w:cs="Times New Roman"/>
          <w:i w:val="0"/>
          <w:caps w:val="0"/>
          <w:color w:val="000000"/>
          <w:spacing w:val="0"/>
          <w:kern w:val="0"/>
          <w:sz w:val="32"/>
          <w:szCs w:val="32"/>
          <w:shd w:val="clear" w:fill="FFFFFF"/>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default" w:ascii="Times New Roman" w:hAnsi="Times New Roman" w:eastAsia="方正仿宋_GBK" w:cs="Times New Roman"/>
          <w:i w:val="0"/>
          <w:caps w:val="0"/>
          <w:color w:val="000000"/>
          <w:spacing w:val="0"/>
          <w:kern w:val="0"/>
          <w:sz w:val="32"/>
          <w:szCs w:val="32"/>
          <w:shd w:val="clear" w:fill="FFFFFF"/>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default" w:ascii="Times New Roman" w:hAnsi="Times New Roman" w:eastAsia="方正仿宋_GBK" w:cs="Times New Roman"/>
          <w:i w:val="0"/>
          <w:caps w:val="0"/>
          <w:color w:val="000000"/>
          <w:spacing w:val="0"/>
          <w:kern w:val="0"/>
          <w:sz w:val="32"/>
          <w:szCs w:val="32"/>
          <w:shd w:val="clear" w:fill="FFFFFF"/>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default" w:ascii="Times New Roman" w:hAnsi="Times New Roman" w:eastAsia="方正仿宋_GBK" w:cs="Times New Roman"/>
          <w:i w:val="0"/>
          <w:caps w:val="0"/>
          <w:color w:val="000000"/>
          <w:spacing w:val="0"/>
          <w:kern w:val="0"/>
          <w:sz w:val="32"/>
          <w:szCs w:val="32"/>
          <w:shd w:val="clear" w:fill="FFFFFF"/>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default" w:ascii="Times New Roman" w:hAnsi="Times New Roman" w:eastAsia="方正仿宋_GBK" w:cs="Times New Roman"/>
          <w:i w:val="0"/>
          <w:caps w:val="0"/>
          <w:color w:val="000000"/>
          <w:spacing w:val="0"/>
          <w:kern w:val="0"/>
          <w:sz w:val="32"/>
          <w:szCs w:val="32"/>
          <w:shd w:val="clear" w:fill="FFFFFF"/>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default" w:ascii="Times New Roman" w:hAnsi="Times New Roman" w:eastAsia="方正仿宋_GBK" w:cs="Times New Roman"/>
          <w:i w:val="0"/>
          <w:caps w:val="0"/>
          <w:color w:val="000000"/>
          <w:spacing w:val="0"/>
          <w:kern w:val="0"/>
          <w:sz w:val="32"/>
          <w:szCs w:val="32"/>
          <w:shd w:val="clear" w:fill="FFFFFF"/>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default" w:ascii="Times New Roman" w:hAnsi="Times New Roman" w:eastAsia="方正仿宋_GBK" w:cs="Times New Roman"/>
          <w:i w:val="0"/>
          <w:caps w:val="0"/>
          <w:color w:val="000000"/>
          <w:spacing w:val="0"/>
          <w:kern w:val="0"/>
          <w:sz w:val="32"/>
          <w:szCs w:val="32"/>
          <w:shd w:val="clear" w:fill="FFFFFF"/>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default" w:ascii="Times New Roman" w:hAnsi="Times New Roman" w:eastAsia="方正仿宋_GBK" w:cs="Times New Roman"/>
          <w:i w:val="0"/>
          <w:caps w:val="0"/>
          <w:color w:val="000000"/>
          <w:spacing w:val="0"/>
          <w:kern w:val="0"/>
          <w:sz w:val="32"/>
          <w:szCs w:val="32"/>
          <w:shd w:val="clear" w:fill="FFFFFF"/>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textAlignment w:val="auto"/>
        <w:outlineLvl w:val="9"/>
        <w:rPr>
          <w:rFonts w:hint="default" w:ascii="Times New Roman" w:hAnsi="Times New Roman" w:eastAsia="方正仿宋_GBK" w:cs="Times New Roman"/>
          <w:i w:val="0"/>
          <w:caps w:val="0"/>
          <w:color w:val="000000"/>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140" w:firstLineChars="50"/>
        <w:jc w:val="left"/>
        <w:textAlignment w:val="auto"/>
        <w:outlineLvl w:val="9"/>
        <w:rPr>
          <w:rFonts w:hint="default" w:ascii="Times New Roman" w:hAnsi="Times New Roman" w:eastAsia="方正仿宋_GBK" w:cs="Times New Roman"/>
          <w:color w:val="000000"/>
          <w:sz w:val="28"/>
          <w:szCs w:val="28"/>
          <w:lang w:bidi="ar-SA"/>
        </w:rPr>
        <w:sectPr>
          <w:footerReference r:id="rId3" w:type="default"/>
          <w:pgSz w:w="11906" w:h="16838"/>
          <w:pgMar w:top="2098" w:right="1474" w:bottom="1984" w:left="1587" w:header="851" w:footer="992" w:gutter="0"/>
          <w:pgNumType w:fmt="numberInDash"/>
          <w:cols w:space="425" w:num="1"/>
          <w:docGrid w:type="lines" w:linePitch="312" w:charSpace="0"/>
        </w:sect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10795</wp:posOffset>
                </wp:positionH>
                <wp:positionV relativeFrom="paragraph">
                  <wp:posOffset>24765</wp:posOffset>
                </wp:positionV>
                <wp:extent cx="56007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85pt;margin-top:1.95pt;height:0pt;width:441pt;z-index:251663360;mso-width-relative:page;mso-height-relative:page;" filled="f" stroked="t" coordsize="21600,21600" o:gfxdata="UEsFBgAAAAAAAAAAAAAAAAAAAAAAAFBLAwQKAAAAAACHTuJAAAAAAAAAAAAAAAAABAAAAGRycy9Q&#10;SwMEFAAAAAgAh07iQBYF6sTRAAAABQEAAA8AAABkcnMvZG93bnJldi54bWxNjk1PwzAQRO9I/Adr&#10;kbhU1G4jQQhxegBy40IL4rqNlyQiXqex+wG/noULHJ9mNPPK1ckP6kBT7ANbWMwNKOImuJ5bCy+b&#10;+ioHFROywyEwWfikCKvq/KzEwoUjP9NhnVolIxwLtNClNBZax6Yjj3EeRmLJ3sPkMQlOrXYTHmXc&#10;D3ppzLX22LM8dDjSfUfNx3rvLcT6lXb116yZmbesDbTcPTw9orWXFwtzByrRKf2V4Udf1KESp23Y&#10;s4tqEL6RooXsFpSkeZ4Jb39ZV6X+b199A1BLAwQUAAAACACHTuJAoG448NwBAACZAwAADgAAAGRy&#10;cy9lMm9Eb2MueG1srVNLjhMxEN0jcQfLe9I9kRKglc4sJgwbBJGAA1Rsd7cl/1R20skluAASO1ix&#10;ZM9tGI5B2clkmGGDEL2oLrvKr+o9lxeXe2vYTmHU3rX8YlJzppzwUru+5e/fXT95xllM4CQY71TL&#10;Dyryy+XjR4sxNGrqB2+kQkYgLjZjaPmQUmiqKopBWYgTH5SjYOfRQqIl9pVEGAndmmpa1/Nq9CgD&#10;eqFipN3VMciXBb/rlEhvui6qxEzLqbdULBa7ybZaLqDpEcKgxakN+IcuLGhHRc9QK0jAtqj/gLJa&#10;oI++SxPhbeW7TgtVOBCbi/oBm7cDBFW4kDgxnGWK/w9WvN6tkWnZ8jlnDixd0c3Hbz8+fP75/RPZ&#10;m69f2DyLNIbYUO6VW+NpFcMaM+N9hzb/iQvbF2EPZ2HVPjFBm7N5XT+tSX9xG6vuDgaM6aXylmWn&#10;5Ua7zBka2L2KiYpR6m1K3jaOjS1/PpvOCA5oZDoDiVwbiER0fTkbvdHyWhuTT0TsN1cG2Q7yEJQv&#10;UyLce2m5yAricMwroeN4DArkCydZOgSSx9Ec89yCVZIzo2jss0eA0CTQ5m8yqbRx1EFW9ahj9jZe&#10;HugytgF1P5ASCbeqNJqDdP+l5dOs5gH7fV3A7l7U8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AW&#10;BerE0QAAAAUBAAAPAAAAAAAAAAEAIAAAADgAAABkcnMvZG93bnJldi54bWxQSwECFAAUAAAACACH&#10;TuJAoG448NwBAACZAwAADgAAAAAAAAABACAAAAA2AQAAZHJzL2Uyb0RvYy54bWxQSwUGAAAAAAYA&#10;BgBZAQAAhAU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w:t>沙坪坝区卫生</w:t>
      </w:r>
      <w:r>
        <w:rPr>
          <w:rFonts w:hint="default" w:ascii="Times New Roman" w:hAnsi="Times New Roman" w:eastAsia="方正仿宋_GBK" w:cs="Times New Roman"/>
          <w:sz w:val="28"/>
          <w:szCs w:val="28"/>
          <w:lang w:eastAsia="zh-CN"/>
        </w:rPr>
        <w:t>健康</w:t>
      </w:r>
      <w:r>
        <w:rPr>
          <w:rFonts w:hint="default" w:ascii="Times New Roman" w:hAnsi="Times New Roman" w:eastAsia="方正仿宋_GBK" w:cs="Times New Roman"/>
          <w:sz w:val="28"/>
          <w:szCs w:val="28"/>
        </w:rPr>
        <w:t>委员会办公室</w:t>
      </w:r>
      <w:r>
        <w:rPr>
          <w:rFonts w:hint="default" w:ascii="Times New Roman" w:hAnsi="Times New Roman" w:eastAsia="方正仿宋_GBK"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20320</wp:posOffset>
                </wp:positionH>
                <wp:positionV relativeFrom="paragraph">
                  <wp:posOffset>396240</wp:posOffset>
                </wp:positionV>
                <wp:extent cx="56007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6pt;margin-top:31.2pt;height:0pt;width:441pt;z-index:251662336;mso-width-relative:page;mso-height-relative:page;" filled="f" stroked="t" coordsize="21600,21600" o:gfxdata="UEsFBgAAAAAAAAAAAAAAAAAAAAAAAFBLAwQKAAAAAACHTuJAAAAAAAAAAAAAAAAABAAAAGRycy9Q&#10;SwMEFAAAAAgAh07iQA6VWSTTAAAABwEAAA8AAABkcnMvZG93bnJldi54bWxNjstOwzAQRfdI/IM1&#10;SGwqajeFKgpxugCyY0MBsZ3GQxIRj9PYfcDXM4gFLO9D955yffKDOtAU+8AWFnMDirgJrufWwstz&#10;fZWDignZ4RCYLHxShHV1flZi4cKRn+iwSa2SEY4FWuhSGgutY9ORxzgPI7Fk72HymEROrXYTHmXc&#10;DzozZqU99iwPHY5011Hzsdl7C7F+pV39NWtm5m3ZBsp2948PaO3lxcLcgkp0Sn9l+MEXdKiEaRv2&#10;7KIaLCwzKVpYZdegJM7zGzG2v4auSv2fv/oGUEsDBBQAAAAIAIdO4kCnsAoh3AEAAJkDAAAOAAAA&#10;ZHJzL2Uyb0RvYy54bWytU0uOEzEQ3SNxB8t70j2RMoFWOrOYMGwQRAIOULHd3Zb8U9lJJ5fgAkjs&#10;YMWSPbdh5hiUnUyGzwYhelFddpVf1XsuL6721rCdwqi9a/nFpOZMOeGldn3L3729efKUs5jASTDe&#10;qZYfVORXy8ePFmNo1NQP3kiFjEBcbMbQ8iGl0FRVFIOyECc+KEfBzqOFREvsK4kwEro11bSuL6vR&#10;owzohYqRdlfHIF8W/K5TIr3uuqgSMy2n3lKxWOwm22q5gKZHCIMWpzbgH7qwoB0VPUOtIAHbov4D&#10;ymqBPvouTYS3le86LVThQGwu6t/YvBkgqMKFxInhLFP8f7Di1W6NTMuWzzlzYOmKbj98/f7+0923&#10;j2Rvv3xm8yzSGGJDuddujadVDGvMjPcd2vwnLmxfhD2chVX7xARtzi7rel6T/uI+Vj0cDBjTC+Ut&#10;y07LjXaZMzSwexkTFaPU+5S8bRwbW/5sNp0RHNDIdAYSuTYQiej6cjZ6o+WNNiafiNhvrg2yHeQh&#10;KF+mRLi/pOUiK4jDMa+EjuMxKJDPnWTpEEgeR3PMcwtWSc6MorHPHgFCk0Cbv8mk0sZRB1nVo47Z&#10;23h5oMvYBtT9QEok3KrSaA7S/ZeWT7OaB+zndQF7eFHL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A6VWSTTAAAABwEAAA8AAAAAAAAAAQAgAAAAOAAAAGRycy9kb3ducmV2LnhtbFBLAQIUABQAAAAI&#10;AIdO4kCnsAoh3AEAAJkDAAAOAAAAAAAAAAEAIAAAADgBAABkcnMvZTJvRG9jLnhtbFBLBQYAAAAA&#10;BgAGAFkBAACGBQAAAAA=&#10;">
                <v:fill on="f" focussize="0,0"/>
                <v:stroke color="#000000" joinstyle="round"/>
                <v:imagedata o:title=""/>
                <o:lock v:ext="edit" aspectratio="f"/>
              </v:line>
            </w:pict>
          </mc:Fallback>
        </mc:AlternateContent>
      </w:r>
      <w:r>
        <w:rPr>
          <w:rFonts w:hint="default" w:ascii="Times New Roman" w:hAnsi="Times New Roman" w:eastAsia="方正仿宋_GBK" w:cs="Times New Roman"/>
          <w:w w:val="80"/>
          <w:sz w:val="28"/>
          <w:szCs w:val="28"/>
        </w:rPr>
        <w:t xml:space="preserve">      </w:t>
      </w:r>
      <w:r>
        <w:rPr>
          <w:rFonts w:hint="default" w:ascii="Times New Roman" w:hAnsi="Times New Roman" w:eastAsia="方正仿宋_GBK" w:cs="Times New Roman"/>
          <w:w w:val="80"/>
          <w:sz w:val="28"/>
          <w:szCs w:val="28"/>
          <w:lang w:val="en-US" w:eastAsia="zh-CN"/>
        </w:rPr>
        <w:t xml:space="preserve">     </w:t>
      </w:r>
      <w:r>
        <w:rPr>
          <w:rFonts w:hint="eastAsia" w:ascii="Times New Roman" w:hAnsi="Times New Roman" w:eastAsia="方正仿宋_GBK" w:cs="Times New Roman"/>
          <w:w w:val="80"/>
          <w:sz w:val="28"/>
          <w:szCs w:val="28"/>
          <w:lang w:val="en-US" w:eastAsia="zh-CN"/>
        </w:rPr>
        <w:t xml:space="preserve">    </w:t>
      </w:r>
      <w:r>
        <w:rPr>
          <w:rFonts w:hint="default" w:ascii="Times New Roman" w:hAnsi="Times New Roman" w:eastAsia="方正仿宋_GBK" w:cs="Times New Roman"/>
          <w:w w:val="80"/>
          <w:sz w:val="28"/>
          <w:szCs w:val="28"/>
          <w:lang w:val="en-US" w:eastAsia="zh-CN"/>
        </w:rPr>
        <w:t xml:space="preserve"> </w:t>
      </w:r>
      <w:r>
        <w:rPr>
          <w:rFonts w:hint="default" w:ascii="Times New Roman" w:hAnsi="Times New Roman" w:eastAsia="方正仿宋_GBK" w:cs="Times New Roman"/>
          <w:color w:val="000000"/>
          <w:sz w:val="28"/>
          <w:szCs w:val="28"/>
          <w:lang w:val="en-US" w:eastAsia="zh-CN" w:bidi="ar-SA"/>
        </w:rPr>
        <w:t>202</w:t>
      </w:r>
      <w:r>
        <w:rPr>
          <w:rFonts w:hint="eastAsia" w:eastAsia="方正仿宋_GBK" w:cs="Times New Roman"/>
          <w:color w:val="000000"/>
          <w:sz w:val="28"/>
          <w:szCs w:val="28"/>
          <w:lang w:val="en-US" w:eastAsia="zh-CN" w:bidi="ar-SA"/>
        </w:rPr>
        <w:t>1</w:t>
      </w:r>
      <w:r>
        <w:rPr>
          <w:rFonts w:hint="default" w:ascii="Times New Roman" w:hAnsi="Times New Roman" w:eastAsia="方正仿宋_GBK" w:cs="Times New Roman"/>
          <w:color w:val="000000"/>
          <w:sz w:val="28"/>
          <w:szCs w:val="28"/>
          <w:lang w:bidi="ar-SA"/>
        </w:rPr>
        <w:t>年</w:t>
      </w:r>
      <w:r>
        <w:rPr>
          <w:rFonts w:hint="default" w:ascii="Times New Roman" w:hAnsi="Times New Roman" w:eastAsia="方正仿宋_GBK" w:cs="Times New Roman"/>
          <w:color w:val="000000"/>
          <w:sz w:val="28"/>
          <w:szCs w:val="28"/>
          <w:lang w:val="en-US" w:eastAsia="zh-CN" w:bidi="ar-SA"/>
        </w:rPr>
        <w:t>12</w:t>
      </w:r>
      <w:r>
        <w:rPr>
          <w:rFonts w:hint="default" w:ascii="Times New Roman" w:hAnsi="Times New Roman" w:eastAsia="方正仿宋_GBK" w:cs="Times New Roman"/>
          <w:color w:val="000000"/>
          <w:sz w:val="28"/>
          <w:szCs w:val="28"/>
          <w:lang w:bidi="ar-SA"/>
        </w:rPr>
        <w:t>月</w:t>
      </w:r>
      <w:r>
        <w:rPr>
          <w:rFonts w:hint="eastAsia" w:eastAsia="方正仿宋_GBK" w:cs="Times New Roman"/>
          <w:color w:val="000000"/>
          <w:sz w:val="28"/>
          <w:szCs w:val="28"/>
          <w:lang w:val="en-US" w:eastAsia="zh-CN" w:bidi="ar-SA"/>
        </w:rPr>
        <w:t>30</w:t>
      </w:r>
      <w:r>
        <w:rPr>
          <w:rFonts w:hint="default" w:ascii="Times New Roman" w:hAnsi="Times New Roman" w:eastAsia="方正仿宋_GBK" w:cs="Times New Roman"/>
          <w:color w:val="000000"/>
          <w:sz w:val="28"/>
          <w:szCs w:val="28"/>
          <w:lang w:bidi="ar-SA"/>
        </w:rPr>
        <w:t>日印发</w:t>
      </w:r>
    </w:p>
    <w:p>
      <w:pPr>
        <w:keepNext w:val="0"/>
        <w:keepLines w:val="0"/>
        <w:pageBreakBefore w:val="0"/>
        <w:widowControl w:val="0"/>
        <w:tabs>
          <w:tab w:val="left" w:pos="799"/>
        </w:tabs>
        <w:kinsoku/>
        <w:wordWrap/>
        <w:overflowPunct/>
        <w:topLinePunct w:val="0"/>
        <w:autoSpaceDE/>
        <w:autoSpaceDN/>
        <w:bidi w:val="0"/>
        <w:adjustRightInd/>
        <w:snapToGrid/>
        <w:spacing w:line="560" w:lineRule="exact"/>
        <w:jc w:val="left"/>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bookmarkStart w:id="0" w:name="_GoBack"/>
      <w:bookmarkEnd w:id="0"/>
    </w:p>
    <w:p>
      <w:pPr>
        <w:keepNext w:val="0"/>
        <w:keepLines w:val="0"/>
        <w:pageBreakBefore w:val="0"/>
        <w:widowControl w:val="0"/>
        <w:tabs>
          <w:tab w:val="left" w:pos="799"/>
        </w:tabs>
        <w:kinsoku/>
        <w:wordWrap/>
        <w:overflowPunct/>
        <w:topLinePunct w:val="0"/>
        <w:autoSpaceDE/>
        <w:autoSpaceDN/>
        <w:bidi w:val="0"/>
        <w:adjustRightInd/>
        <w:snapToGrid/>
        <w:spacing w:line="560" w:lineRule="exact"/>
        <w:ind w:firstLine="880" w:firstLineChars="200"/>
        <w:jc w:val="center"/>
        <w:textAlignment w:val="auto"/>
        <w:outlineLvl w:val="9"/>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lang w:eastAsia="zh-CN"/>
        </w:rPr>
        <w:t>沙坪坝卫生健康委</w:t>
      </w:r>
      <w:r>
        <w:rPr>
          <w:rFonts w:hint="eastAsia" w:ascii="方正小标宋_GBK" w:hAnsi="方正小标宋_GBK" w:eastAsia="方正小标宋_GBK" w:cs="方正小标宋_GBK"/>
          <w:sz w:val="44"/>
          <w:szCs w:val="44"/>
        </w:rPr>
        <w:t>柔性执法事项负面清单</w:t>
      </w:r>
    </w:p>
    <w:tbl>
      <w:tblPr>
        <w:tblStyle w:val="5"/>
        <w:tblW w:w="13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3607"/>
        <w:gridCol w:w="1590"/>
        <w:gridCol w:w="4965"/>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top"/>
          </w:tcPr>
          <w:p>
            <w:pPr>
              <w:tabs>
                <w:tab w:val="left" w:pos="799"/>
              </w:tabs>
              <w:jc w:val="center"/>
              <w:rPr>
                <w:rFonts w:hint="eastAsia" w:ascii="方正黑体_GBK" w:hAnsi="Calibri" w:eastAsia="方正黑体_GBK"/>
              </w:rPr>
            </w:pPr>
            <w:r>
              <w:rPr>
                <w:rFonts w:hint="eastAsia" w:ascii="方正黑体_GBK" w:hAnsi="Calibri" w:eastAsia="方正黑体_GBK"/>
              </w:rPr>
              <w:t>序号</w:t>
            </w:r>
          </w:p>
        </w:tc>
        <w:tc>
          <w:tcPr>
            <w:tcW w:w="3607" w:type="dxa"/>
            <w:vAlign w:val="top"/>
          </w:tcPr>
          <w:p>
            <w:pPr>
              <w:tabs>
                <w:tab w:val="left" w:pos="799"/>
              </w:tabs>
              <w:jc w:val="center"/>
              <w:rPr>
                <w:rFonts w:hint="eastAsia" w:ascii="方正黑体_GBK" w:hAnsi="Calibri" w:eastAsia="方正黑体_GBK"/>
              </w:rPr>
            </w:pPr>
            <w:r>
              <w:rPr>
                <w:rFonts w:hint="eastAsia" w:ascii="方正黑体_GBK" w:hAnsi="Calibri" w:eastAsia="方正黑体_GBK"/>
              </w:rPr>
              <w:t>事项</w:t>
            </w:r>
          </w:p>
        </w:tc>
        <w:tc>
          <w:tcPr>
            <w:tcW w:w="1590" w:type="dxa"/>
            <w:vAlign w:val="top"/>
          </w:tcPr>
          <w:p>
            <w:pPr>
              <w:tabs>
                <w:tab w:val="left" w:pos="799"/>
              </w:tabs>
              <w:jc w:val="center"/>
              <w:rPr>
                <w:rFonts w:hint="eastAsia" w:ascii="方正黑体_GBK" w:hAnsi="Calibri" w:eastAsia="方正黑体_GBK"/>
              </w:rPr>
            </w:pPr>
            <w:r>
              <w:rPr>
                <w:rFonts w:hint="eastAsia" w:ascii="方正黑体_GBK" w:hAnsi="Calibri" w:eastAsia="方正黑体_GBK"/>
              </w:rPr>
              <w:t>事项编码</w:t>
            </w:r>
          </w:p>
        </w:tc>
        <w:tc>
          <w:tcPr>
            <w:tcW w:w="4965" w:type="dxa"/>
            <w:vAlign w:val="top"/>
          </w:tcPr>
          <w:p>
            <w:pPr>
              <w:tabs>
                <w:tab w:val="left" w:pos="799"/>
              </w:tabs>
              <w:jc w:val="center"/>
              <w:rPr>
                <w:rFonts w:hint="eastAsia" w:ascii="方正黑体_GBK" w:hAnsi="Calibri" w:eastAsia="方正黑体_GBK"/>
              </w:rPr>
            </w:pPr>
            <w:r>
              <w:rPr>
                <w:rFonts w:hint="eastAsia" w:ascii="方正黑体_GBK" w:hAnsi="Calibri" w:eastAsia="方正黑体_GBK"/>
              </w:rPr>
              <w:t>情形</w:t>
            </w:r>
          </w:p>
        </w:tc>
        <w:tc>
          <w:tcPr>
            <w:tcW w:w="2928" w:type="dxa"/>
            <w:vAlign w:val="top"/>
          </w:tcPr>
          <w:p>
            <w:pPr>
              <w:tabs>
                <w:tab w:val="left" w:pos="799"/>
              </w:tabs>
              <w:jc w:val="center"/>
              <w:rPr>
                <w:rFonts w:hint="eastAsia" w:ascii="方正黑体_GBK" w:hAnsi="Calibri" w:eastAsia="方正黑体_GBK"/>
              </w:rPr>
            </w:pPr>
            <w:r>
              <w:rPr>
                <w:rFonts w:hint="eastAsia" w:ascii="方正黑体_GBK" w:hAnsi="Calibri" w:eastAsia="方正黑体_GBK"/>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860" w:type="dxa"/>
            <w:vAlign w:val="center"/>
          </w:tcPr>
          <w:p>
            <w:pPr>
              <w:tabs>
                <w:tab w:val="left" w:pos="799"/>
              </w:tabs>
              <w:jc w:val="center"/>
              <w:rPr>
                <w:rFonts w:hint="eastAsia"/>
                <w:sz w:val="21"/>
                <w:szCs w:val="21"/>
              </w:rPr>
            </w:pPr>
            <w:r>
              <w:rPr>
                <w:rFonts w:hint="eastAsia"/>
                <w:sz w:val="21"/>
                <w:szCs w:val="21"/>
              </w:rPr>
              <w:t>1</w:t>
            </w:r>
          </w:p>
        </w:tc>
        <w:tc>
          <w:tcPr>
            <w:tcW w:w="3607" w:type="dxa"/>
            <w:vAlign w:val="center"/>
          </w:tcPr>
          <w:p>
            <w:pPr>
              <w:tabs>
                <w:tab w:val="left" w:pos="799"/>
              </w:tabs>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对医疗卫生机构发生医疗废物流失、泄漏、扩散时，未采取紧急处理措施，或者未及时向卫生行政主管部门</w:t>
            </w:r>
            <w:r>
              <w:rPr>
                <w:rFonts w:hint="eastAsia" w:ascii="方正仿宋_GBK" w:hAnsi="方正仿宋_GBK" w:eastAsia="方正仿宋_GBK" w:cs="方正仿宋_GBK"/>
                <w:sz w:val="21"/>
                <w:szCs w:val="21"/>
                <w:lang w:val="en-US" w:eastAsia="zh-CN"/>
              </w:rPr>
              <w:t>报告</w:t>
            </w:r>
            <w:r>
              <w:rPr>
                <w:rFonts w:hint="eastAsia" w:ascii="方正仿宋_GBK" w:hAnsi="方正仿宋_GBK" w:eastAsia="方正仿宋_GBK" w:cs="方正仿宋_GBK"/>
                <w:sz w:val="21"/>
                <w:szCs w:val="21"/>
              </w:rPr>
              <w:t>的处罚</w:t>
            </w:r>
          </w:p>
        </w:tc>
        <w:tc>
          <w:tcPr>
            <w:tcW w:w="1590" w:type="dxa"/>
            <w:vAlign w:val="center"/>
          </w:tcPr>
          <w:p>
            <w:pPr>
              <w:tabs>
                <w:tab w:val="left" w:pos="799"/>
              </w:tabs>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500223102000</w:t>
            </w:r>
          </w:p>
          <w:p>
            <w:pPr>
              <w:tabs>
                <w:tab w:val="left" w:pos="799"/>
              </w:tabs>
              <w:rPr>
                <w:rFonts w:hint="eastAsia" w:ascii="方正仿宋_GBK" w:hAnsi="方正仿宋_GBK" w:eastAsia="方正仿宋_GBK" w:cs="方正仿宋_GBK"/>
                <w:sz w:val="21"/>
                <w:szCs w:val="21"/>
              </w:rPr>
            </w:pPr>
          </w:p>
        </w:tc>
        <w:tc>
          <w:tcPr>
            <w:tcW w:w="4965" w:type="dxa"/>
            <w:vAlign w:val="center"/>
          </w:tcPr>
          <w:p>
            <w:pPr>
              <w:tabs>
                <w:tab w:val="left" w:pos="799"/>
              </w:tabs>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未采取紧急处理措施，或者未及时向卫生行政主管部门报告的，造成传染病传播的</w:t>
            </w:r>
            <w:r>
              <w:rPr>
                <w:rFonts w:hint="eastAsia" w:ascii="方正仿宋_GBK" w:hAnsi="方正仿宋_GBK" w:eastAsia="方正仿宋_GBK" w:cs="方正仿宋_GBK"/>
                <w:sz w:val="21"/>
                <w:szCs w:val="21"/>
                <w:lang w:eastAsia="zh-CN"/>
              </w:rPr>
              <w:t>。</w:t>
            </w:r>
          </w:p>
        </w:tc>
        <w:tc>
          <w:tcPr>
            <w:tcW w:w="2928" w:type="dxa"/>
            <w:vAlign w:val="center"/>
          </w:tcPr>
          <w:p>
            <w:pPr>
              <w:tabs>
                <w:tab w:val="left" w:pos="799"/>
              </w:tabs>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《医疗废物管理条例》第四十</w:t>
            </w:r>
            <w:r>
              <w:rPr>
                <w:rFonts w:hint="eastAsia" w:ascii="方正仿宋_GBK" w:hAnsi="方正仿宋_GBK" w:eastAsia="方正仿宋_GBK" w:cs="方正仿宋_GBK"/>
                <w:kern w:val="0"/>
                <w:sz w:val="21"/>
                <w:szCs w:val="21"/>
                <w:lang w:eastAsia="zh-CN"/>
              </w:rPr>
              <w:t>九条，</w:t>
            </w:r>
            <w:r>
              <w:rPr>
                <w:rFonts w:hint="eastAsia" w:ascii="方正仿宋_GBK" w:hAnsi="方正仿宋_GBK" w:eastAsia="方正仿宋_GBK" w:cs="方正仿宋_GBK"/>
                <w:kern w:val="0"/>
                <w:sz w:val="21"/>
                <w:szCs w:val="21"/>
              </w:rPr>
              <w:t>《重庆市卫生计生行政处罚裁量权实施办法》CR090B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60" w:type="dxa"/>
            <w:vAlign w:val="center"/>
          </w:tcPr>
          <w:p>
            <w:pPr>
              <w:tabs>
                <w:tab w:val="left" w:pos="799"/>
              </w:tabs>
              <w:jc w:val="center"/>
              <w:rPr>
                <w:rFonts w:hint="eastAsia"/>
                <w:sz w:val="21"/>
                <w:szCs w:val="21"/>
              </w:rPr>
            </w:pPr>
            <w:r>
              <w:rPr>
                <w:rFonts w:hint="eastAsia"/>
                <w:sz w:val="21"/>
                <w:szCs w:val="21"/>
              </w:rPr>
              <w:t>2</w:t>
            </w:r>
          </w:p>
        </w:tc>
        <w:tc>
          <w:tcPr>
            <w:tcW w:w="3607" w:type="dxa"/>
            <w:vAlign w:val="center"/>
          </w:tcPr>
          <w:p>
            <w:pPr>
              <w:tabs>
                <w:tab w:val="left" w:pos="799"/>
              </w:tabs>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对医疗卫生机构违反规定造成传染病传播的处罚</w:t>
            </w:r>
          </w:p>
        </w:tc>
        <w:tc>
          <w:tcPr>
            <w:tcW w:w="1590" w:type="dxa"/>
            <w:vAlign w:val="center"/>
          </w:tcPr>
          <w:p>
            <w:pPr>
              <w:tabs>
                <w:tab w:val="left" w:pos="799"/>
              </w:tabs>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500223101000</w:t>
            </w:r>
          </w:p>
          <w:p>
            <w:pPr>
              <w:tabs>
                <w:tab w:val="left" w:pos="799"/>
              </w:tabs>
              <w:rPr>
                <w:rFonts w:hint="eastAsia" w:ascii="方正仿宋_GBK" w:hAnsi="方正仿宋_GBK" w:eastAsia="方正仿宋_GBK" w:cs="方正仿宋_GBK"/>
                <w:sz w:val="21"/>
                <w:szCs w:val="21"/>
              </w:rPr>
            </w:pPr>
          </w:p>
        </w:tc>
        <w:tc>
          <w:tcPr>
            <w:tcW w:w="4965" w:type="dxa"/>
            <w:vAlign w:val="center"/>
          </w:tcPr>
          <w:p>
            <w:pPr>
              <w:tabs>
                <w:tab w:val="left" w:pos="799"/>
              </w:tabs>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医疗卫生机构在运送过程中丢弃医疗废物，在非贮存地点倾倒、堆放医疗废物或者将医疗废物混入其他废物和生活垃圾，造成传染病传播的</w:t>
            </w:r>
            <w:r>
              <w:rPr>
                <w:rFonts w:hint="eastAsia" w:ascii="方正仿宋_GBK" w:hAnsi="方正仿宋_GBK" w:eastAsia="方正仿宋_GBK" w:cs="方正仿宋_GBK"/>
                <w:sz w:val="21"/>
                <w:szCs w:val="21"/>
                <w:lang w:eastAsia="zh-CN"/>
              </w:rPr>
              <w:t>。</w:t>
            </w:r>
          </w:p>
        </w:tc>
        <w:tc>
          <w:tcPr>
            <w:tcW w:w="2928" w:type="dxa"/>
            <w:vAlign w:val="center"/>
          </w:tcPr>
          <w:p>
            <w:pPr>
              <w:tabs>
                <w:tab w:val="left" w:pos="799"/>
              </w:tabs>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《医疗废物管理条例》第四十七条第（一）项</w:t>
            </w:r>
            <w:r>
              <w:rPr>
                <w:rFonts w:hint="eastAsia" w:ascii="方正仿宋_GBK" w:hAnsi="方正仿宋_GBK" w:eastAsia="方正仿宋_GBK" w:cs="方正仿宋_GBK"/>
                <w:kern w:val="0"/>
                <w:sz w:val="21"/>
                <w:szCs w:val="21"/>
                <w:lang w:eastAsia="zh-CN"/>
              </w:rPr>
              <w:t>，</w:t>
            </w:r>
            <w:r>
              <w:rPr>
                <w:rFonts w:hint="eastAsia" w:ascii="方正仿宋_GBK" w:hAnsi="方正仿宋_GBK" w:eastAsia="方正仿宋_GBK" w:cs="方正仿宋_GBK"/>
                <w:kern w:val="0"/>
                <w:sz w:val="21"/>
                <w:szCs w:val="21"/>
              </w:rPr>
              <w:t>《重庆市卫生计生行政处罚裁量权实施办法》CR086C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860" w:type="dxa"/>
            <w:vAlign w:val="center"/>
          </w:tcPr>
          <w:p>
            <w:pPr>
              <w:tabs>
                <w:tab w:val="left" w:pos="799"/>
              </w:tabs>
              <w:jc w:val="center"/>
              <w:rPr>
                <w:rFonts w:hint="eastAsia"/>
                <w:sz w:val="21"/>
                <w:szCs w:val="21"/>
              </w:rPr>
            </w:pPr>
            <w:r>
              <w:rPr>
                <w:rFonts w:hint="eastAsia"/>
                <w:sz w:val="21"/>
                <w:szCs w:val="21"/>
              </w:rPr>
              <w:t>3</w:t>
            </w:r>
          </w:p>
        </w:tc>
        <w:tc>
          <w:tcPr>
            <w:tcW w:w="3607" w:type="dxa"/>
            <w:vAlign w:val="center"/>
          </w:tcPr>
          <w:p>
            <w:pPr>
              <w:tabs>
                <w:tab w:val="left" w:pos="799"/>
              </w:tabs>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对医疗机构违反规定，未采取预防和控制措施或者发生医院感染未及时采取控制措施，造成医院感染暴发、传染病传播或者其他严重后果的处罚</w:t>
            </w:r>
          </w:p>
        </w:tc>
        <w:tc>
          <w:tcPr>
            <w:tcW w:w="1590" w:type="dxa"/>
            <w:vAlign w:val="center"/>
          </w:tcPr>
          <w:p>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500223111000</w:t>
            </w:r>
          </w:p>
          <w:p>
            <w:pPr>
              <w:tabs>
                <w:tab w:val="left" w:pos="799"/>
              </w:tabs>
              <w:rPr>
                <w:rFonts w:hint="eastAsia" w:ascii="方正仿宋_GBK" w:hAnsi="方正仿宋_GBK" w:eastAsia="方正仿宋_GBK" w:cs="方正仿宋_GBK"/>
                <w:sz w:val="21"/>
                <w:szCs w:val="21"/>
              </w:rPr>
            </w:pPr>
          </w:p>
        </w:tc>
        <w:tc>
          <w:tcPr>
            <w:tcW w:w="4965" w:type="dxa"/>
            <w:vAlign w:val="center"/>
          </w:tcPr>
          <w:p>
            <w:pPr>
              <w:tabs>
                <w:tab w:val="left" w:pos="799"/>
              </w:tabs>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kern w:val="0"/>
                <w:sz w:val="21"/>
                <w:szCs w:val="21"/>
              </w:rPr>
              <w:t>医疗机构未采取预防和控制措施或者发生医院感染未及时采取控制措施，造成医院感染暴发、传染病传播或者其他严重后果</w:t>
            </w:r>
            <w:r>
              <w:rPr>
                <w:rFonts w:hint="eastAsia" w:ascii="方正仿宋_GBK" w:hAnsi="方正仿宋_GBK" w:eastAsia="方正仿宋_GBK" w:cs="方正仿宋_GBK"/>
                <w:kern w:val="0"/>
                <w:sz w:val="21"/>
                <w:szCs w:val="21"/>
                <w:lang w:val="en-US" w:eastAsia="zh-CN"/>
              </w:rPr>
              <w:t>的</w:t>
            </w:r>
            <w:r>
              <w:rPr>
                <w:rFonts w:hint="eastAsia" w:ascii="方正仿宋_GBK" w:hAnsi="方正仿宋_GBK" w:eastAsia="方正仿宋_GBK" w:cs="方正仿宋_GBK"/>
                <w:kern w:val="0"/>
                <w:sz w:val="21"/>
                <w:szCs w:val="21"/>
                <w:lang w:eastAsia="zh-CN"/>
              </w:rPr>
              <w:t>。</w:t>
            </w:r>
          </w:p>
        </w:tc>
        <w:tc>
          <w:tcPr>
            <w:tcW w:w="2928" w:type="dxa"/>
            <w:vAlign w:val="center"/>
          </w:tcPr>
          <w:p>
            <w:pPr>
              <w:tabs>
                <w:tab w:val="left" w:pos="799"/>
              </w:tabs>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《医院感染管理办法》第三十四条</w:t>
            </w:r>
            <w:r>
              <w:rPr>
                <w:rFonts w:hint="eastAsia" w:ascii="方正仿宋_GBK" w:hAnsi="方正仿宋_GBK" w:eastAsia="方正仿宋_GBK" w:cs="方正仿宋_GBK"/>
                <w:kern w:val="0"/>
                <w:sz w:val="21"/>
                <w:szCs w:val="21"/>
                <w:lang w:eastAsia="zh-CN"/>
              </w:rPr>
              <w:t>，</w:t>
            </w:r>
            <w:r>
              <w:rPr>
                <w:rFonts w:hint="eastAsia" w:ascii="方正仿宋_GBK" w:hAnsi="方正仿宋_GBK" w:eastAsia="方正仿宋_GBK" w:cs="方正仿宋_GBK"/>
                <w:kern w:val="0"/>
                <w:sz w:val="21"/>
                <w:szCs w:val="21"/>
              </w:rPr>
              <w:t>《重庆市卫生计生行政处罚裁量权实施办法》CR145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tabs>
                <w:tab w:val="left" w:pos="799"/>
              </w:tabs>
              <w:jc w:val="center"/>
              <w:rPr>
                <w:rFonts w:hint="eastAsia"/>
                <w:sz w:val="21"/>
                <w:szCs w:val="21"/>
              </w:rPr>
            </w:pPr>
            <w:r>
              <w:rPr>
                <w:rFonts w:hint="eastAsia"/>
                <w:sz w:val="21"/>
                <w:szCs w:val="21"/>
              </w:rPr>
              <w:t>4</w:t>
            </w:r>
          </w:p>
        </w:tc>
        <w:tc>
          <w:tcPr>
            <w:tcW w:w="3607" w:type="dxa"/>
            <w:tcBorders>
              <w:top w:val="single" w:color="auto" w:sz="4" w:space="0"/>
              <w:left w:val="single" w:color="auto" w:sz="4" w:space="0"/>
              <w:bottom w:val="single" w:color="auto" w:sz="4" w:space="0"/>
              <w:right w:val="single" w:color="auto" w:sz="4" w:space="0"/>
            </w:tcBorders>
            <w:vAlign w:val="center"/>
          </w:tcPr>
          <w:p>
            <w:pPr>
              <w:tabs>
                <w:tab w:val="left" w:pos="799"/>
              </w:tabs>
              <w:rPr>
                <w:rFonts w:ascii="方正仿宋_GBK" w:hAnsi="方正仿宋_GBK" w:eastAsia="方正仿宋_GBK" w:cs="方正仿宋_GBK"/>
                <w:sz w:val="21"/>
                <w:szCs w:val="21"/>
              </w:rPr>
            </w:pPr>
            <w:r>
              <w:rPr>
                <w:rFonts w:ascii="方正仿宋_GBK" w:hAnsi="方正仿宋_GBK" w:eastAsia="方正仿宋_GBK" w:cs="方正仿宋_GBK"/>
                <w:sz w:val="21"/>
                <w:szCs w:val="21"/>
              </w:rPr>
              <w:t>对医疗机构及机构人员发生医疗事故的处罚</w:t>
            </w:r>
          </w:p>
        </w:tc>
        <w:tc>
          <w:tcPr>
            <w:tcW w:w="1590" w:type="dxa"/>
            <w:tcBorders>
              <w:top w:val="single" w:color="auto" w:sz="4" w:space="0"/>
              <w:left w:val="single" w:color="auto" w:sz="4" w:space="0"/>
              <w:bottom w:val="single" w:color="auto" w:sz="4" w:space="0"/>
              <w:right w:val="single" w:color="auto" w:sz="4" w:space="0"/>
            </w:tcBorders>
            <w:vAlign w:val="center"/>
          </w:tcPr>
          <w:p>
            <w:pPr>
              <w:rPr>
                <w:rFonts w:ascii="方正仿宋_GBK" w:hAnsi="方正仿宋_GBK" w:eastAsia="方正仿宋_GBK" w:cs="方正仿宋_GBK"/>
                <w:sz w:val="21"/>
                <w:szCs w:val="21"/>
              </w:rPr>
            </w:pPr>
            <w:r>
              <w:rPr>
                <w:rFonts w:ascii="方正仿宋_GBK" w:hAnsi="方正仿宋_GBK" w:eastAsia="方正仿宋_GBK" w:cs="方正仿宋_GBK"/>
                <w:sz w:val="21"/>
                <w:szCs w:val="21"/>
              </w:rPr>
              <w:t>500223071000</w:t>
            </w:r>
          </w:p>
        </w:tc>
        <w:tc>
          <w:tcPr>
            <w:tcW w:w="4965" w:type="dxa"/>
            <w:tcBorders>
              <w:top w:val="single" w:color="auto" w:sz="4" w:space="0"/>
              <w:left w:val="single" w:color="auto" w:sz="4" w:space="0"/>
              <w:bottom w:val="single" w:color="auto" w:sz="4" w:space="0"/>
              <w:right w:val="single" w:color="auto" w:sz="4" w:space="0"/>
            </w:tcBorders>
            <w:vAlign w:val="center"/>
          </w:tcPr>
          <w:p>
            <w:pPr>
              <w:tabs>
                <w:tab w:val="left" w:pos="799"/>
              </w:tabs>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医疗机构发生医疗事故的，由卫生行政部门根据医疗事故等级和情节，给予警告；情节严重的，责令限期停业整顿直至吊销执业许可证；对发生医疗事故的有关医务人员，除依照前款处罚外，卫生行政部门并可以责令暂停6个月以上1年以下执业活动；情节严重的，吊销其执业证书。</w:t>
            </w:r>
          </w:p>
        </w:tc>
        <w:tc>
          <w:tcPr>
            <w:tcW w:w="2928" w:type="dxa"/>
            <w:tcBorders>
              <w:top w:val="single" w:color="auto" w:sz="4" w:space="0"/>
              <w:left w:val="single" w:color="auto" w:sz="4" w:space="0"/>
              <w:bottom w:val="single" w:color="auto" w:sz="4" w:space="0"/>
              <w:right w:val="single" w:color="auto" w:sz="4" w:space="0"/>
            </w:tcBorders>
            <w:vAlign w:val="center"/>
          </w:tcPr>
          <w:p>
            <w:pPr>
              <w:tabs>
                <w:tab w:val="left" w:pos="799"/>
              </w:tabs>
              <w:jc w:val="center"/>
              <w:rPr>
                <w:rFonts w:hint="eastAsia" w:ascii="方正仿宋_GBK" w:hAnsi="方正仿宋_GBK" w:eastAsia="方正仿宋_GBK" w:cs="方正仿宋_GBK"/>
                <w:kern w:val="0"/>
                <w:sz w:val="21"/>
                <w:szCs w:val="21"/>
              </w:rPr>
            </w:pPr>
            <w:r>
              <w:rPr>
                <w:rFonts w:ascii="方正仿宋_GBK" w:hAnsi="方正仿宋_GBK" w:eastAsia="方正仿宋_GBK" w:cs="方正仿宋_GBK"/>
                <w:kern w:val="0"/>
                <w:sz w:val="21"/>
                <w:szCs w:val="21"/>
              </w:rPr>
              <w:t>《医疗事故处理条例》第五十五条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tabs>
                <w:tab w:val="left" w:pos="799"/>
              </w:tabs>
              <w:jc w:val="center"/>
              <w:rPr>
                <w:sz w:val="21"/>
                <w:szCs w:val="21"/>
              </w:rPr>
            </w:pPr>
            <w:r>
              <w:rPr>
                <w:rFonts w:hint="eastAsia"/>
                <w:sz w:val="21"/>
                <w:szCs w:val="21"/>
              </w:rPr>
              <w:t>5</w:t>
            </w:r>
          </w:p>
        </w:tc>
        <w:tc>
          <w:tcPr>
            <w:tcW w:w="3607" w:type="dxa"/>
            <w:tcBorders>
              <w:top w:val="single" w:color="auto" w:sz="4" w:space="0"/>
              <w:left w:val="single" w:color="auto" w:sz="4" w:space="0"/>
              <w:bottom w:val="single" w:color="auto" w:sz="4" w:space="0"/>
              <w:right w:val="single" w:color="auto" w:sz="4" w:space="0"/>
            </w:tcBorders>
            <w:vAlign w:val="center"/>
          </w:tcPr>
          <w:p>
            <w:pPr>
              <w:tabs>
                <w:tab w:val="left" w:pos="799"/>
              </w:tabs>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对公共场所经营者对发生的危害健康事故未立即采取处置措施，导致危害扩大，或者隐瞒、缓报、谎报的处罚</w:t>
            </w:r>
          </w:p>
        </w:tc>
        <w:tc>
          <w:tcPr>
            <w:tcW w:w="1590" w:type="dxa"/>
            <w:tcBorders>
              <w:top w:val="single" w:color="auto" w:sz="4" w:space="0"/>
              <w:left w:val="single" w:color="auto" w:sz="4" w:space="0"/>
              <w:bottom w:val="single" w:color="auto" w:sz="4" w:space="0"/>
              <w:right w:val="single" w:color="auto" w:sz="4" w:space="0"/>
            </w:tcBorders>
            <w:vAlign w:val="center"/>
          </w:tcPr>
          <w:p>
            <w:pPr>
              <w:rPr>
                <w:rFonts w:ascii="方正仿宋_GBK" w:hAnsi="方正仿宋_GBK" w:eastAsia="方正仿宋_GBK" w:cs="方正仿宋_GBK"/>
                <w:sz w:val="21"/>
                <w:szCs w:val="21"/>
              </w:rPr>
            </w:pPr>
            <w:r>
              <w:rPr>
                <w:rFonts w:ascii="方正仿宋_GBK" w:hAnsi="方正仿宋_GBK" w:eastAsia="方正仿宋_GBK" w:cs="方正仿宋_GBK"/>
                <w:sz w:val="21"/>
                <w:szCs w:val="21"/>
              </w:rPr>
              <w:t>500223166000</w:t>
            </w:r>
          </w:p>
        </w:tc>
        <w:tc>
          <w:tcPr>
            <w:tcW w:w="4965" w:type="dxa"/>
            <w:tcBorders>
              <w:top w:val="single" w:color="auto" w:sz="4" w:space="0"/>
              <w:left w:val="single" w:color="auto" w:sz="4" w:space="0"/>
              <w:bottom w:val="single" w:color="auto" w:sz="4" w:space="0"/>
              <w:right w:val="single" w:color="auto" w:sz="4" w:space="0"/>
            </w:tcBorders>
            <w:vAlign w:val="center"/>
          </w:tcPr>
          <w:p>
            <w:pPr>
              <w:tabs>
                <w:tab w:val="left" w:pos="799"/>
              </w:tabs>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对公共场所经营者对发生的危害健康事故未立即采取处置措施，导致危害扩大，或者隐瞒、缓报、谎报的</w:t>
            </w:r>
            <w:r>
              <w:rPr>
                <w:rFonts w:hint="eastAsia" w:ascii="方正仿宋_GBK" w:hAnsi="方正仿宋_GBK" w:eastAsia="方正仿宋_GBK" w:cs="方正仿宋_GBK"/>
                <w:kern w:val="0"/>
                <w:sz w:val="21"/>
                <w:szCs w:val="21"/>
                <w:lang w:eastAsia="zh-CN"/>
              </w:rPr>
              <w:t>。</w:t>
            </w:r>
          </w:p>
        </w:tc>
        <w:tc>
          <w:tcPr>
            <w:tcW w:w="2928" w:type="dxa"/>
            <w:tcBorders>
              <w:top w:val="single" w:color="auto" w:sz="4" w:space="0"/>
              <w:left w:val="single" w:color="auto" w:sz="4" w:space="0"/>
              <w:bottom w:val="single" w:color="auto" w:sz="4" w:space="0"/>
              <w:right w:val="single" w:color="auto" w:sz="4" w:space="0"/>
            </w:tcBorders>
            <w:vAlign w:val="center"/>
          </w:tcPr>
          <w:p>
            <w:pPr>
              <w:tabs>
                <w:tab w:val="left" w:pos="799"/>
              </w:tabs>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lang w:eastAsia="zh-CN"/>
              </w:rPr>
              <w:t>《</w:t>
            </w:r>
            <w:r>
              <w:rPr>
                <w:rFonts w:hint="eastAsia" w:ascii="方正仿宋_GBK" w:hAnsi="方正仿宋_GBK" w:eastAsia="方正仿宋_GBK" w:cs="方正仿宋_GBK"/>
                <w:kern w:val="0"/>
                <w:sz w:val="21"/>
                <w:szCs w:val="21"/>
              </w:rPr>
              <w:t>公共场所卫生管理条例实施细则</w:t>
            </w:r>
            <w:r>
              <w:rPr>
                <w:rFonts w:hint="eastAsia" w:ascii="方正仿宋_GBK" w:hAnsi="方正仿宋_GBK" w:eastAsia="方正仿宋_GBK" w:cs="方正仿宋_GBK"/>
                <w:kern w:val="0"/>
                <w:sz w:val="21"/>
                <w:szCs w:val="21"/>
                <w:lang w:eastAsia="zh-CN"/>
              </w:rPr>
              <w:t>》</w:t>
            </w:r>
            <w:r>
              <w:rPr>
                <w:rFonts w:ascii="方正仿宋_GBK" w:hAnsi="方正仿宋_GBK" w:eastAsia="方正仿宋_GBK" w:cs="方正仿宋_GBK"/>
                <w:kern w:val="0"/>
                <w:sz w:val="21"/>
                <w:szCs w:val="21"/>
              </w:rPr>
              <w:t>第</w:t>
            </w:r>
            <w:r>
              <w:rPr>
                <w:rFonts w:hint="eastAsia" w:ascii="方正仿宋_GBK" w:hAnsi="方正仿宋_GBK" w:eastAsia="方正仿宋_GBK" w:cs="方正仿宋_GBK"/>
                <w:kern w:val="0"/>
                <w:sz w:val="21"/>
                <w:szCs w:val="21"/>
                <w:lang w:eastAsia="zh-CN"/>
              </w:rPr>
              <w:t>三十九</w:t>
            </w:r>
            <w:r>
              <w:rPr>
                <w:rFonts w:ascii="方正仿宋_GBK" w:hAnsi="方正仿宋_GBK" w:eastAsia="方正仿宋_GBK" w:cs="方正仿宋_GBK"/>
                <w:kern w:val="0"/>
                <w:sz w:val="21"/>
                <w:szCs w:val="21"/>
              </w:rPr>
              <w:t>条</w:t>
            </w:r>
          </w:p>
        </w:tc>
      </w:tr>
    </w:tbl>
    <w:p>
      <w:pPr>
        <w:widowControl/>
        <w:spacing w:line="400" w:lineRule="exact"/>
        <w:jc w:val="left"/>
        <w:rPr>
          <w:rFonts w:hint="eastAsia" w:ascii="方正仿宋_GBK" w:hAnsi="方正仿宋_GBK" w:eastAsia="方正仿宋_GBK" w:cs="方正仿宋_GBK"/>
          <w:lang w:val="en-US" w:eastAsia="zh-CN"/>
        </w:rPr>
      </w:pPr>
      <w:r>
        <w:rPr>
          <w:rFonts w:hint="eastAsia" w:eastAsia="方正仿宋_GBK" w:cs="方正仿宋_GBK"/>
          <w:color w:val="000000"/>
          <w:kern w:val="0"/>
          <w:sz w:val="24"/>
          <w:szCs w:val="24"/>
        </w:rPr>
        <w:t>说明：</w:t>
      </w:r>
      <w:r>
        <w:rPr>
          <w:rFonts w:eastAsia="方正仿宋_GBK"/>
          <w:color w:val="000000"/>
          <w:kern w:val="0"/>
          <w:sz w:val="24"/>
          <w:szCs w:val="24"/>
        </w:rPr>
        <w:t>1.</w:t>
      </w:r>
      <w:r>
        <w:rPr>
          <w:rFonts w:hint="eastAsia" w:eastAsia="方正仿宋_GBK"/>
          <w:color w:val="000000"/>
          <w:kern w:val="0"/>
          <w:sz w:val="24"/>
          <w:szCs w:val="24"/>
        </w:rPr>
        <w:t xml:space="preserve"> </w:t>
      </w:r>
      <w:r>
        <w:rPr>
          <w:rFonts w:hint="eastAsia" w:eastAsia="方正仿宋_GBK" w:cs="方正仿宋_GBK"/>
          <w:color w:val="000000"/>
          <w:kern w:val="0"/>
          <w:sz w:val="24"/>
          <w:szCs w:val="24"/>
        </w:rPr>
        <w:t>负面清单是指依法应当从重处罚事项；</w:t>
      </w:r>
      <w:r>
        <w:rPr>
          <w:rFonts w:hint="eastAsia" w:eastAsia="方正仿宋_GBK"/>
          <w:color w:val="000000"/>
          <w:kern w:val="0"/>
          <w:sz w:val="24"/>
          <w:szCs w:val="24"/>
        </w:rPr>
        <w:t xml:space="preserve">2. </w:t>
      </w:r>
      <w:r>
        <w:rPr>
          <w:rFonts w:hint="eastAsia" w:eastAsia="方正仿宋_GBK" w:cs="方正仿宋_GBK"/>
          <w:color w:val="000000"/>
          <w:kern w:val="0"/>
          <w:sz w:val="24"/>
          <w:szCs w:val="24"/>
        </w:rPr>
        <w:t>事项的名称和编码，与本部门在渝快办（全国一体化在线政务服务平台）公布的行政权力清单中的处罚事项名称和编码一致</w:t>
      </w:r>
      <w:r>
        <w:rPr>
          <w:rFonts w:eastAsia="方正仿宋_GBK"/>
          <w:color w:val="000000"/>
          <w:kern w:val="0"/>
          <w:sz w:val="24"/>
          <w:szCs w:val="24"/>
        </w:rPr>
        <w:t>。3.</w:t>
      </w:r>
      <w:r>
        <w:rPr>
          <w:rFonts w:hint="eastAsia" w:eastAsia="方正仿宋_GBK"/>
          <w:color w:val="000000"/>
          <w:kern w:val="0"/>
          <w:sz w:val="24"/>
          <w:szCs w:val="24"/>
        </w:rPr>
        <w:t xml:space="preserve"> </w:t>
      </w:r>
      <w:r>
        <w:rPr>
          <w:rFonts w:hint="eastAsia" w:eastAsia="方正仿宋_GBK" w:cs="方正仿宋_GBK"/>
          <w:color w:val="000000"/>
          <w:kern w:val="0"/>
          <w:sz w:val="24"/>
          <w:szCs w:val="24"/>
        </w:rPr>
        <w:t>情形</w:t>
      </w:r>
      <w:r>
        <w:rPr>
          <w:rFonts w:hint="eastAsia" w:eastAsia="方正仿宋_GBK" w:cs="方正仿宋_GBK"/>
          <w:color w:val="000000"/>
          <w:kern w:val="0"/>
          <w:sz w:val="24"/>
          <w:szCs w:val="24"/>
          <w:lang w:val="en-US" w:eastAsia="zh-CN"/>
        </w:rPr>
        <w:t>与</w:t>
      </w:r>
      <w:r>
        <w:rPr>
          <w:rFonts w:hint="eastAsia" w:eastAsia="方正仿宋_GBK" w:cs="方正仿宋_GBK"/>
          <w:color w:val="000000"/>
          <w:kern w:val="0"/>
          <w:sz w:val="24"/>
          <w:szCs w:val="24"/>
        </w:rPr>
        <w:t>相关法律、法规和规章中的有关规定</w:t>
      </w:r>
      <w:r>
        <w:rPr>
          <w:rFonts w:hint="eastAsia" w:eastAsia="方正仿宋_GBK" w:cs="方正仿宋_GBK"/>
          <w:color w:val="000000"/>
          <w:kern w:val="0"/>
          <w:sz w:val="24"/>
          <w:szCs w:val="24"/>
          <w:lang w:val="en-US" w:eastAsia="zh-CN"/>
        </w:rPr>
        <w:t>一致</w:t>
      </w:r>
      <w:r>
        <w:rPr>
          <w:rFonts w:hint="eastAsia" w:eastAsia="方正仿宋_GBK" w:cs="方正仿宋_GBK"/>
          <w:color w:val="000000"/>
          <w:kern w:val="0"/>
          <w:sz w:val="24"/>
          <w:szCs w:val="24"/>
        </w:rPr>
        <w:t>。</w:t>
      </w:r>
    </w:p>
    <w:sectPr>
      <w:footerReference r:id="rId4" w:type="default"/>
      <w:pgSz w:w="16838" w:h="11906" w:orient="landscape"/>
      <w:pgMar w:top="1531" w:right="2098" w:bottom="1531"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libri Light">
    <w:altName w:val="DejaVu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方正隶书_GBK">
    <w:panose1 w:val="02000000000000000000"/>
    <w:charset w:val="86"/>
    <w:family w:val="auto"/>
    <w:pitch w:val="default"/>
    <w:sig w:usb0="00000001" w:usb1="08000000" w:usb2="00000000" w:usb3="00000000" w:csb0="00040000" w:csb1="00000000"/>
  </w:font>
  <w:font w:name="Droid Naskh Shift Alt">
    <w:panose1 w:val="020B0606030804020204"/>
    <w:charset w:val="00"/>
    <w:family w:val="auto"/>
    <w:pitch w:val="default"/>
    <w:sig w:usb0="8000202F" w:usb1="8000205A" w:usb2="00000008" w:usb3="00000000" w:csb0="00000041" w:csb1="00000000"/>
  </w:font>
  <w:font w:name="Droid Sans Fallback">
    <w:panose1 w:val="020B0502000000000001"/>
    <w:charset w:val="86"/>
    <w:family w:val="auto"/>
    <w:pitch w:val="default"/>
    <w:sig w:usb0="910002FF" w:usb1="2BDFFCFB" w:usb2="00000036" w:usb3="00000000" w:csb0="203F01FF" w:csb1="D7FF0000"/>
  </w:font>
  <w:font w:name="汉仪中宋简">
    <w:panose1 w:val="02010600000101010101"/>
    <w:charset w:val="86"/>
    <w:family w:val="auto"/>
    <w:pitch w:val="default"/>
    <w:sig w:usb0="00000001" w:usb1="080E0800" w:usb2="00000002" w:usb3="00000000" w:csb0="00040000" w:csb1="00000000"/>
  </w:font>
  <w:font w:name="方正超粗黑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2355AA"/>
    <w:rsid w:val="09EF0D45"/>
    <w:rsid w:val="26205105"/>
    <w:rsid w:val="351C663F"/>
    <w:rsid w:val="37BF697B"/>
    <w:rsid w:val="3B3E1A2B"/>
    <w:rsid w:val="447D43D9"/>
    <w:rsid w:val="4E5559D0"/>
    <w:rsid w:val="52D76E1F"/>
    <w:rsid w:val="542355AA"/>
    <w:rsid w:val="5BDF46D5"/>
    <w:rsid w:val="6D5F3CE6"/>
    <w:rsid w:val="7C2F2B4B"/>
    <w:rsid w:val="7F743370"/>
    <w:rsid w:val="F65DB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沙区卫计委</Company>
  <Pages>1</Pages>
  <Words>0</Words>
  <Characters>0</Characters>
  <Lines>0</Lines>
  <Paragraphs>0</Paragraphs>
  <TotalTime>3</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2021-12-28T16:23:00Z</dcterms:created>
  <dc:creator>李洁</dc:creator>
  <cp:lastModifiedBy>guest</cp:lastModifiedBy>
  <dcterms:modified xsi:type="dcterms:W3CDTF">2023-11-15T15:43:17Z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96EE6FC9C4C54784A8DF7EEDBB45DFE5</vt:lpwstr>
  </property>
</Properties>
</file>