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_GBK" w:hAnsi="方正小标宋_GBK" w:eastAsia="方正小标宋_GBK" w:cs="方正小标宋_GBK"/>
          <w:sz w:val="44"/>
          <w:szCs w:val="44"/>
        </w:rPr>
      </w:pPr>
    </w:p>
    <w:p>
      <w:pPr>
        <w:adjustRightInd w:val="0"/>
        <w:snapToGrid w:val="0"/>
        <w:spacing w:line="600" w:lineRule="exact"/>
        <w:jc w:val="center"/>
        <w:rPr>
          <w:rFonts w:ascii="方正小标宋_GBK" w:hAnsi="方正小标宋_GBK" w:eastAsia="方正小标宋_GBK" w:cs="方正小标宋_GBK"/>
          <w:sz w:val="44"/>
          <w:szCs w:val="44"/>
        </w:rPr>
      </w:pPr>
    </w:p>
    <w:p>
      <w:pPr>
        <w:adjustRightInd w:val="0"/>
        <w:snapToGrid w:val="0"/>
        <w:spacing w:line="600" w:lineRule="exact"/>
        <w:jc w:val="center"/>
        <w:rPr>
          <w:rFonts w:ascii="方正小标宋_GBK" w:hAnsi="方正小标宋_GBK" w:eastAsia="方正小标宋_GBK" w:cs="方正小标宋_GBK"/>
          <w:sz w:val="44"/>
          <w:szCs w:val="44"/>
        </w:rPr>
      </w:pPr>
    </w:p>
    <w:p>
      <w:pPr>
        <w:adjustRightInd w:val="0"/>
        <w:snapToGrid w:val="0"/>
        <w:spacing w:line="600" w:lineRule="exact"/>
        <w:jc w:val="center"/>
        <w:rPr>
          <w:rFonts w:ascii="方正小标宋_GBK" w:hAnsi="方正小标宋_GBK" w:eastAsia="方正小标宋_GBK" w:cs="方正小标宋_GBK"/>
          <w:sz w:val="44"/>
          <w:szCs w:val="44"/>
        </w:rPr>
      </w:pPr>
    </w:p>
    <w:p>
      <w:pPr>
        <w:adjustRightInd w:val="0"/>
        <w:snapToGrid w:val="0"/>
        <w:spacing w:line="600" w:lineRule="exact"/>
        <w:jc w:val="center"/>
        <w:rPr>
          <w:rFonts w:ascii="方正小标宋_GBK" w:hAnsi="方正小标宋_GBK" w:eastAsia="方正小标宋_GBK" w:cs="方正小标宋_GBK"/>
          <w:sz w:val="44"/>
          <w:szCs w:val="44"/>
        </w:rPr>
      </w:pPr>
    </w:p>
    <w:p>
      <w:pPr>
        <w:adjustRightInd w:val="0"/>
        <w:snapToGrid w:val="0"/>
        <w:spacing w:line="600" w:lineRule="exact"/>
        <w:jc w:val="center"/>
        <w:rPr>
          <w:rFonts w:hint="eastAsia" w:ascii="方正仿宋_GBK" w:hAnsi="方正仿宋_GBK" w:eastAsia="方正仿宋_GBK" w:cs="方正仿宋_GBK"/>
          <w:color w:val="000000"/>
          <w:sz w:val="32"/>
          <w:szCs w:val="32"/>
          <w:shd w:val="clear" w:color="auto" w:fill="FFFFFF"/>
          <w:lang w:bidi="ar"/>
        </w:rPr>
      </w:pPr>
    </w:p>
    <w:p>
      <w:pPr>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仿宋_GBK" w:hAnsi="方正仿宋_GBK" w:eastAsia="方正仿宋_GBK" w:cs="方正仿宋_GBK"/>
          <w:color w:val="000000"/>
          <w:sz w:val="32"/>
          <w:szCs w:val="32"/>
          <w:shd w:val="clear" w:color="auto" w:fill="FFFFFF"/>
          <w:lang w:bidi="ar"/>
        </w:rPr>
        <w:t>沙环发〔</w:t>
      </w:r>
      <w:r>
        <w:rPr>
          <w:rFonts w:hint="eastAsia" w:ascii="Times NewRoman" w:hAnsi="Times NewRoman" w:eastAsia="方正仿宋_GBK" w:cs="仿宋_GB2312"/>
          <w:sz w:val="32"/>
          <w:szCs w:val="32"/>
        </w:rPr>
        <w:t>2024〕18</w:t>
      </w:r>
      <w:r>
        <w:rPr>
          <w:rFonts w:hint="eastAsia" w:ascii="方正仿宋_GBK" w:hAnsi="方正仿宋_GBK" w:eastAsia="方正仿宋_GBK" w:cs="方正仿宋_GBK"/>
          <w:color w:val="000000"/>
          <w:sz w:val="32"/>
          <w:szCs w:val="32"/>
          <w:shd w:val="clear" w:color="auto" w:fill="FFFFFF"/>
          <w:lang w:bidi="ar"/>
        </w:rPr>
        <w:t>号</w:t>
      </w:r>
    </w:p>
    <w:p>
      <w:pPr>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center"/>
        <w:rPr>
          <w:rFonts w:ascii="方正小标宋_GBK" w:hAnsi="方正小标宋_GBK" w:eastAsia="方正小标宋_GBK" w:cs="方正小标宋_GBK"/>
          <w:sz w:val="44"/>
          <w:szCs w:val="44"/>
        </w:rPr>
      </w:pPr>
    </w:p>
    <w:p>
      <w:pPr>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关于加强医疗废物电子转移联单及精细化</w:t>
      </w:r>
    </w:p>
    <w:p>
      <w:pPr>
        <w:adjustRightInd w:val="0"/>
        <w:snapToGrid w:val="0"/>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管理的通知</w:t>
      </w:r>
    </w:p>
    <w:p>
      <w:pPr>
        <w:adjustRightInd w:val="0"/>
        <w:snapToGrid w:val="0"/>
        <w:spacing w:line="600" w:lineRule="exact"/>
        <w:jc w:val="center"/>
        <w:rPr>
          <w:rFonts w:ascii="方正小标宋_GBK" w:hAnsi="方正小标宋_GBK" w:eastAsia="方正小标宋_GBK" w:cs="方正小标宋_GBK"/>
          <w:sz w:val="44"/>
          <w:szCs w:val="44"/>
        </w:rPr>
      </w:pPr>
    </w:p>
    <w:p>
      <w:pPr>
        <w:adjustRightInd w:val="0"/>
        <w:snapToGrid w:val="0"/>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各医疗机构：</w:t>
      </w:r>
    </w:p>
    <w:p>
      <w:pPr>
        <w:adjustRightInd w:val="0"/>
        <w:snapToGrid w:val="0"/>
        <w:spacing w:line="6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期，重庆市生态环境局对医疗废物电子转移联单运行情况、二甲及以上医疗机构精细化信息管理执行等情况进行调度，发现部分医疗机构存在医废转移电子联单未及时提交国家平台、医废转移精细化联单执行力度不够、补录电子联单、电子转移联单结束时间较开始运输时间过短，低于合理运输时间等问题。</w:t>
      </w:r>
    </w:p>
    <w:p>
      <w:pPr>
        <w:spacing w:line="600" w:lineRule="exact"/>
        <w:ind w:firstLine="640" w:firstLineChars="200"/>
      </w:pPr>
      <w:r>
        <w:rPr>
          <w:rFonts w:hint="eastAsia" w:ascii="方正仿宋_GBK" w:hAnsi="方正仿宋_GBK" w:eastAsia="方正仿宋_GBK" w:cs="方正仿宋_GBK"/>
          <w:sz w:val="32"/>
          <w:szCs w:val="32"/>
        </w:rPr>
        <w:t>请各医疗机构切实</w:t>
      </w:r>
      <w:r>
        <w:rPr>
          <w:rFonts w:ascii="方正仿宋_GBK" w:hAnsi="方正仿宋_GBK" w:eastAsia="方正仿宋_GBK" w:cs="方正仿宋_GBK"/>
          <w:sz w:val="32"/>
          <w:szCs w:val="32"/>
        </w:rPr>
        <w:t>落实</w:t>
      </w:r>
      <w:r>
        <w:rPr>
          <w:rFonts w:hint="eastAsia" w:ascii="方正仿宋_GBK" w:hAnsi="方正仿宋_GBK" w:eastAsia="方正仿宋_GBK" w:cs="方正仿宋_GBK"/>
          <w:sz w:val="32"/>
          <w:szCs w:val="32"/>
        </w:rPr>
        <w:t>管理</w:t>
      </w:r>
      <w:r>
        <w:rPr>
          <w:rFonts w:ascii="方正仿宋_GBK" w:hAnsi="方正仿宋_GBK" w:eastAsia="方正仿宋_GBK" w:cs="方正仿宋_GBK"/>
          <w:sz w:val="32"/>
          <w:szCs w:val="32"/>
        </w:rPr>
        <w:t>主体责任，</w:t>
      </w:r>
      <w:r>
        <w:rPr>
          <w:rFonts w:hint="eastAsia" w:ascii="方正仿宋_GBK" w:hAnsi="方正仿宋_GBK" w:eastAsia="方正仿宋_GBK" w:cs="方正仿宋_GBK"/>
          <w:sz w:val="32"/>
          <w:szCs w:val="32"/>
        </w:rPr>
        <w:t>严格执行医疗废物电子转移联单制度，明确专人负责，认真核实医疗废物类别、重量等信息，当日完成医疗废物医废电子联单申报，除系统维护等特殊原因外不得补录医废转移电子联单，同时督促医废运输单位规范电子联单填报，确保不出现低于合理运输时间的问题。二级及以上医疗机构加强医疗废物精细化管理，加快推进医废精细化管理工作，在重庆市固体废物管理信息系统上全面申领医疗废物转移精细化联单，确保我区医疗废物精细化联单</w:t>
      </w:r>
      <w:r>
        <w:rPr>
          <w:rFonts w:hint="eastAsia" w:ascii="Times New Roman" w:hAnsi="Times New Roman" w:eastAsia="方正仿宋_GBK"/>
          <w:spacing w:val="-4"/>
          <w:sz w:val="32"/>
          <w:szCs w:val="32"/>
        </w:rPr>
        <w:t>执行率</w:t>
      </w:r>
      <w:r>
        <w:rPr>
          <w:rFonts w:hint="eastAsia" w:ascii="方正仿宋_GBK" w:hAnsi="方正仿宋_GBK" w:eastAsia="方正仿宋_GBK" w:cs="方正仿宋_GBK"/>
          <w:sz w:val="32"/>
          <w:szCs w:val="32"/>
        </w:rPr>
        <w:t>、使用率均达到</w:t>
      </w:r>
      <w:r>
        <w:rPr>
          <w:rFonts w:hint="eastAsia" w:ascii="Times New Roman" w:hAnsi="Times New Roman" w:eastAsia="方正仿宋_GBK"/>
          <w:spacing w:val="-4"/>
          <w:sz w:val="32"/>
          <w:szCs w:val="32"/>
        </w:rPr>
        <w:t>100%。</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区生态环境局联系人：赵瑞；电话：65400625</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区卫生健康委员会联系人：周励；电话：65368143</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3"/>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附件：沙坪坝区医疗机构医疗废物电子联单执行情况汇总表</w:t>
      </w:r>
    </w:p>
    <w:p>
      <w:pPr>
        <w:spacing w:line="600" w:lineRule="exact"/>
        <w:rPr>
          <w:rFonts w:eastAsia="方正仿宋_GBK"/>
          <w:szCs w:val="32"/>
        </w:rPr>
      </w:pPr>
    </w:p>
    <w:p>
      <w:pPr>
        <w:spacing w:line="600" w:lineRule="exact"/>
        <w:ind w:firstLine="420" w:firstLineChars="200"/>
        <w:rPr>
          <w:rFonts w:eastAsia="方正仿宋_GBK"/>
          <w:szCs w:val="32"/>
        </w:rPr>
      </w:pPr>
    </w:p>
    <w:p>
      <w:pPr>
        <w:tabs>
          <w:tab w:val="left" w:pos="7557"/>
        </w:tabs>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重庆市沙坪坝区生态环境局   重庆市沙坪坝区卫生健康委员会</w:t>
      </w:r>
    </w:p>
    <w:p>
      <w:pPr>
        <w:spacing w:line="600" w:lineRule="exact"/>
        <w:ind w:left="640"/>
        <w:outlineLvl w:val="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w:t>
      </w:r>
    </w:p>
    <w:p>
      <w:pPr>
        <w:spacing w:line="600" w:lineRule="exact"/>
        <w:ind w:left="640"/>
        <w:outlineLvl w:val="0"/>
        <w:rPr>
          <w:rFonts w:ascii="Times New Roman" w:hAnsi="Times New Roman" w:eastAsia="方正仿宋_GBK"/>
          <w:sz w:val="32"/>
          <w:szCs w:val="32"/>
        </w:rPr>
      </w:pPr>
      <w:r>
        <w:rPr>
          <w:rFonts w:hint="eastAsia" w:ascii="方正仿宋_GBK" w:hAnsi="仿宋_GB2312" w:eastAsia="方正仿宋_GBK" w:cs="仿宋_GB2312"/>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17</w:t>
      </w:r>
      <w:r>
        <w:rPr>
          <w:rFonts w:ascii="Times New Roman" w:hAnsi="Times New Roman" w:eastAsia="方正仿宋_GBK" w:cs="Times New Roman"/>
          <w:sz w:val="32"/>
          <w:szCs w:val="32"/>
        </w:rPr>
        <w:t>日</w:t>
      </w:r>
    </w:p>
    <w:p>
      <w:pPr>
        <w:pStyle w:val="3"/>
        <w:ind w:firstLine="0" w:firstLineChars="0"/>
        <w:rPr>
          <w:rFonts w:ascii="Times New Roman" w:hAnsi="Times New Roman" w:eastAsia="方正仿宋_GBK"/>
          <w:sz w:val="32"/>
          <w:szCs w:val="32"/>
        </w:rPr>
      </w:pPr>
    </w:p>
    <w:p>
      <w:pPr>
        <w:pStyle w:val="3"/>
        <w:ind w:firstLine="0" w:firstLineChars="0"/>
        <w:rPr>
          <w:rFonts w:ascii="Times New Roman" w:hAnsi="Times New Roman" w:eastAsia="方正仿宋_GBK"/>
          <w:sz w:val="32"/>
          <w:szCs w:val="32"/>
        </w:rPr>
      </w:pPr>
    </w:p>
    <w:p>
      <w:pPr>
        <w:pStyle w:val="3"/>
        <w:ind w:firstLine="0" w:firstLineChars="0"/>
        <w:rPr>
          <w:rFonts w:ascii="Times New Roman" w:hAnsi="Times New Roman" w:eastAsia="方正仿宋_GBK"/>
          <w:sz w:val="32"/>
          <w:szCs w:val="32"/>
        </w:rPr>
      </w:pPr>
    </w:p>
    <w:p>
      <w:pPr>
        <w:pStyle w:val="3"/>
        <w:ind w:firstLine="0" w:firstLineChars="0"/>
        <w:rPr>
          <w:rFonts w:ascii="Times New Roman" w:hAnsi="Times New Roman" w:eastAsia="方正仿宋_GBK"/>
          <w:sz w:val="32"/>
          <w:szCs w:val="32"/>
        </w:rPr>
      </w:pPr>
    </w:p>
    <w:p>
      <w:pPr>
        <w:pStyle w:val="3"/>
        <w:ind w:firstLine="0" w:firstLineChars="0"/>
        <w:rPr>
          <w:rFonts w:ascii="Times New Roman" w:hAnsi="Times New Roman" w:eastAsia="方正仿宋_GBK"/>
          <w:sz w:val="32"/>
          <w:szCs w:val="32"/>
        </w:rPr>
      </w:pPr>
    </w:p>
    <w:p>
      <w:pPr>
        <w:spacing w:line="600" w:lineRule="exact"/>
        <w:ind w:firstLine="640" w:firstLineChars="200"/>
        <w:outlineLvl w:val="0"/>
        <w:rPr>
          <w:rFonts w:ascii="Times New Roman" w:hAnsi="Times New Roman" w:eastAsia="方正仿宋_GBK" w:cs="Times New Roman"/>
          <w:sz w:val="32"/>
          <w:szCs w:val="32"/>
        </w:rPr>
      </w:pPr>
    </w:p>
    <w:p>
      <w:pPr>
        <w:overflowPunct w:val="0"/>
        <w:spacing w:line="560" w:lineRule="exact"/>
        <w:rPr>
          <w:rFonts w:hint="eastAsia" w:ascii="方正楷体_GBK" w:hAnsi="方正楷体_GBK" w:eastAsia="方正楷体_GBK" w:cs="方正楷体_GBK"/>
          <w:sz w:val="32"/>
          <w:lang w:val="en"/>
        </w:rPr>
      </w:pPr>
      <w:r>
        <w:rPr>
          <w:rFonts w:hint="eastAsia" w:ascii="方正楷体_GBK" w:hAnsi="方正楷体_GBK" w:eastAsia="方正楷体_GBK" w:cs="方正楷体_GBK"/>
          <w:sz w:val="32"/>
          <w:lang w:val="en"/>
        </w:rPr>
        <w:t>（此件公开发布）</w:t>
      </w:r>
    </w:p>
    <w:p>
      <w:pPr>
        <w:spacing w:line="600" w:lineRule="exact"/>
        <w:outlineLvl w:val="0"/>
        <w:rPr>
          <w:rFonts w:ascii="Times New Roman" w:hAnsi="Times New Roman" w:eastAsia="方正仿宋_GBK" w:cs="Times New Roman"/>
          <w:sz w:val="32"/>
          <w:szCs w:val="32"/>
        </w:rPr>
      </w:pPr>
    </w:p>
    <w:p>
      <w:pPr>
        <w:pStyle w:val="3"/>
        <w:ind w:firstLine="0" w:firstLineChars="0"/>
        <w:rPr>
          <w:rFonts w:ascii="Times New Roman" w:hAnsi="Times New Roman" w:eastAsia="方正仿宋_GBK"/>
          <w:sz w:val="32"/>
          <w:szCs w:val="32"/>
        </w:rPr>
        <w:sectPr>
          <w:footerReference r:id="rId3" w:type="default"/>
          <w:pgSz w:w="11906" w:h="16838"/>
          <w:pgMar w:top="1701" w:right="1474" w:bottom="1701" w:left="1587" w:header="851" w:footer="992" w:gutter="0"/>
          <w:cols w:space="0" w:num="1"/>
          <w:docGrid w:type="lines" w:linePitch="312" w:charSpace="0"/>
        </w:sectPr>
      </w:pPr>
      <w:bookmarkStart w:id="0" w:name="_GoBack"/>
      <w:bookmarkEnd w:id="0"/>
    </w:p>
    <w:p>
      <w:pPr>
        <w:pStyle w:val="4"/>
        <w:spacing w:after="0" w:line="600" w:lineRule="exact"/>
        <w:rPr>
          <w:rFonts w:ascii="方正小标宋_GBK" w:hAnsi="方正小标宋_GBK" w:eastAsia="方正小标宋_GBK" w:cs="方正小标宋_GBK"/>
          <w:sz w:val="44"/>
          <w:szCs w:val="44"/>
        </w:rPr>
      </w:pPr>
      <w:r>
        <w:rPr>
          <w:rFonts w:ascii="Times New Roman" w:hAnsi="Times New Roman" w:eastAsia="方正黑体_GBK" w:cs="Times New Roman"/>
          <w:sz w:val="32"/>
          <w:szCs w:val="32"/>
        </w:rPr>
        <w:t>附件</w:t>
      </w:r>
    </w:p>
    <w:p>
      <w:pPr>
        <w:pStyle w:val="3"/>
        <w:spacing w:line="560" w:lineRule="exact"/>
        <w:ind w:firstLine="0" w:firstLineChars="0"/>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沙坪坝区医疗机构医疗废物电子联单执行情况汇总表</w:t>
      </w:r>
    </w:p>
    <w:tbl>
      <w:tblPr>
        <w:tblStyle w:val="10"/>
        <w:tblpPr w:leftFromText="180" w:rightFromText="180" w:vertAnchor="text" w:horzAnchor="page" w:tblpX="1501" w:tblpY="298"/>
        <w:tblOverlap w:val="never"/>
        <w:tblW w:w="14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148"/>
        <w:gridCol w:w="7176"/>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781" w:type="dxa"/>
            <w:vAlign w:val="center"/>
          </w:tcPr>
          <w:p>
            <w:pPr>
              <w:widowControl/>
              <w:snapToGrid w:val="0"/>
              <w:jc w:val="center"/>
              <w:rPr>
                <w:rFonts w:ascii="Times New Roman" w:hAnsi="Times New Roman" w:eastAsia="黑体" w:cs="Times New Roman"/>
                <w:sz w:val="24"/>
              </w:rPr>
            </w:pPr>
            <w:r>
              <w:rPr>
                <w:rFonts w:hint="eastAsia" w:ascii="Times New Roman" w:hAnsi="Times New Roman" w:eastAsia="黑体" w:cs="Times New Roman"/>
                <w:sz w:val="24"/>
              </w:rPr>
              <w:t>序号</w:t>
            </w:r>
          </w:p>
        </w:tc>
        <w:tc>
          <w:tcPr>
            <w:tcW w:w="5148" w:type="dxa"/>
            <w:vAlign w:val="center"/>
          </w:tcPr>
          <w:p>
            <w:pPr>
              <w:widowControl/>
              <w:snapToGrid w:val="0"/>
              <w:jc w:val="center"/>
              <w:rPr>
                <w:rFonts w:ascii="Times New Roman" w:hAnsi="Times New Roman" w:eastAsia="黑体" w:cs="Times New Roman"/>
                <w:sz w:val="24"/>
              </w:rPr>
            </w:pPr>
            <w:r>
              <w:rPr>
                <w:rFonts w:hint="eastAsia" w:ascii="Times New Roman" w:hAnsi="Times New Roman" w:eastAsia="黑体" w:cs="Times New Roman"/>
                <w:sz w:val="24"/>
              </w:rPr>
              <w:t>医疗机构名称</w:t>
            </w:r>
          </w:p>
        </w:tc>
        <w:tc>
          <w:tcPr>
            <w:tcW w:w="7176" w:type="dxa"/>
            <w:vAlign w:val="center"/>
          </w:tcPr>
          <w:p>
            <w:pPr>
              <w:widowControl/>
              <w:snapToGrid w:val="0"/>
              <w:jc w:val="center"/>
              <w:rPr>
                <w:rFonts w:ascii="Times New Roman" w:hAnsi="Times New Roman" w:eastAsia="黑体" w:cs="Times New Roman"/>
                <w:sz w:val="24"/>
              </w:rPr>
            </w:pPr>
            <w:r>
              <w:rPr>
                <w:rFonts w:hint="eastAsia" w:ascii="Times New Roman" w:hAnsi="Times New Roman" w:eastAsia="黑体" w:cs="Times New Roman"/>
                <w:sz w:val="24"/>
              </w:rPr>
              <w:t>市局调度发现问题</w:t>
            </w:r>
          </w:p>
        </w:tc>
        <w:tc>
          <w:tcPr>
            <w:tcW w:w="1044" w:type="dxa"/>
            <w:vAlign w:val="center"/>
          </w:tcPr>
          <w:p>
            <w:pPr>
              <w:widowControl/>
              <w:snapToGrid w:val="0"/>
              <w:jc w:val="center"/>
              <w:rPr>
                <w:rFonts w:ascii="Times New Roman" w:hAnsi="Times New Roman" w:eastAsia="黑体" w:cs="Times New Roman"/>
                <w:sz w:val="24"/>
              </w:rPr>
            </w:pPr>
            <w:r>
              <w:rPr>
                <w:rFonts w:hint="eastAsia" w:ascii="Times New Roman" w:hAnsi="Times New Roman"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81"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1</w:t>
            </w:r>
          </w:p>
        </w:tc>
        <w:tc>
          <w:tcPr>
            <w:tcW w:w="5148"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重庆市佳和中医肛肠医院有限公司</w:t>
            </w:r>
          </w:p>
        </w:tc>
        <w:tc>
          <w:tcPr>
            <w:tcW w:w="7176"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医废转移电子联单未及时提交国家平台、部分补录医废电子联单</w:t>
            </w:r>
          </w:p>
        </w:tc>
        <w:tc>
          <w:tcPr>
            <w:tcW w:w="1044" w:type="dxa"/>
            <w:vAlign w:val="center"/>
          </w:tcPr>
          <w:p>
            <w:pPr>
              <w:widowControl/>
              <w:snapToGrid w:val="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81"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2</w:t>
            </w:r>
          </w:p>
        </w:tc>
        <w:tc>
          <w:tcPr>
            <w:tcW w:w="5148"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重庆市沙坪坝区双碑社区卫生服务中心</w:t>
            </w:r>
          </w:p>
        </w:tc>
        <w:tc>
          <w:tcPr>
            <w:tcW w:w="7176"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医废转移电子联单未及时提交国家平台、补录医废电子联单</w:t>
            </w:r>
          </w:p>
        </w:tc>
        <w:tc>
          <w:tcPr>
            <w:tcW w:w="1044" w:type="dxa"/>
            <w:vAlign w:val="center"/>
          </w:tcPr>
          <w:p>
            <w:pPr>
              <w:widowControl/>
              <w:snapToGrid w:val="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81"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3</w:t>
            </w:r>
          </w:p>
        </w:tc>
        <w:tc>
          <w:tcPr>
            <w:tcW w:w="5148"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重庆市沙坪坝区石井坡社区卫生服务中心</w:t>
            </w:r>
          </w:p>
        </w:tc>
        <w:tc>
          <w:tcPr>
            <w:tcW w:w="7176"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医废转移电子联单未及时提交国家平台、补录医废电子联单</w:t>
            </w:r>
          </w:p>
        </w:tc>
        <w:tc>
          <w:tcPr>
            <w:tcW w:w="1044" w:type="dxa"/>
            <w:vAlign w:val="center"/>
          </w:tcPr>
          <w:p>
            <w:pPr>
              <w:widowControl/>
              <w:snapToGrid w:val="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81"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4</w:t>
            </w:r>
          </w:p>
        </w:tc>
        <w:tc>
          <w:tcPr>
            <w:tcW w:w="5148"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重庆市沙坪坝区人民医院</w:t>
            </w:r>
          </w:p>
        </w:tc>
        <w:tc>
          <w:tcPr>
            <w:tcW w:w="7176"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医废转移精细化联单执行力度不够、部分补录医废电子联单</w:t>
            </w:r>
          </w:p>
        </w:tc>
        <w:tc>
          <w:tcPr>
            <w:tcW w:w="1044" w:type="dxa"/>
            <w:vAlign w:val="center"/>
          </w:tcPr>
          <w:p>
            <w:pPr>
              <w:widowControl/>
              <w:snapToGrid w:val="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81"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5</w:t>
            </w:r>
          </w:p>
        </w:tc>
        <w:tc>
          <w:tcPr>
            <w:tcW w:w="5148" w:type="dxa"/>
            <w:vAlign w:val="center"/>
          </w:tcPr>
          <w:p>
            <w:pPr>
              <w:widowControl/>
              <w:snapToGrid w:val="0"/>
              <w:jc w:val="center"/>
              <w:rPr>
                <w:rFonts w:ascii="Times New Roman" w:hAnsi="Times New Roman" w:eastAsia="方正仿宋_GBK" w:cs="Times New Roman"/>
                <w:sz w:val="24"/>
              </w:rPr>
            </w:pPr>
            <w:r>
              <w:rPr>
                <w:rFonts w:ascii="Times New Roman" w:hAnsi="Times New Roman" w:eastAsia="方正仿宋_GBK" w:cs="Times New Roman"/>
                <w:kern w:val="0"/>
                <w:sz w:val="24"/>
                <w:lang w:bidi="ar"/>
              </w:rPr>
              <w:t>重庆市沙坪坝区陈家桥医院</w:t>
            </w:r>
          </w:p>
        </w:tc>
        <w:tc>
          <w:tcPr>
            <w:tcW w:w="7176"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医废转移精细化联单执行力度不够、部分补录医废电子联单</w:t>
            </w:r>
          </w:p>
        </w:tc>
        <w:tc>
          <w:tcPr>
            <w:tcW w:w="1044" w:type="dxa"/>
            <w:vAlign w:val="center"/>
          </w:tcPr>
          <w:p>
            <w:pPr>
              <w:widowControl/>
              <w:snapToGrid w:val="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81"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6</w:t>
            </w:r>
          </w:p>
        </w:tc>
        <w:tc>
          <w:tcPr>
            <w:tcW w:w="5148" w:type="dxa"/>
            <w:vAlign w:val="center"/>
          </w:tcPr>
          <w:p>
            <w:pPr>
              <w:widowControl/>
              <w:snapToGrid w:val="0"/>
              <w:jc w:val="center"/>
              <w:rPr>
                <w:rFonts w:ascii="Times New Roman" w:hAnsi="Times New Roman" w:eastAsia="方正仿宋_GBK" w:cs="Times New Roman"/>
                <w:sz w:val="24"/>
              </w:rPr>
            </w:pPr>
            <w:r>
              <w:rPr>
                <w:rFonts w:ascii="Times New Roman" w:hAnsi="Times New Roman" w:eastAsia="方正仿宋_GBK" w:cs="Times New Roman"/>
                <w:kern w:val="0"/>
                <w:sz w:val="24"/>
                <w:lang w:bidi="ar"/>
              </w:rPr>
              <w:t>重庆市沙坪坝区妇幼保健院</w:t>
            </w:r>
          </w:p>
        </w:tc>
        <w:tc>
          <w:tcPr>
            <w:tcW w:w="7176"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医废转移精细化联单执行力度不够、部分补录医废电子联单</w:t>
            </w:r>
          </w:p>
        </w:tc>
        <w:tc>
          <w:tcPr>
            <w:tcW w:w="1044" w:type="dxa"/>
            <w:vAlign w:val="center"/>
          </w:tcPr>
          <w:p>
            <w:pPr>
              <w:widowControl/>
              <w:snapToGrid w:val="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81"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7</w:t>
            </w:r>
          </w:p>
        </w:tc>
        <w:tc>
          <w:tcPr>
            <w:tcW w:w="5148" w:type="dxa"/>
            <w:vAlign w:val="center"/>
          </w:tcPr>
          <w:p>
            <w:pPr>
              <w:widowControl/>
              <w:snapToGrid w:val="0"/>
              <w:jc w:val="center"/>
              <w:rPr>
                <w:rFonts w:ascii="Times New Roman" w:hAnsi="Times New Roman" w:eastAsia="方正仿宋_GBK" w:cs="Times New Roman"/>
                <w:sz w:val="24"/>
              </w:rPr>
            </w:pPr>
            <w:r>
              <w:rPr>
                <w:rFonts w:ascii="Times New Roman" w:hAnsi="Times New Roman" w:eastAsia="方正仿宋_GBK" w:cs="Times New Roman"/>
                <w:kern w:val="0"/>
                <w:sz w:val="24"/>
                <w:lang w:bidi="ar"/>
              </w:rPr>
              <w:t>重庆市沙坪坝区中医院</w:t>
            </w:r>
          </w:p>
        </w:tc>
        <w:tc>
          <w:tcPr>
            <w:tcW w:w="7176"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医废转移精细化联单执行力度不够、部分补录医废电子联单</w:t>
            </w:r>
          </w:p>
        </w:tc>
        <w:tc>
          <w:tcPr>
            <w:tcW w:w="1044" w:type="dxa"/>
            <w:vAlign w:val="center"/>
          </w:tcPr>
          <w:p>
            <w:pPr>
              <w:widowControl/>
              <w:snapToGrid w:val="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81"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8</w:t>
            </w:r>
          </w:p>
        </w:tc>
        <w:tc>
          <w:tcPr>
            <w:tcW w:w="5148"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陆军军医大学第一附属医院</w:t>
            </w:r>
          </w:p>
        </w:tc>
        <w:tc>
          <w:tcPr>
            <w:tcW w:w="7176"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医废转移精细化联单执行力度不够</w:t>
            </w:r>
          </w:p>
        </w:tc>
        <w:tc>
          <w:tcPr>
            <w:tcW w:w="1044" w:type="dxa"/>
            <w:vAlign w:val="center"/>
          </w:tcPr>
          <w:p>
            <w:pPr>
              <w:widowControl/>
              <w:snapToGrid w:val="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81"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9</w:t>
            </w:r>
          </w:p>
        </w:tc>
        <w:tc>
          <w:tcPr>
            <w:tcW w:w="5148"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陆军军医大学第二附属医院</w:t>
            </w:r>
          </w:p>
        </w:tc>
        <w:tc>
          <w:tcPr>
            <w:tcW w:w="7176"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医废转移精细化联单执行力度不够、补录医废电子联单</w:t>
            </w:r>
          </w:p>
        </w:tc>
        <w:tc>
          <w:tcPr>
            <w:tcW w:w="1044" w:type="dxa"/>
            <w:vAlign w:val="center"/>
          </w:tcPr>
          <w:p>
            <w:pPr>
              <w:widowControl/>
              <w:snapToGrid w:val="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781"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10</w:t>
            </w:r>
          </w:p>
        </w:tc>
        <w:tc>
          <w:tcPr>
            <w:tcW w:w="5148"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重庆大学附属肿瘤医院</w:t>
            </w:r>
          </w:p>
        </w:tc>
        <w:tc>
          <w:tcPr>
            <w:tcW w:w="7176"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医废转移电子联单未及时提交国家平台</w:t>
            </w:r>
          </w:p>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医废转移精细化联单执行力度不够、部分补录医废联单</w:t>
            </w:r>
          </w:p>
        </w:tc>
        <w:tc>
          <w:tcPr>
            <w:tcW w:w="1044" w:type="dxa"/>
            <w:vAlign w:val="center"/>
          </w:tcPr>
          <w:p>
            <w:pPr>
              <w:widowControl/>
              <w:snapToGrid w:val="0"/>
              <w:jc w:val="center"/>
              <w:rPr>
                <w:rFonts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781"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11</w:t>
            </w:r>
          </w:p>
        </w:tc>
        <w:tc>
          <w:tcPr>
            <w:tcW w:w="5148"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重庆市公共卫生医疗救治中心</w:t>
            </w:r>
          </w:p>
        </w:tc>
        <w:tc>
          <w:tcPr>
            <w:tcW w:w="7176" w:type="dxa"/>
            <w:vAlign w:val="center"/>
          </w:tcPr>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医废转移电子联单未及时提交国家平台</w:t>
            </w:r>
          </w:p>
          <w:p>
            <w:pPr>
              <w:widowControl/>
              <w:snapToGrid w:val="0"/>
              <w:jc w:val="center"/>
              <w:rPr>
                <w:rFonts w:ascii="Times New Roman" w:hAnsi="Times New Roman" w:eastAsia="方正仿宋_GBK" w:cs="Times New Roman"/>
                <w:sz w:val="24"/>
              </w:rPr>
            </w:pPr>
            <w:r>
              <w:rPr>
                <w:rFonts w:hint="eastAsia" w:ascii="Times New Roman" w:hAnsi="Times New Roman" w:eastAsia="方正仿宋_GBK" w:cs="Times New Roman"/>
                <w:sz w:val="24"/>
              </w:rPr>
              <w:t>医废转移精细化联单执行力度不够、部分补录医废联单</w:t>
            </w:r>
          </w:p>
        </w:tc>
        <w:tc>
          <w:tcPr>
            <w:tcW w:w="1044" w:type="dxa"/>
            <w:vAlign w:val="center"/>
          </w:tcPr>
          <w:p>
            <w:pPr>
              <w:widowControl/>
              <w:snapToGrid w:val="0"/>
              <w:jc w:val="center"/>
              <w:rPr>
                <w:rFonts w:ascii="Times New Roman" w:hAnsi="Times New Roman" w:eastAsia="方正仿宋_GBK" w:cs="Times New Roman"/>
                <w:sz w:val="24"/>
              </w:rPr>
            </w:pPr>
          </w:p>
        </w:tc>
      </w:tr>
    </w:tbl>
    <w:p>
      <w:pPr>
        <w:pStyle w:val="3"/>
        <w:ind w:firstLine="0" w:firstLineChars="0"/>
        <w:rPr>
          <w:rFonts w:ascii="Times New Roman" w:hAnsi="Times New Roman" w:eastAsia="方正仿宋_GBK"/>
          <w:sz w:val="32"/>
          <w:szCs w:val="32"/>
        </w:rPr>
      </w:pPr>
    </w:p>
    <w:sectPr>
      <w:pgSz w:w="16838" w:h="11906" w:orient="landscape"/>
      <w:pgMar w:top="1587" w:right="1701" w:bottom="1474" w:left="170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imes NewRoman">
    <w:altName w:val="方正公文小标宋"/>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MjAzZDgyODcwYWFmMGI1NzBmYmZiMGVkYjFlM2EifQ=="/>
  </w:docVars>
  <w:rsids>
    <w:rsidRoot w:val="46216819"/>
    <w:rsid w:val="00623DDD"/>
    <w:rsid w:val="0065038B"/>
    <w:rsid w:val="00676DB9"/>
    <w:rsid w:val="00785B95"/>
    <w:rsid w:val="009A37A7"/>
    <w:rsid w:val="009E4A31"/>
    <w:rsid w:val="009F76CE"/>
    <w:rsid w:val="00CC3CDE"/>
    <w:rsid w:val="00D106B8"/>
    <w:rsid w:val="00D638EE"/>
    <w:rsid w:val="00DB3BFE"/>
    <w:rsid w:val="00E34079"/>
    <w:rsid w:val="00EE2376"/>
    <w:rsid w:val="018D3ED1"/>
    <w:rsid w:val="07684134"/>
    <w:rsid w:val="07C153F3"/>
    <w:rsid w:val="07C9726C"/>
    <w:rsid w:val="081E2961"/>
    <w:rsid w:val="08D84A5B"/>
    <w:rsid w:val="0A4E4DF4"/>
    <w:rsid w:val="0A5B1F0B"/>
    <w:rsid w:val="0BBB1809"/>
    <w:rsid w:val="0D635D15"/>
    <w:rsid w:val="10293910"/>
    <w:rsid w:val="10E97BF3"/>
    <w:rsid w:val="113A72F4"/>
    <w:rsid w:val="146177FD"/>
    <w:rsid w:val="14EA3E14"/>
    <w:rsid w:val="180F5DE7"/>
    <w:rsid w:val="19BC405D"/>
    <w:rsid w:val="1A116775"/>
    <w:rsid w:val="1AA20623"/>
    <w:rsid w:val="1BBF17D7"/>
    <w:rsid w:val="1C1159CA"/>
    <w:rsid w:val="1DA55156"/>
    <w:rsid w:val="20760EF2"/>
    <w:rsid w:val="20F716D4"/>
    <w:rsid w:val="21A4766C"/>
    <w:rsid w:val="22595331"/>
    <w:rsid w:val="232F6FF2"/>
    <w:rsid w:val="249B51CE"/>
    <w:rsid w:val="24EC5ADB"/>
    <w:rsid w:val="255463FE"/>
    <w:rsid w:val="266057EE"/>
    <w:rsid w:val="28B9271F"/>
    <w:rsid w:val="299303BE"/>
    <w:rsid w:val="2BA62817"/>
    <w:rsid w:val="2DFD2EFB"/>
    <w:rsid w:val="2FC04A05"/>
    <w:rsid w:val="306F3923"/>
    <w:rsid w:val="3C325952"/>
    <w:rsid w:val="3D8A630C"/>
    <w:rsid w:val="3D943A67"/>
    <w:rsid w:val="3F61340A"/>
    <w:rsid w:val="3FB31D30"/>
    <w:rsid w:val="42481B0B"/>
    <w:rsid w:val="430A4E97"/>
    <w:rsid w:val="433031C5"/>
    <w:rsid w:val="46216819"/>
    <w:rsid w:val="48804E88"/>
    <w:rsid w:val="48A27AEE"/>
    <w:rsid w:val="48F23E3C"/>
    <w:rsid w:val="4A364E49"/>
    <w:rsid w:val="4C1D24EE"/>
    <w:rsid w:val="4E107105"/>
    <w:rsid w:val="4E3C0586"/>
    <w:rsid w:val="506406E9"/>
    <w:rsid w:val="55100EDB"/>
    <w:rsid w:val="57D36017"/>
    <w:rsid w:val="58052528"/>
    <w:rsid w:val="59D601F1"/>
    <w:rsid w:val="5B9D2801"/>
    <w:rsid w:val="5D2C4D7E"/>
    <w:rsid w:val="5DBE3151"/>
    <w:rsid w:val="60FE3FB0"/>
    <w:rsid w:val="616E6886"/>
    <w:rsid w:val="628B5BB9"/>
    <w:rsid w:val="63057105"/>
    <w:rsid w:val="67024C3B"/>
    <w:rsid w:val="67965B4A"/>
    <w:rsid w:val="698566DF"/>
    <w:rsid w:val="69E17A28"/>
    <w:rsid w:val="6A984F72"/>
    <w:rsid w:val="6C103568"/>
    <w:rsid w:val="6CEC499A"/>
    <w:rsid w:val="6F6F6A7B"/>
    <w:rsid w:val="6F72E5A3"/>
    <w:rsid w:val="70352925"/>
    <w:rsid w:val="704506CF"/>
    <w:rsid w:val="70504892"/>
    <w:rsid w:val="7055557F"/>
    <w:rsid w:val="71EE54F9"/>
    <w:rsid w:val="725A1BE9"/>
    <w:rsid w:val="76255C06"/>
    <w:rsid w:val="773D1061"/>
    <w:rsid w:val="786E0F20"/>
    <w:rsid w:val="79587B58"/>
    <w:rsid w:val="7B690C89"/>
    <w:rsid w:val="7D05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0"/>
    <w:pPr>
      <w:keepNext/>
      <w:keepLines/>
      <w:spacing w:before="280" w:after="290" w:line="372" w:lineRule="auto"/>
      <w:outlineLvl w:val="3"/>
    </w:pPr>
    <w:rPr>
      <w:rFonts w:ascii="Arial" w:hAnsi="Arial" w:eastAsia="黑体"/>
      <w:sz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Body Text"/>
    <w:basedOn w:val="1"/>
    <w:next w:val="1"/>
    <w:autoRedefine/>
    <w:qFormat/>
    <w:uiPriority w:val="0"/>
    <w:pPr>
      <w:spacing w:after="120"/>
    </w:p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4"/>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11"/>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沙区环保局</Company>
  <Pages>3</Pages>
  <Words>172</Words>
  <Characters>987</Characters>
  <Lines>8</Lines>
  <Paragraphs>2</Paragraphs>
  <TotalTime>0</TotalTime>
  <ScaleCrop>false</ScaleCrop>
  <LinksUpToDate>false</LinksUpToDate>
  <CharactersWithSpaces>1157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2024-04-17T02:05:00Z</dcterms:created>
  <dc:creator>王赞春</dc:creator>
  <cp:lastModifiedBy>ru</cp:lastModifiedBy>
  <cp:lastPrinted>2024-04-14T09:47:00Z</cp:lastPrinted>
  <dcterms:modified xsi:type="dcterms:W3CDTF">2024-04-29T02:41:45Z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8F63C76F8D7F446FA749D1BAEF08C192_13</vt:lpwstr>
  </property>
</Properties>
</file>