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pPr>
    </w:p>
    <w:p/>
    <w:p/>
    <w:p/>
    <w:p/>
    <w:p>
      <w:pPr>
        <w:tabs>
          <w:tab w:val="left" w:pos="5369"/>
        </w:tabs>
      </w:pPr>
      <w:r>
        <w:rPr>
          <w:rFonts w:hint="eastAsia"/>
        </w:rPr>
        <w:tab/>
      </w:r>
    </w:p>
    <w:p/>
    <w:p/>
    <w:p>
      <w:pPr>
        <w:ind w:firstLine="316" w:firstLineChars="100"/>
      </w:pPr>
      <w:bookmarkStart w:id="0" w:name="书签4：文号"/>
      <w:r>
        <w:rPr>
          <w:rFonts w:ascii="方正仿宋_GBK"/>
        </w:rPr>
        <w:t>沙坪坝审文〔</w:t>
      </w:r>
      <w:r>
        <w:t>2025</w:t>
      </w:r>
      <w:r>
        <w:rPr>
          <w:rFonts w:ascii="方正仿宋_GBK"/>
        </w:rPr>
        <w:t>〕</w:t>
      </w:r>
      <w:r>
        <w:t>2</w:t>
      </w:r>
      <w:r>
        <w:rPr>
          <w:rFonts w:ascii="方正仿宋_GBK"/>
        </w:rPr>
        <w:t>号</w:t>
      </w:r>
      <w:bookmarkEnd w:id="0"/>
      <w:r>
        <w:t xml:space="preserve">  </w:t>
      </w:r>
      <w:r>
        <w:rPr>
          <w:rFonts w:hint="eastAsia"/>
        </w:rPr>
        <w:t xml:space="preserve"> </w:t>
      </w:r>
      <w:r>
        <w:t xml:space="preserve">             </w:t>
      </w:r>
      <w:r>
        <w:rPr>
          <w:rFonts w:hint="eastAsia" w:ascii="方正仿宋_GBK"/>
        </w:rPr>
        <w:t>签发人：</w:t>
      </w:r>
      <w:r>
        <w:rPr>
          <w:rFonts w:ascii="方正楷体_GBK" w:eastAsia="方正楷体_GBK"/>
        </w:rPr>
        <w:t>赵卫红</w:t>
      </w:r>
    </w:p>
    <w:p>
      <w:pPr>
        <w:spacing w:line="560" w:lineRule="exact"/>
      </w:pPr>
    </w:p>
    <w:p>
      <w:pPr>
        <w:spacing w:line="560" w:lineRule="exact"/>
      </w:pPr>
    </w:p>
    <w:p>
      <w:pPr>
        <w:spacing w:line="560" w:lineRule="exact"/>
        <w:jc w:val="center"/>
        <w:rPr>
          <w:rFonts w:eastAsia="方正小标宋_GBK"/>
          <w:bCs/>
          <w:sz w:val="44"/>
          <w:szCs w:val="44"/>
        </w:rPr>
      </w:pPr>
      <w:bookmarkStart w:id="1" w:name="书签2：正文"/>
      <w:r>
        <w:rPr>
          <w:rFonts w:eastAsia="方正小标宋_GBK"/>
          <w:bCs/>
          <w:sz w:val="44"/>
          <w:szCs w:val="44"/>
        </w:rPr>
        <w:t>重庆市沙坪坝区审计局</w:t>
      </w:r>
    </w:p>
    <w:p>
      <w:pPr>
        <w:spacing w:line="560" w:lineRule="exact"/>
        <w:jc w:val="center"/>
        <w:rPr>
          <w:rFonts w:eastAsia="方正小标宋_GBK"/>
          <w:bCs/>
          <w:sz w:val="44"/>
          <w:szCs w:val="44"/>
        </w:rPr>
      </w:pPr>
      <w:r>
        <w:rPr>
          <w:rFonts w:eastAsia="方正小标宋_GBK"/>
          <w:bCs/>
          <w:sz w:val="44"/>
          <w:szCs w:val="44"/>
        </w:rPr>
        <w:t>关于202</w:t>
      </w:r>
      <w:r>
        <w:rPr>
          <w:rFonts w:hint="eastAsia" w:eastAsia="方正小标宋_GBK"/>
          <w:bCs/>
          <w:sz w:val="44"/>
          <w:szCs w:val="44"/>
        </w:rPr>
        <w:t>4</w:t>
      </w:r>
      <w:r>
        <w:rPr>
          <w:rFonts w:eastAsia="方正小标宋_GBK"/>
          <w:bCs/>
          <w:sz w:val="44"/>
          <w:szCs w:val="44"/>
        </w:rPr>
        <w:t>年法治政府建设情况的报告</w:t>
      </w:r>
    </w:p>
    <w:p>
      <w:pPr>
        <w:spacing w:line="560" w:lineRule="exact"/>
        <w:jc w:val="center"/>
        <w:rPr>
          <w:rFonts w:eastAsia="方正小标宋_GBK"/>
          <w:bCs/>
          <w:sz w:val="44"/>
          <w:szCs w:val="44"/>
        </w:rPr>
      </w:pPr>
    </w:p>
    <w:p>
      <w:pPr>
        <w:spacing w:line="560" w:lineRule="exact"/>
        <w:rPr>
          <w:bCs/>
          <w:szCs w:val="32"/>
        </w:rPr>
      </w:pPr>
      <w:r>
        <w:rPr>
          <w:rFonts w:hint="eastAsia"/>
          <w:bCs/>
          <w:szCs w:val="32"/>
        </w:rPr>
        <w:t>区政府：</w:t>
      </w:r>
    </w:p>
    <w:p>
      <w:pPr>
        <w:spacing w:line="560" w:lineRule="exact"/>
        <w:ind w:firstLine="632" w:firstLineChars="200"/>
        <w:rPr>
          <w:highlight w:val="yellow"/>
        </w:rPr>
      </w:pPr>
      <w:r>
        <w:rPr>
          <w:rFonts w:hint="eastAsia"/>
          <w:bCs/>
          <w:szCs w:val="32"/>
        </w:rPr>
        <w:t>沙坪坝</w:t>
      </w:r>
      <w:r>
        <w:rPr>
          <w:bCs/>
          <w:szCs w:val="32"/>
        </w:rPr>
        <w:t>区审计局</w:t>
      </w:r>
      <w:r>
        <w:rPr>
          <w:rFonts w:hint="eastAsia"/>
          <w:bCs/>
          <w:szCs w:val="32"/>
        </w:rPr>
        <w:t>坚持以习近平新时代中国特色社会主义思想为指导，全面贯彻落实党的二十大和二十届三中全会精神，深入学习宣传贯彻习近平法治思想，认真落实市委全面依法治市、区委全面依法治区会议精神的相关要求，依法全面履行审计监督职责，扎实推进审计机关法治建设，充分发挥审计在党和国家监督体系中的重要作用。</w:t>
      </w:r>
    </w:p>
    <w:p>
      <w:pPr>
        <w:spacing w:line="560" w:lineRule="exact"/>
        <w:ind w:firstLine="632" w:firstLineChars="200"/>
        <w:rPr>
          <w:bCs/>
          <w:snapToGrid w:val="0"/>
          <w:kern w:val="0"/>
          <w:szCs w:val="32"/>
        </w:rPr>
      </w:pPr>
      <w:r>
        <w:rPr>
          <w:rFonts w:hint="eastAsia" w:eastAsia="方正黑体_GBK"/>
          <w:bCs/>
          <w:snapToGrid w:val="0"/>
          <w:kern w:val="0"/>
          <w:szCs w:val="32"/>
        </w:rPr>
        <w:t>一、2024年推进法治政府建设的主要举措和成效</w:t>
      </w:r>
    </w:p>
    <w:p>
      <w:pPr>
        <w:spacing w:line="560" w:lineRule="exact"/>
        <w:ind w:firstLine="632" w:firstLineChars="200"/>
        <w:jc w:val="left"/>
        <w:outlineLvl w:val="0"/>
        <w:rPr>
          <w:bCs/>
          <w:snapToGrid w:val="0"/>
          <w:kern w:val="0"/>
          <w:szCs w:val="32"/>
        </w:rPr>
      </w:pPr>
      <w:r>
        <w:rPr>
          <w:rFonts w:eastAsia="方正楷体_GBK"/>
          <w:bCs/>
          <w:snapToGrid w:val="0"/>
          <w:kern w:val="0"/>
          <w:szCs w:val="32"/>
        </w:rPr>
        <w:t>（一）</w:t>
      </w:r>
      <w:r>
        <w:rPr>
          <w:rFonts w:hint="eastAsia" w:eastAsia="方正楷体_GBK"/>
          <w:bCs/>
          <w:snapToGrid w:val="0"/>
          <w:kern w:val="0"/>
          <w:szCs w:val="32"/>
        </w:rPr>
        <w:t>持续深入学习贯彻习近平法治思想</w:t>
      </w:r>
    </w:p>
    <w:p>
      <w:pPr>
        <w:pStyle w:val="2"/>
        <w:spacing w:line="560" w:lineRule="exact"/>
        <w:ind w:firstLine="630"/>
        <w:rPr>
          <w:szCs w:val="32"/>
        </w:rPr>
      </w:pPr>
      <w:r>
        <w:rPr>
          <w:rFonts w:hint="eastAsia"/>
          <w:szCs w:val="32"/>
        </w:rPr>
        <w:t>坚持以习近平法治思想为引领，切实把党中央全面依法治国的战略决策和市委全面依法治市、区委全面依法治区的部署安排，转化为审计机关法治建设的思路举措和生动实践，落实到我局法治工作的全过程和各方面，推动习近平法治思想落地生根。</w:t>
      </w:r>
      <w:r>
        <w:rPr>
          <w:rFonts w:ascii="Times New Roman" w:hAnsi="Times New Roman"/>
          <w:kern w:val="0"/>
          <w:szCs w:val="32"/>
        </w:rPr>
        <w:t>2024</w:t>
      </w:r>
      <w:r>
        <w:rPr>
          <w:rFonts w:hint="eastAsia"/>
        </w:rPr>
        <w:t>年，局党组</w:t>
      </w:r>
      <w:r>
        <w:rPr>
          <w:rFonts w:hint="eastAsia"/>
          <w:bCs/>
          <w:snapToGrid w:val="0"/>
          <w:kern w:val="0"/>
          <w:szCs w:val="32"/>
        </w:rPr>
        <w:t>对学习宣传贯彻习近平法治思想作出全面部署和系统安排，</w:t>
      </w:r>
      <w:r>
        <w:rPr>
          <w:rFonts w:hint="eastAsia"/>
          <w:szCs w:val="32"/>
        </w:rPr>
        <w:t>不断健全党组理论学习中心组学习习近平法治思想、党内法规和国家法律的常态化机制</w:t>
      </w:r>
      <w:r>
        <w:rPr>
          <w:rFonts w:hint="eastAsia" w:ascii="Times New Roman" w:hAnsi="Times New Roman" w:cs="方正仿宋_GBK"/>
          <w:szCs w:val="32"/>
        </w:rPr>
        <w:t>，</w:t>
      </w:r>
      <w:r>
        <w:rPr>
          <w:rFonts w:ascii="Times New Roman" w:hAnsi="Times New Roman"/>
          <w:kern w:val="0"/>
          <w:szCs w:val="32"/>
        </w:rPr>
        <w:t>组织开展党组中心组集中学习12次</w:t>
      </w:r>
      <w:r>
        <w:rPr>
          <w:rFonts w:hint="eastAsia" w:ascii="Times New Roman" w:hAnsi="Times New Roman"/>
          <w:kern w:val="0"/>
          <w:szCs w:val="32"/>
        </w:rPr>
        <w:t>、</w:t>
      </w:r>
      <w:r>
        <w:rPr>
          <w:rFonts w:ascii="Times New Roman" w:hAnsi="Times New Roman"/>
          <w:kern w:val="0"/>
          <w:szCs w:val="32"/>
        </w:rPr>
        <w:t>先锋党课辅导6</w:t>
      </w:r>
      <w:r>
        <w:rPr>
          <w:rFonts w:ascii="Times New Roman" w:hAnsi="Times New Roman"/>
          <w:kern w:val="0"/>
          <w:szCs w:val="32"/>
          <w:lang w:val="en"/>
        </w:rPr>
        <w:t>次</w:t>
      </w:r>
      <w:r>
        <w:rPr>
          <w:rFonts w:hint="eastAsia"/>
          <w:szCs w:val="32"/>
        </w:rPr>
        <w:t>。</w:t>
      </w:r>
    </w:p>
    <w:p>
      <w:pPr>
        <w:pStyle w:val="2"/>
        <w:spacing w:line="560" w:lineRule="exact"/>
        <w:ind w:firstLine="630"/>
      </w:pPr>
      <w:r>
        <w:rPr>
          <w:rFonts w:hint="eastAsia" w:ascii="方正楷体_GBK" w:eastAsia="方正楷体_GBK"/>
        </w:rPr>
        <w:t>（二）围绕大局依法开展审计监督</w:t>
      </w:r>
    </w:p>
    <w:p>
      <w:pPr>
        <w:spacing w:line="560" w:lineRule="exact"/>
        <w:ind w:firstLine="632" w:firstLineChars="200"/>
        <w:rPr>
          <w:szCs w:val="32"/>
        </w:rPr>
      </w:pPr>
      <w:r>
        <w:rPr>
          <w:kern w:val="0"/>
          <w:szCs w:val="32"/>
        </w:rPr>
        <w:t>2024</w:t>
      </w:r>
      <w:r>
        <w:rPr>
          <w:bCs/>
          <w:snapToGrid w:val="0"/>
          <w:kern w:val="0"/>
          <w:szCs w:val="32"/>
        </w:rPr>
        <w:t>年</w:t>
      </w:r>
      <w:r>
        <w:rPr>
          <w:rFonts w:hint="eastAsia"/>
          <w:bCs/>
          <w:snapToGrid w:val="0"/>
          <w:kern w:val="0"/>
          <w:szCs w:val="32"/>
        </w:rPr>
        <w:t>，沙坪坝区审计局</w:t>
      </w:r>
      <w:r>
        <w:rPr>
          <w:bCs/>
          <w:snapToGrid w:val="0"/>
          <w:kern w:val="0"/>
          <w:szCs w:val="32"/>
        </w:rPr>
        <w:t>立足经济监督定位，</w:t>
      </w:r>
      <w:r>
        <w:rPr>
          <w:rFonts w:hint="eastAsia" w:ascii="方正仿宋_GBK" w:hAnsi="方正仿宋_GBK" w:cs="方正仿宋_GBK"/>
          <w:color w:val="000000"/>
          <w:szCs w:val="32"/>
          <w:lang w:bidi="ar"/>
        </w:rPr>
        <w:t>紧紧围绕“三攻坚一盘活”改革突破和现代化新重庆建设大局，</w:t>
      </w:r>
      <w:r>
        <w:rPr>
          <w:bCs/>
          <w:snapToGrid w:val="0"/>
          <w:kern w:val="0"/>
          <w:szCs w:val="32"/>
        </w:rPr>
        <w:t>深入开展研究型审计，</w:t>
      </w:r>
      <w:r>
        <w:rPr>
          <w:rFonts w:hint="eastAsia"/>
          <w:color w:val="000000"/>
          <w:szCs w:val="32"/>
        </w:rPr>
        <w:t>全年</w:t>
      </w:r>
      <w:r>
        <w:rPr>
          <w:color w:val="000000"/>
          <w:szCs w:val="32"/>
        </w:rPr>
        <w:t>完成审计（调查）项目</w:t>
      </w:r>
      <w:r>
        <w:rPr>
          <w:kern w:val="0"/>
          <w:szCs w:val="32"/>
        </w:rPr>
        <w:t>23</w:t>
      </w:r>
      <w:r>
        <w:rPr>
          <w:color w:val="000000"/>
          <w:szCs w:val="32"/>
        </w:rPr>
        <w:t>个，查出问题金额</w:t>
      </w:r>
      <w:r>
        <w:rPr>
          <w:kern w:val="0"/>
          <w:szCs w:val="32"/>
        </w:rPr>
        <w:t>5.46</w:t>
      </w:r>
      <w:r>
        <w:rPr>
          <w:color w:val="000000"/>
          <w:szCs w:val="32"/>
        </w:rPr>
        <w:t>亿元，促进增收节支及挽回损失</w:t>
      </w:r>
      <w:r>
        <w:rPr>
          <w:kern w:val="0"/>
          <w:szCs w:val="32"/>
        </w:rPr>
        <w:t>1.6</w:t>
      </w:r>
      <w:r>
        <w:rPr>
          <w:rFonts w:hint="eastAsia"/>
          <w:color w:val="000000"/>
          <w:szCs w:val="32"/>
        </w:rPr>
        <w:t>亿</w:t>
      </w:r>
      <w:r>
        <w:rPr>
          <w:color w:val="000000"/>
          <w:szCs w:val="32"/>
        </w:rPr>
        <w:t>元；提</w:t>
      </w:r>
      <w:r>
        <w:rPr>
          <w:szCs w:val="32"/>
        </w:rPr>
        <w:t>交审计专题、综合报告、审计要情、信息简报</w:t>
      </w:r>
      <w:r>
        <w:rPr>
          <w:kern w:val="0"/>
          <w:szCs w:val="32"/>
        </w:rPr>
        <w:t>148</w:t>
      </w:r>
      <w:r>
        <w:rPr>
          <w:szCs w:val="32"/>
        </w:rPr>
        <w:t>篇，提出审计建议</w:t>
      </w:r>
      <w:r>
        <w:rPr>
          <w:kern w:val="0"/>
          <w:szCs w:val="32"/>
        </w:rPr>
        <w:t>45</w:t>
      </w:r>
      <w:r>
        <w:rPr>
          <w:szCs w:val="32"/>
        </w:rPr>
        <w:t>条，被批示或采用报告及信息</w:t>
      </w:r>
      <w:r>
        <w:rPr>
          <w:kern w:val="0"/>
          <w:szCs w:val="32"/>
        </w:rPr>
        <w:t>267</w:t>
      </w:r>
      <w:r>
        <w:rPr>
          <w:szCs w:val="32"/>
        </w:rPr>
        <w:t>篇（</w:t>
      </w:r>
      <w:r>
        <w:rPr>
          <w:rFonts w:hint="eastAsia"/>
          <w:szCs w:val="32"/>
        </w:rPr>
        <w:t>次</w:t>
      </w:r>
      <w:r>
        <w:rPr>
          <w:szCs w:val="32"/>
        </w:rPr>
        <w:t>），推动党委政府及有关部门出台规范性制度文件</w:t>
      </w:r>
      <w:r>
        <w:rPr>
          <w:kern w:val="0"/>
          <w:szCs w:val="32"/>
        </w:rPr>
        <w:t>72</w:t>
      </w:r>
      <w:r>
        <w:rPr>
          <w:szCs w:val="32"/>
        </w:rPr>
        <w:t>项。</w:t>
      </w:r>
    </w:p>
    <w:p>
      <w:pPr>
        <w:spacing w:line="560" w:lineRule="exact"/>
        <w:ind w:firstLine="632" w:firstLineChars="200"/>
        <w:rPr>
          <w:rFonts w:eastAsia="方正楷体_GBK"/>
          <w:bCs/>
          <w:snapToGrid w:val="0"/>
          <w:kern w:val="0"/>
          <w:szCs w:val="32"/>
        </w:rPr>
      </w:pPr>
      <w:r>
        <w:rPr>
          <w:rFonts w:hint="eastAsia" w:eastAsia="方正楷体_GBK"/>
          <w:bCs/>
          <w:snapToGrid w:val="0"/>
          <w:kern w:val="0"/>
          <w:szCs w:val="32"/>
        </w:rPr>
        <w:t>（三）健全完善审计制度规范</w:t>
      </w:r>
    </w:p>
    <w:p>
      <w:pPr>
        <w:spacing w:line="560" w:lineRule="exact"/>
        <w:ind w:firstLine="632" w:firstLineChars="200"/>
        <w:rPr>
          <w:rFonts w:ascii="方正楷体_GBK" w:eastAsia="方正楷体_GBK"/>
        </w:rPr>
      </w:pPr>
      <w:r>
        <w:rPr>
          <w:rFonts w:hint="eastAsia"/>
          <w:bCs/>
          <w:snapToGrid w:val="0"/>
          <w:kern w:val="0"/>
          <w:szCs w:val="32"/>
        </w:rPr>
        <w:t>修订《沙坪坝区审计局年度综合目标考核办法》《沙坪坝区审计局首问首接责任制》《沙坪坝区审计局重点工作交办督办管理办法》，完善审计工作内控管理机制，着力构建责任落实、流程管控、督查跟踪和考核促进等“四位一体”的内控制度体系，规范依法审计行为。</w:t>
      </w:r>
      <w:r>
        <w:rPr>
          <w:rFonts w:hint="eastAsia" w:ascii="方正仿宋_GBK" w:hAnsi="方正仿宋_GBK" w:cs="方正仿宋_GBK"/>
          <w:szCs w:val="32"/>
          <w:lang w:bidi="ar"/>
        </w:rPr>
        <w:t>严格执行规范性文件审核备案制度，持续开展地方性法规、政府规章和规范性文件动态清理工作。及时调整行政权力和责任事项清单，编制行政执法事项目录，确保审计工作合法合规。积极参与立法相关工作，全年就有关法规、规章等征求意见稿向有关部门反馈意见</w:t>
      </w:r>
      <w:r>
        <w:rPr>
          <w:kern w:val="0"/>
          <w:szCs w:val="32"/>
        </w:rPr>
        <w:t>10</w:t>
      </w:r>
      <w:r>
        <w:rPr>
          <w:rFonts w:hint="eastAsia" w:ascii="方正仿宋_GBK" w:hAnsi="方正仿宋_GBK" w:cs="方正仿宋_GBK"/>
          <w:szCs w:val="32"/>
          <w:lang w:bidi="ar"/>
        </w:rPr>
        <w:t>余件。</w:t>
      </w:r>
    </w:p>
    <w:p>
      <w:pPr>
        <w:pStyle w:val="2"/>
        <w:spacing w:line="560" w:lineRule="exact"/>
        <w:ind w:firstLine="630"/>
        <w:rPr>
          <w:rFonts w:ascii="方正楷体_GBK" w:eastAsia="方正楷体_GBK"/>
        </w:rPr>
      </w:pPr>
      <w:r>
        <w:rPr>
          <w:rFonts w:hint="eastAsia" w:ascii="方正楷体_GBK" w:eastAsia="方正楷体_GBK"/>
        </w:rPr>
        <w:t>（</w:t>
      </w:r>
      <w:r>
        <w:rPr>
          <w:rFonts w:ascii="方正楷体_GBK" w:eastAsia="方正楷体_GBK"/>
        </w:rPr>
        <w:t>四）</w:t>
      </w:r>
      <w:r>
        <w:rPr>
          <w:rFonts w:hint="eastAsia" w:ascii="方正楷体_GBK" w:eastAsia="方正楷体_GBK"/>
        </w:rPr>
        <w:t>严格规范公正文明执法</w:t>
      </w:r>
    </w:p>
    <w:p>
      <w:pPr>
        <w:pStyle w:val="15"/>
        <w:widowControl w:val="0"/>
        <w:wordWrap/>
        <w:autoSpaceDE w:val="0"/>
        <w:spacing w:line="560" w:lineRule="exact"/>
        <w:ind w:firstLine="632" w:firstLineChars="200"/>
        <w:jc w:val="both"/>
        <w:rPr>
          <w:rFonts w:ascii="Times New Roman" w:hAnsi="Times New Roman" w:eastAsia="方正仿宋_GBK" w:cs="Times New Roman"/>
          <w:color w:val="000000"/>
          <w:kern w:val="2"/>
          <w:sz w:val="32"/>
          <w:szCs w:val="32"/>
          <w:lang w:bidi="ar"/>
        </w:rPr>
      </w:pPr>
      <w:r>
        <w:rPr>
          <w:rFonts w:ascii="Times New Roman" w:hAnsi="Times New Roman" w:eastAsia="方正仿宋_GBK" w:cs="Times New Roman"/>
          <w:sz w:val="32"/>
          <w:szCs w:val="32"/>
        </w:rPr>
        <w:t>1.</w:t>
      </w:r>
      <w:r>
        <w:rPr>
          <w:rFonts w:hint="eastAsia" w:ascii="Times New Roman" w:hAnsi="Times New Roman" w:eastAsia="方正仿宋_GBK" w:cs="Times New Roman"/>
          <w:color w:val="000000"/>
          <w:kern w:val="2"/>
          <w:sz w:val="32"/>
          <w:szCs w:val="32"/>
          <w:lang w:bidi="ar"/>
        </w:rPr>
        <w:t>落实落细行政执法“三项制度”。严格执行《</w:t>
      </w:r>
      <w:r>
        <w:rPr>
          <w:rFonts w:hint="eastAsia" w:ascii="方正仿宋_GBK" w:hAnsi="方正仿宋_GBK" w:eastAsia="方正仿宋_GBK" w:cs="方正仿宋_GBK"/>
          <w:color w:val="000000"/>
          <w:kern w:val="2"/>
          <w:sz w:val="32"/>
          <w:szCs w:val="32"/>
          <w:lang w:bidi="ar"/>
        </w:rPr>
        <w:t>审计署审计项目全流程审计质量控制办法</w:t>
      </w:r>
      <w:r>
        <w:rPr>
          <w:rFonts w:hint="eastAsia" w:ascii="Times New Roman" w:hAnsi="Times New Roman" w:eastAsia="方正仿宋_GBK" w:cs="Times New Roman"/>
          <w:color w:val="000000"/>
          <w:kern w:val="2"/>
          <w:sz w:val="32"/>
          <w:szCs w:val="32"/>
          <w:lang w:bidi="ar"/>
        </w:rPr>
        <w:t>（</w:t>
      </w:r>
      <w:r>
        <w:rPr>
          <w:rFonts w:hint="eastAsia" w:ascii="方正仿宋_GBK" w:hAnsi="方正仿宋_GBK" w:eastAsia="方正仿宋_GBK" w:cs="方正仿宋_GBK"/>
          <w:color w:val="000000"/>
          <w:kern w:val="2"/>
          <w:sz w:val="32"/>
          <w:szCs w:val="32"/>
          <w:lang w:bidi="ar"/>
        </w:rPr>
        <w:t>试行）</w:t>
      </w:r>
      <w:r>
        <w:rPr>
          <w:rFonts w:hint="eastAsia" w:ascii="Times New Roman" w:hAnsi="Times New Roman" w:eastAsia="方正仿宋_GBK" w:cs="Times New Roman"/>
          <w:color w:val="000000"/>
          <w:kern w:val="2"/>
          <w:sz w:val="32"/>
          <w:szCs w:val="32"/>
          <w:lang w:bidi="ar"/>
        </w:rPr>
        <w:t>》《重庆市审计机关审计业务管理规定》等制度，加强计划管理、组织实施、复核审理审定、督促审计整改全流程审计质量控制。严格规范审计执法行为，严格执行审计通知、征求意见、救济途径告知、外部调查、查询银行账户等程序规定；明确要求审计人员持证依法依规开展调查取证；充分听取被审计单位和相关人员的意见。严格执行审计现场公示制度，采取书面公开形式，及时将审计对象、工作纪律及审计监督举报渠道等内容在被审计单位现场公示。</w:t>
      </w:r>
    </w:p>
    <w:p>
      <w:pPr>
        <w:pStyle w:val="2"/>
        <w:spacing w:line="560" w:lineRule="exact"/>
        <w:ind w:firstLine="630"/>
        <w:rPr>
          <w:color w:val="000000"/>
          <w:szCs w:val="32"/>
          <w:lang w:bidi="ar"/>
        </w:rPr>
      </w:pPr>
      <w:r>
        <w:rPr>
          <w:rFonts w:ascii="Times New Roman" w:hAnsi="Times New Roman"/>
          <w:kern w:val="0"/>
          <w:szCs w:val="32"/>
          <w:lang w:bidi="ar"/>
        </w:rPr>
        <w:t>2</w:t>
      </w:r>
      <w:r>
        <w:rPr>
          <w:rFonts w:hint="eastAsia"/>
          <w:color w:val="000000"/>
          <w:szCs w:val="32"/>
          <w:lang w:bidi="ar"/>
        </w:rPr>
        <w:t>.认真</w:t>
      </w:r>
      <w:r>
        <w:rPr>
          <w:rFonts w:hint="eastAsia" w:ascii="方正仿宋_GBK" w:hAnsi="方正仿宋_GBK" w:cs="方正仿宋_GBK"/>
          <w:color w:val="000000"/>
          <w:szCs w:val="32"/>
          <w:lang w:bidi="ar"/>
        </w:rPr>
        <w:t>开展审计业务质量检查。</w:t>
      </w:r>
      <w:r>
        <w:rPr>
          <w:rFonts w:hint="eastAsia"/>
          <w:color w:val="000000"/>
          <w:szCs w:val="32"/>
          <w:lang w:bidi="ar"/>
        </w:rPr>
        <w:t>根据《审计署关于印发审计机关审计业务质量检查办法的通知》相关要求，</w:t>
      </w:r>
      <w:r>
        <w:rPr>
          <w:rFonts w:hint="eastAsia" w:ascii="方正仿宋_GBK" w:hAnsi="方正仿宋_GBK" w:cs="方正仿宋_GBK"/>
          <w:color w:val="000000"/>
          <w:szCs w:val="32"/>
          <w:lang w:bidi="ar"/>
        </w:rPr>
        <w:t>配合市审计局</w:t>
      </w:r>
      <w:r>
        <w:rPr>
          <w:rFonts w:hint="eastAsia" w:ascii="Times New Roman" w:hAnsi="Times New Roman"/>
          <w:color w:val="000000"/>
          <w:szCs w:val="32"/>
          <w:lang w:bidi="ar"/>
        </w:rPr>
        <w:t>开展</w:t>
      </w:r>
      <w:r>
        <w:rPr>
          <w:rFonts w:hint="eastAsia"/>
          <w:color w:val="000000"/>
          <w:szCs w:val="32"/>
          <w:lang w:bidi="ar"/>
        </w:rPr>
        <w:t>年度审计</w:t>
      </w:r>
      <w:r>
        <w:rPr>
          <w:rFonts w:hint="eastAsia" w:ascii="Times New Roman" w:hAnsi="Times New Roman"/>
          <w:color w:val="000000"/>
          <w:szCs w:val="32"/>
          <w:lang w:bidi="ar"/>
        </w:rPr>
        <w:t>业务质量检查，</w:t>
      </w:r>
      <w:r>
        <w:rPr>
          <w:rFonts w:hint="eastAsia"/>
          <w:color w:val="000000"/>
          <w:szCs w:val="32"/>
          <w:lang w:bidi="ar"/>
        </w:rPr>
        <w:t>建立整改清单，逐一落实</w:t>
      </w:r>
      <w:r>
        <w:rPr>
          <w:rFonts w:hint="eastAsia" w:ascii="方正仿宋_GBK" w:hAnsi="方正仿宋_GBK" w:cs="方正仿宋_GBK"/>
          <w:color w:val="000000"/>
          <w:szCs w:val="32"/>
          <w:lang w:bidi="ar"/>
        </w:rPr>
        <w:t>市局</w:t>
      </w:r>
      <w:r>
        <w:rPr>
          <w:rFonts w:hint="eastAsia" w:ascii="Times New Roman" w:hAnsi="Times New Roman"/>
          <w:color w:val="000000"/>
          <w:szCs w:val="32"/>
          <w:lang w:bidi="ar"/>
        </w:rPr>
        <w:t>业务质量检查发现问题的整改</w:t>
      </w:r>
      <w:r>
        <w:rPr>
          <w:rFonts w:hint="eastAsia"/>
          <w:color w:val="000000"/>
          <w:szCs w:val="32"/>
          <w:lang w:bidi="ar"/>
        </w:rPr>
        <w:t>工作；编制《重庆市沙坪坝区审计局关于开展业务质量检查的方案》，对</w:t>
      </w:r>
      <w:r>
        <w:rPr>
          <w:rFonts w:ascii="Times New Roman" w:hAnsi="Times New Roman"/>
          <w:kern w:val="0"/>
          <w:szCs w:val="32"/>
          <w:lang w:bidi="ar"/>
        </w:rPr>
        <w:t>2023</w:t>
      </w:r>
      <w:r>
        <w:rPr>
          <w:rFonts w:hint="eastAsia"/>
          <w:color w:val="000000"/>
          <w:szCs w:val="32"/>
          <w:lang w:bidi="ar"/>
        </w:rPr>
        <w:t>年实施的</w:t>
      </w:r>
      <w:r>
        <w:rPr>
          <w:rFonts w:ascii="Times New Roman" w:hAnsi="Times New Roman"/>
          <w:kern w:val="0"/>
          <w:szCs w:val="32"/>
          <w:lang w:bidi="ar"/>
        </w:rPr>
        <w:t>18</w:t>
      </w:r>
      <w:r>
        <w:rPr>
          <w:rFonts w:hint="eastAsia"/>
          <w:color w:val="000000"/>
          <w:szCs w:val="32"/>
          <w:lang w:bidi="ar"/>
        </w:rPr>
        <w:t>个审计项目开展审计业务质量自查，对审计方案、审计证据、审计工作底稿、审计结果文书、审核审理记录和审计程序等进行规范。</w:t>
      </w:r>
    </w:p>
    <w:p>
      <w:pPr>
        <w:pStyle w:val="2"/>
        <w:spacing w:line="560" w:lineRule="exact"/>
        <w:ind w:firstLine="630"/>
        <w:rPr>
          <w:rFonts w:ascii="Times New Roman" w:hAnsi="Times New Roman"/>
          <w:color w:val="000000"/>
          <w:szCs w:val="32"/>
          <w:highlight w:val="yellow"/>
          <w:lang w:bidi="ar"/>
        </w:rPr>
      </w:pPr>
      <w:r>
        <w:rPr>
          <w:rFonts w:hint="eastAsia"/>
          <w:color w:val="000000"/>
          <w:szCs w:val="32"/>
          <w:lang w:bidi="ar"/>
        </w:rPr>
        <w:t>3.积极发挥法律顾问参谋作用。严格按照《重庆市沙坪坝区司法局关于做好</w:t>
      </w:r>
      <w:r>
        <w:rPr>
          <w:rFonts w:ascii="Times New Roman" w:hAnsi="Times New Roman"/>
          <w:kern w:val="0"/>
          <w:szCs w:val="32"/>
          <w:lang w:bidi="ar"/>
        </w:rPr>
        <w:t>2023</w:t>
      </w:r>
      <w:r>
        <w:rPr>
          <w:rFonts w:hint="eastAsia"/>
          <w:color w:val="000000"/>
          <w:szCs w:val="32"/>
          <w:lang w:bidi="ar"/>
        </w:rPr>
        <w:t>年法律顾问考核及</w:t>
      </w:r>
      <w:r>
        <w:rPr>
          <w:rFonts w:ascii="Times New Roman" w:hAnsi="Times New Roman"/>
          <w:kern w:val="0"/>
          <w:szCs w:val="32"/>
          <w:lang w:bidi="ar"/>
        </w:rPr>
        <w:t>2024</w:t>
      </w:r>
      <w:r>
        <w:rPr>
          <w:rFonts w:hint="eastAsia"/>
          <w:color w:val="000000"/>
          <w:szCs w:val="32"/>
          <w:lang w:bidi="ar"/>
        </w:rPr>
        <w:t>年选任工作的通知》《重庆市沙坪坝区人民政府法律顾问工作规则》相关要求聘请法律顾问及对法律顾问进行考核打分，充分发挥法律顾问在规范性文件合法性审核、涉法疑难问题研讨、法治培训等方面的作用，为依法审计当好参谋。</w:t>
      </w:r>
      <w:r>
        <w:rPr>
          <w:rFonts w:ascii="Times New Roman" w:hAnsi="Times New Roman"/>
          <w:kern w:val="0"/>
          <w:szCs w:val="32"/>
          <w:lang w:bidi="ar"/>
        </w:rPr>
        <w:t>2024</w:t>
      </w:r>
      <w:r>
        <w:rPr>
          <w:rFonts w:hint="eastAsia"/>
          <w:color w:val="000000"/>
          <w:szCs w:val="32"/>
          <w:lang w:bidi="ar"/>
        </w:rPr>
        <w:t>年，法律顾问主动前往我局开展“审计诉讼案例”专题讲座，</w:t>
      </w:r>
      <w:r>
        <w:rPr>
          <w:color w:val="000000"/>
          <w:szCs w:val="32"/>
          <w:lang w:bidi="ar"/>
        </w:rPr>
        <w:t>探讨应对审计诉讼的有效策略和方法，启发审计人员树牢</w:t>
      </w:r>
      <w:r>
        <w:rPr>
          <w:rFonts w:hint="eastAsia" w:ascii="方正仿宋_GBK" w:hAnsi="方正仿宋_GBK" w:cs="方正仿宋_GBK"/>
          <w:color w:val="000000"/>
          <w:szCs w:val="32"/>
          <w:lang w:bidi="ar"/>
        </w:rPr>
        <w:t>“依</w:t>
      </w:r>
      <w:r>
        <w:rPr>
          <w:color w:val="000000"/>
          <w:szCs w:val="32"/>
          <w:lang w:bidi="ar"/>
        </w:rPr>
        <w:t>法审</w:t>
      </w:r>
      <w:r>
        <w:rPr>
          <w:rFonts w:hint="eastAsia" w:ascii="方正仿宋_GBK" w:hAnsi="方正仿宋_GBK" w:cs="方正仿宋_GBK"/>
          <w:color w:val="000000"/>
          <w:szCs w:val="32"/>
          <w:lang w:bidi="ar"/>
        </w:rPr>
        <w:t>计”</w:t>
      </w:r>
      <w:r>
        <w:rPr>
          <w:color w:val="000000"/>
          <w:szCs w:val="32"/>
          <w:lang w:bidi="ar"/>
        </w:rPr>
        <w:t>理念，提升审</w:t>
      </w:r>
      <w:r>
        <w:rPr>
          <w:rFonts w:ascii="Arial Narrow" w:hAnsi="Arial Narrow" w:cs="Arial Narrow"/>
          <w:szCs w:val="32"/>
        </w:rPr>
        <w:t>计项目质量</w:t>
      </w:r>
      <w:r>
        <w:rPr>
          <w:bCs/>
          <w:snapToGrid w:val="0"/>
          <w:kern w:val="0"/>
          <w:szCs w:val="32"/>
        </w:rPr>
        <w:t>。</w:t>
      </w:r>
    </w:p>
    <w:p>
      <w:pPr>
        <w:pStyle w:val="2"/>
        <w:spacing w:line="560" w:lineRule="exact"/>
        <w:ind w:firstLine="630"/>
        <w:rPr>
          <w:rFonts w:ascii="方正楷体_GBK" w:eastAsia="方正楷体_GBK"/>
        </w:rPr>
      </w:pPr>
      <w:r>
        <w:rPr>
          <w:rFonts w:hint="eastAsia" w:ascii="方正楷体_GBK" w:eastAsia="方正楷体_GBK"/>
        </w:rPr>
        <w:t>（</w:t>
      </w:r>
      <w:r>
        <w:rPr>
          <w:rFonts w:ascii="方正楷体_GBK" w:eastAsia="方正楷体_GBK"/>
        </w:rPr>
        <w:t>五</w:t>
      </w:r>
      <w:r>
        <w:rPr>
          <w:rFonts w:hint="eastAsia" w:ascii="方正楷体_GBK" w:eastAsia="方正楷体_GBK"/>
        </w:rPr>
        <w:t>）强化审计权力运行制约监督</w:t>
      </w:r>
    </w:p>
    <w:p>
      <w:pPr>
        <w:pStyle w:val="2"/>
        <w:spacing w:line="560" w:lineRule="exact"/>
        <w:ind w:firstLine="630"/>
        <w:rPr>
          <w:rFonts w:ascii="方正仿宋_GBK" w:hAnsi="方正仿宋_GBK" w:cs="方正仿宋_GBK"/>
          <w:szCs w:val="32"/>
          <w:lang w:bidi="ar"/>
        </w:rPr>
      </w:pPr>
      <w:r>
        <w:rPr>
          <w:rFonts w:hint="eastAsia" w:ascii="方正仿宋_GBK" w:hAnsi="方正仿宋_GBK" w:cs="方正仿宋_GBK"/>
          <w:szCs w:val="32"/>
          <w:lang w:bidi="ar"/>
        </w:rPr>
        <w:t>严格执行审计纪律规定，依法自觉接受各方监督。认真落实向本级人大常委会报告工作机制，我局主要负责人受区政府委托向区人大常委会报告区本级财政预算执行审计情况和审计查出问题整改情况。</w:t>
      </w:r>
      <w:r>
        <w:rPr>
          <w:rFonts w:hint="eastAsia"/>
        </w:rPr>
        <w:t>全面贯彻落实政府信息公开条例，</w:t>
      </w:r>
      <w:r>
        <w:rPr>
          <w:bCs/>
        </w:rPr>
        <w:t>主动在局门户网站上公告</w:t>
      </w:r>
      <w:r>
        <w:rPr>
          <w:rFonts w:hint="eastAsia" w:ascii="方正仿宋_GBK" w:hAnsi="方正仿宋_GBK" w:cs="方正仿宋_GBK"/>
          <w:szCs w:val="32"/>
          <w:lang w:bidi="ar"/>
        </w:rPr>
        <w:t>年度法治政府建设情况、</w:t>
      </w:r>
      <w:r>
        <w:rPr>
          <w:bCs/>
        </w:rPr>
        <w:t>区级财政预算执行和其他</w:t>
      </w:r>
      <w:r>
        <w:rPr>
          <w:rFonts w:hint="eastAsia" w:ascii="方正仿宋_GBK" w:hAnsi="方正仿宋_GBK" w:cs="方正仿宋_GBK"/>
          <w:szCs w:val="32"/>
          <w:lang w:bidi="ar"/>
        </w:rPr>
        <w:t>财政收支审计结果、行政执法数据统计等信息，实时更新政务公开信息。</w:t>
      </w:r>
    </w:p>
    <w:p>
      <w:pPr>
        <w:pStyle w:val="2"/>
        <w:spacing w:line="560" w:lineRule="exact"/>
        <w:ind w:firstLine="630"/>
        <w:rPr>
          <w:rFonts w:ascii="方正楷体_GBK" w:eastAsia="方正楷体_GBK"/>
          <w:szCs w:val="32"/>
        </w:rPr>
      </w:pPr>
      <w:r>
        <w:rPr>
          <w:rFonts w:hint="eastAsia" w:ascii="方正楷体_GBK" w:eastAsia="方正楷体_GBK"/>
          <w:szCs w:val="32"/>
        </w:rPr>
        <w:t>（</w:t>
      </w:r>
      <w:r>
        <w:rPr>
          <w:rFonts w:ascii="方正楷体_GBK" w:eastAsia="方正楷体_GBK"/>
          <w:szCs w:val="32"/>
        </w:rPr>
        <w:t>六</w:t>
      </w:r>
      <w:r>
        <w:rPr>
          <w:rFonts w:hint="eastAsia" w:ascii="方正楷体_GBK" w:eastAsia="方正楷体_GBK"/>
          <w:szCs w:val="32"/>
        </w:rPr>
        <w:t>）推动普法与审计监督有机融合</w:t>
      </w:r>
    </w:p>
    <w:p>
      <w:pPr>
        <w:pStyle w:val="2"/>
        <w:spacing w:line="560" w:lineRule="exact"/>
        <w:ind w:firstLine="630"/>
        <w:rPr>
          <w:rFonts w:ascii="方正仿宋_GBK" w:hAnsi="方正仿宋_GBK" w:cs="方正仿宋_GBK"/>
          <w:szCs w:val="32"/>
          <w:lang w:bidi="ar"/>
        </w:rPr>
      </w:pPr>
      <w:r>
        <w:rPr>
          <w:rFonts w:hint="eastAsia" w:ascii="方正仿宋_GBK" w:hAnsi="方正仿宋_GBK" w:cs="方正仿宋_GBK"/>
          <w:szCs w:val="32"/>
          <w:lang w:bidi="ar"/>
        </w:rPr>
        <w:t>严格落实“谁执法谁普法”普法责任制，坚持将普法贯穿审计监督全过程。</w:t>
      </w:r>
      <w:r>
        <w:rPr>
          <w:rFonts w:hint="eastAsia"/>
          <w:szCs w:val="32"/>
        </w:rPr>
        <w:t>结合审计项目的实施，</w:t>
      </w:r>
      <w:r>
        <w:rPr>
          <w:rFonts w:hint="eastAsia" w:ascii="方正仿宋_GBK" w:hAnsi="方正仿宋_GBK" w:cs="方正仿宋_GBK"/>
          <w:color w:val="000000"/>
          <w:szCs w:val="32"/>
          <w:lang w:bidi="ar"/>
        </w:rPr>
        <w:t>积极开展《重庆市审计条例》宣传贯彻活动，在审计进点、审计报告征求意见、审计整改检查等阶段向被审计单位广泛宣传条例相关规定，</w:t>
      </w:r>
      <w:r>
        <w:rPr>
          <w:rFonts w:hint="eastAsia" w:ascii="方正仿宋_GBK" w:hAnsi="方正仿宋_GBK" w:cs="方正仿宋_GBK"/>
          <w:szCs w:val="32"/>
          <w:lang w:bidi="ar"/>
        </w:rPr>
        <w:t>推动被审计单位增强依法行政、依法管理的意识和水平。</w:t>
      </w:r>
      <w:r>
        <w:rPr>
          <w:rFonts w:hint="eastAsia"/>
          <w:szCs w:val="32"/>
        </w:rPr>
        <w:t>开展</w:t>
      </w:r>
      <w:r>
        <w:rPr>
          <w:rFonts w:ascii="Times New Roman" w:hAnsi="Times New Roman"/>
          <w:kern w:val="0"/>
          <w:szCs w:val="32"/>
          <w:lang w:bidi="ar"/>
        </w:rPr>
        <w:t>2024</w:t>
      </w:r>
      <w:r>
        <w:rPr>
          <w:rFonts w:hint="eastAsia"/>
          <w:szCs w:val="32"/>
        </w:rPr>
        <w:t>年“</w:t>
      </w:r>
      <w:r>
        <w:rPr>
          <w:rFonts w:ascii="Times New Roman" w:hAnsi="Times New Roman"/>
          <w:kern w:val="0"/>
          <w:szCs w:val="32"/>
          <w:lang w:bidi="ar"/>
        </w:rPr>
        <w:t>12</w:t>
      </w:r>
      <w:r>
        <w:rPr>
          <w:rFonts w:hint="eastAsia"/>
          <w:szCs w:val="32"/>
        </w:rPr>
        <w:t>·</w:t>
      </w:r>
      <w:r>
        <w:rPr>
          <w:rFonts w:ascii="Times New Roman" w:hAnsi="Times New Roman"/>
          <w:kern w:val="0"/>
          <w:szCs w:val="32"/>
          <w:lang w:bidi="ar"/>
        </w:rPr>
        <w:t>4</w:t>
      </w:r>
      <w:r>
        <w:rPr>
          <w:rFonts w:hint="eastAsia"/>
          <w:szCs w:val="32"/>
        </w:rPr>
        <w:t>”国家宪法日、“民法典宣传月”和“宪法宣传周”等系列宣传活动，深入宣传重庆市红色资源保护传承规定等地方性法规。</w:t>
      </w:r>
      <w:r>
        <w:rPr>
          <w:rFonts w:ascii="Times New Roman" w:hAnsi="Times New Roman"/>
          <w:kern w:val="0"/>
          <w:szCs w:val="32"/>
          <w:lang w:bidi="ar"/>
        </w:rPr>
        <w:t>2024</w:t>
      </w:r>
      <w:r>
        <w:rPr>
          <w:rFonts w:hint="eastAsia"/>
          <w:szCs w:val="32"/>
        </w:rPr>
        <w:t>年，撰写并</w:t>
      </w:r>
      <w:r>
        <w:rPr>
          <w:rFonts w:hint="eastAsia" w:ascii="方正仿宋_GBK" w:hAnsi="方正仿宋_GBK" w:cs="方正仿宋_GBK"/>
          <w:szCs w:val="32"/>
          <w:lang w:bidi="ar"/>
        </w:rPr>
        <w:t>报送法治宣传教育案例1篇</w:t>
      </w:r>
      <w:r>
        <w:rPr>
          <w:rFonts w:hint="eastAsia"/>
          <w:szCs w:val="32"/>
        </w:rPr>
        <w:t>。</w:t>
      </w:r>
    </w:p>
    <w:p>
      <w:pPr>
        <w:pStyle w:val="2"/>
        <w:spacing w:line="560" w:lineRule="exact"/>
        <w:ind w:firstLine="630"/>
        <w:rPr>
          <w:rFonts w:ascii="方正仿宋_GBK" w:hAnsi="方正仿宋_GBK" w:cs="方正仿宋_GBK"/>
          <w:color w:val="333333"/>
          <w:kern w:val="0"/>
          <w:szCs w:val="32"/>
          <w:lang w:bidi="ar"/>
        </w:rPr>
      </w:pPr>
      <w:r>
        <w:rPr>
          <w:rFonts w:hint="eastAsia" w:ascii="方正楷体_GBK" w:eastAsia="方正楷体_GBK"/>
        </w:rPr>
        <w:t>（</w:t>
      </w:r>
      <w:r>
        <w:rPr>
          <w:rFonts w:ascii="方正楷体_GBK" w:eastAsia="方正楷体_GBK"/>
        </w:rPr>
        <w:t>七</w:t>
      </w:r>
      <w:r>
        <w:rPr>
          <w:rFonts w:hint="eastAsia" w:ascii="方正楷体_GBK" w:eastAsia="方正楷体_GBK"/>
        </w:rPr>
        <w:t xml:space="preserve">）深化各类监督贯通执法 </w:t>
      </w:r>
    </w:p>
    <w:p>
      <w:pPr>
        <w:pStyle w:val="2"/>
        <w:spacing w:line="560" w:lineRule="exact"/>
        <w:ind w:firstLine="630"/>
        <w:rPr>
          <w:color w:val="000000"/>
          <w:szCs w:val="32"/>
          <w:lang w:bidi="ar"/>
        </w:rPr>
      </w:pPr>
      <w:r>
        <w:rPr>
          <w:rFonts w:ascii="Times New Roman" w:hAnsi="Times New Roman"/>
          <w:kern w:val="0"/>
          <w:szCs w:val="32"/>
          <w:lang w:bidi="ar"/>
        </w:rPr>
        <w:t>1</w:t>
      </w:r>
      <w:r>
        <w:rPr>
          <w:rFonts w:hint="eastAsia"/>
          <w:color w:val="000000"/>
          <w:szCs w:val="32"/>
          <w:lang w:bidi="ar"/>
        </w:rPr>
        <w:t>.强化纪巡审联动。</w:t>
      </w:r>
      <w:r>
        <w:rPr>
          <w:rFonts w:ascii="Times New Roman" w:hAnsi="Times New Roman"/>
          <w:kern w:val="0"/>
          <w:szCs w:val="32"/>
          <w:lang w:bidi="ar"/>
        </w:rPr>
        <w:t>2024</w:t>
      </w:r>
      <w:r>
        <w:rPr>
          <w:rFonts w:hint="eastAsia"/>
          <w:color w:val="000000"/>
          <w:szCs w:val="32"/>
          <w:lang w:bidi="ar"/>
        </w:rPr>
        <w:t>年纳入全市开展加强纪检监察机关与审计机关贯通协同工作的试点区县。在基层医疗机构审计调查等审计项目中，区纪委监委全程派员直接参与；区审计局抽调</w:t>
      </w:r>
      <w:r>
        <w:rPr>
          <w:rFonts w:ascii="Times New Roman" w:hAnsi="Times New Roman"/>
          <w:kern w:val="0"/>
          <w:szCs w:val="32"/>
          <w:lang w:bidi="ar"/>
        </w:rPr>
        <w:t>3</w:t>
      </w:r>
      <w:r>
        <w:rPr>
          <w:rFonts w:hint="eastAsia"/>
          <w:color w:val="000000"/>
          <w:szCs w:val="32"/>
          <w:lang w:bidi="ar"/>
        </w:rPr>
        <w:t>名审计骨干参与区纪委案件专班，分三批次派出</w:t>
      </w:r>
      <w:r>
        <w:rPr>
          <w:rFonts w:ascii="Times New Roman" w:hAnsi="Times New Roman"/>
          <w:kern w:val="0"/>
          <w:szCs w:val="32"/>
          <w:lang w:bidi="ar"/>
        </w:rPr>
        <w:t>9</w:t>
      </w:r>
      <w:r>
        <w:rPr>
          <w:rFonts w:hint="eastAsia"/>
          <w:color w:val="000000"/>
          <w:szCs w:val="32"/>
          <w:lang w:bidi="ar"/>
        </w:rPr>
        <w:t>名审计人员参与区纪委监委群众身边腐败问题专项整治行动。建立完善审计移送线索台账，定期“对账”，</w:t>
      </w:r>
      <w:r>
        <w:rPr>
          <w:rFonts w:ascii="Times New Roman" w:hAnsi="Times New Roman"/>
          <w:kern w:val="0"/>
          <w:szCs w:val="32"/>
          <w:lang w:bidi="ar"/>
        </w:rPr>
        <w:t>2024</w:t>
      </w:r>
      <w:r>
        <w:rPr>
          <w:rFonts w:hint="eastAsia"/>
          <w:color w:val="000000"/>
          <w:szCs w:val="32"/>
          <w:lang w:bidi="ar"/>
        </w:rPr>
        <w:t>年清理办结案件线索</w:t>
      </w:r>
      <w:r>
        <w:rPr>
          <w:rFonts w:ascii="Times New Roman" w:hAnsi="Times New Roman"/>
          <w:kern w:val="0"/>
          <w:szCs w:val="32"/>
          <w:lang w:bidi="ar"/>
        </w:rPr>
        <w:t>5</w:t>
      </w:r>
      <w:r>
        <w:rPr>
          <w:rFonts w:hint="eastAsia"/>
          <w:color w:val="000000"/>
          <w:szCs w:val="32"/>
          <w:lang w:bidi="ar"/>
        </w:rPr>
        <w:t>件。</w:t>
      </w:r>
    </w:p>
    <w:p>
      <w:pPr>
        <w:pStyle w:val="2"/>
        <w:spacing w:line="560" w:lineRule="exact"/>
        <w:ind w:firstLine="630"/>
        <w:rPr>
          <w:rFonts w:eastAsia="方正楷体_GBK"/>
          <w:bCs/>
          <w:snapToGrid w:val="0"/>
          <w:kern w:val="0"/>
          <w:szCs w:val="32"/>
        </w:rPr>
      </w:pPr>
      <w:r>
        <w:rPr>
          <w:rFonts w:ascii="Times New Roman" w:hAnsi="Times New Roman"/>
          <w:kern w:val="0"/>
          <w:szCs w:val="32"/>
          <w:lang w:bidi="ar"/>
        </w:rPr>
        <w:t>2</w:t>
      </w:r>
      <w:r>
        <w:rPr>
          <w:rFonts w:hint="eastAsia"/>
          <w:color w:val="000000"/>
          <w:szCs w:val="32"/>
          <w:lang w:bidi="ar"/>
        </w:rPr>
        <w:t>.建立各类监督贯通协同机制。与区检察院联合印发《关于进一步加强纪检监察机关与审计机关贯通协同的实施方案》；与区法院、区财政局、区国资委和区统计局等部门建立起“</w:t>
      </w:r>
      <w:r>
        <w:rPr>
          <w:rFonts w:ascii="Times New Roman" w:hAnsi="Times New Roman"/>
          <w:kern w:val="0"/>
          <w:szCs w:val="32"/>
          <w:lang w:bidi="ar"/>
        </w:rPr>
        <w:t>1</w:t>
      </w:r>
      <w:r>
        <w:rPr>
          <w:rFonts w:hint="eastAsia" w:ascii="方正仿宋_GBK" w:hAnsi="方正仿宋_GBK" w:cs="方正仿宋_GBK"/>
          <w:kern w:val="0"/>
          <w:szCs w:val="32"/>
          <w:lang w:bidi="ar"/>
        </w:rPr>
        <w:t>+</w:t>
      </w:r>
      <w:r>
        <w:rPr>
          <w:rFonts w:ascii="Times New Roman" w:hAnsi="Times New Roman"/>
          <w:kern w:val="0"/>
          <w:szCs w:val="32"/>
          <w:lang w:bidi="ar"/>
        </w:rPr>
        <w:t>3</w:t>
      </w:r>
      <w:r>
        <w:rPr>
          <w:rFonts w:hint="eastAsia" w:ascii="方正仿宋_GBK" w:hAnsi="方正仿宋_GBK" w:cs="方正仿宋_GBK"/>
          <w:kern w:val="0"/>
          <w:szCs w:val="32"/>
          <w:lang w:bidi="ar"/>
        </w:rPr>
        <w:t>+</w:t>
      </w:r>
      <w:r>
        <w:rPr>
          <w:rFonts w:ascii="Times New Roman" w:hAnsi="Times New Roman"/>
          <w:kern w:val="0"/>
          <w:szCs w:val="32"/>
          <w:lang w:bidi="ar"/>
        </w:rPr>
        <w:t>N</w:t>
      </w:r>
      <w:r>
        <w:rPr>
          <w:rFonts w:hint="eastAsia"/>
          <w:color w:val="000000"/>
          <w:szCs w:val="32"/>
          <w:lang w:bidi="ar"/>
        </w:rPr>
        <w:t>”的审计监督贯通协同体系。</w:t>
      </w:r>
    </w:p>
    <w:p>
      <w:pPr>
        <w:pStyle w:val="2"/>
        <w:spacing w:line="560" w:lineRule="exact"/>
        <w:ind w:firstLine="630"/>
        <w:rPr>
          <w:rFonts w:ascii="方正楷体_GBK" w:eastAsia="方正楷体_GBK"/>
          <w:szCs w:val="32"/>
        </w:rPr>
      </w:pPr>
      <w:r>
        <w:rPr>
          <w:rFonts w:hint="eastAsia" w:ascii="方正楷体_GBK" w:eastAsia="方正楷体_GBK"/>
          <w:szCs w:val="32"/>
        </w:rPr>
        <w:t>（</w:t>
      </w:r>
      <w:r>
        <w:rPr>
          <w:rFonts w:ascii="方正楷体_GBK" w:eastAsia="方正楷体_GBK"/>
          <w:szCs w:val="32"/>
        </w:rPr>
        <w:t>八</w:t>
      </w:r>
      <w:r>
        <w:rPr>
          <w:rFonts w:hint="eastAsia" w:ascii="方正楷体_GBK" w:eastAsia="方正楷体_GBK"/>
          <w:szCs w:val="32"/>
        </w:rPr>
        <w:t>）加强法治能力建设</w:t>
      </w:r>
    </w:p>
    <w:p>
      <w:pPr>
        <w:pStyle w:val="2"/>
        <w:spacing w:line="560" w:lineRule="exact"/>
        <w:ind w:firstLine="630"/>
        <w:rPr>
          <w:bCs/>
          <w:snapToGrid w:val="0"/>
          <w:kern w:val="0"/>
          <w:szCs w:val="32"/>
        </w:rPr>
      </w:pPr>
      <w:r>
        <w:rPr>
          <w:rFonts w:hint="eastAsia"/>
          <w:szCs w:val="32"/>
        </w:rPr>
        <w:t>坚持重视法治素养和法治能力的用人导向，推进法治工作人才队伍建设。</w:t>
      </w:r>
      <w:r>
        <w:rPr>
          <w:rFonts w:ascii="Arial Narrow" w:hAnsi="Arial Narrow" w:cs="Arial Narrow"/>
          <w:szCs w:val="32"/>
        </w:rPr>
        <w:t>利用审计大讲坛、审计现场临时党小组学习等机会组织干部职工学习《重庆市审计条例》《重庆市审计机关行政处罚裁量基准》《中华人民共和国行政复议法》等领导干部应知应会党内法规和国家法律清单内容</w:t>
      </w:r>
      <w:r>
        <w:rPr>
          <w:rFonts w:ascii="Times New Roman" w:hAnsi="Times New Roman"/>
          <w:kern w:val="0"/>
          <w:szCs w:val="32"/>
          <w:lang w:bidi="ar"/>
        </w:rPr>
        <w:t>10</w:t>
      </w:r>
      <w:r>
        <w:rPr>
          <w:rFonts w:ascii="Arial Narrow" w:hAnsi="Arial Narrow" w:cs="Arial Narrow"/>
          <w:szCs w:val="32"/>
        </w:rPr>
        <w:t>余次</w:t>
      </w:r>
      <w:r>
        <w:rPr>
          <w:rFonts w:hint="eastAsia" w:ascii="Arial Narrow" w:hAnsi="Arial Narrow" w:cs="Arial Narrow"/>
          <w:szCs w:val="32"/>
        </w:rPr>
        <w:t>；</w:t>
      </w:r>
      <w:r>
        <w:rPr>
          <w:rFonts w:ascii="Arial Narrow" w:hAnsi="Arial Narrow" w:cs="Arial Narrow"/>
          <w:szCs w:val="32"/>
        </w:rPr>
        <w:t>组织</w:t>
      </w:r>
      <w:r>
        <w:rPr>
          <w:rFonts w:ascii="Times New Roman" w:hAnsi="Times New Roman"/>
          <w:kern w:val="0"/>
          <w:szCs w:val="32"/>
          <w:lang w:bidi="ar"/>
        </w:rPr>
        <w:t>34</w:t>
      </w:r>
      <w:r>
        <w:rPr>
          <w:rFonts w:ascii="Arial Narrow" w:hAnsi="Arial Narrow" w:cs="Arial Narrow"/>
          <w:szCs w:val="32"/>
        </w:rPr>
        <w:t>名干部职工参加法治理论知识考试和旁听庭审，全员通过考试；组织</w:t>
      </w:r>
      <w:r>
        <w:rPr>
          <w:rFonts w:ascii="Times New Roman" w:hAnsi="Times New Roman"/>
          <w:kern w:val="0"/>
          <w:szCs w:val="32"/>
          <w:lang w:bidi="ar"/>
        </w:rPr>
        <w:t>31</w:t>
      </w:r>
      <w:r>
        <w:rPr>
          <w:rFonts w:ascii="Arial Narrow" w:hAnsi="Arial Narrow" w:cs="Arial Narrow"/>
          <w:szCs w:val="32"/>
        </w:rPr>
        <w:t>名执法人员参加</w:t>
      </w:r>
      <w:r>
        <w:rPr>
          <w:rFonts w:ascii="Times New Roman" w:hAnsi="Times New Roman"/>
          <w:kern w:val="0"/>
          <w:szCs w:val="32"/>
          <w:lang w:bidi="ar"/>
        </w:rPr>
        <w:t>2024</w:t>
      </w:r>
      <w:r>
        <w:rPr>
          <w:rFonts w:ascii="Arial Narrow" w:hAnsi="Arial Narrow" w:cs="Arial Narrow"/>
          <w:szCs w:val="32"/>
        </w:rPr>
        <w:t>年度行政执法人员培训，全员培训合格。</w:t>
      </w:r>
      <w:r>
        <w:rPr>
          <w:rFonts w:hint="eastAsia" w:ascii="Times New Roman" w:hAnsi="Times New Roman"/>
          <w:szCs w:val="32"/>
        </w:rPr>
        <w:t>抽派</w:t>
      </w:r>
      <w:r>
        <w:rPr>
          <w:rFonts w:ascii="Times New Roman" w:hAnsi="Times New Roman"/>
          <w:kern w:val="0"/>
          <w:szCs w:val="32"/>
          <w:lang w:bidi="ar"/>
        </w:rPr>
        <w:t>6</w:t>
      </w:r>
      <w:r>
        <w:rPr>
          <w:rFonts w:hint="eastAsia" w:ascii="Times New Roman" w:hAnsi="Times New Roman"/>
          <w:szCs w:val="32"/>
        </w:rPr>
        <w:t>名同志到市政府办公厅、市审计局挂职锻炼。分别选派</w:t>
      </w:r>
      <w:r>
        <w:rPr>
          <w:rFonts w:ascii="Times New Roman" w:hAnsi="Times New Roman"/>
          <w:kern w:val="0"/>
          <w:szCs w:val="32"/>
          <w:lang w:bidi="ar"/>
        </w:rPr>
        <w:t>3</w:t>
      </w:r>
      <w:r>
        <w:rPr>
          <w:rFonts w:hint="eastAsia" w:ascii="Times New Roman" w:hAnsi="Times New Roman"/>
          <w:szCs w:val="32"/>
        </w:rPr>
        <w:t>名同志参加审计署计算机中级培训及市局技能挑战赛，</w:t>
      </w:r>
      <w:r>
        <w:rPr>
          <w:rFonts w:ascii="Times New Roman" w:hAnsi="Times New Roman"/>
          <w:kern w:val="0"/>
          <w:szCs w:val="32"/>
          <w:lang w:bidi="ar"/>
        </w:rPr>
        <w:t>1</w:t>
      </w:r>
      <w:r>
        <w:rPr>
          <w:rFonts w:hint="eastAsia" w:ascii="Times New Roman" w:hAnsi="Times New Roman"/>
          <w:szCs w:val="32"/>
        </w:rPr>
        <w:t>名青年干部在全市技能挑战赛中</w:t>
      </w:r>
      <w:r>
        <w:rPr>
          <w:rFonts w:hint="eastAsia"/>
          <w:color w:val="000000"/>
          <w:szCs w:val="32"/>
        </w:rPr>
        <w:t>获优</w:t>
      </w:r>
      <w:r>
        <w:rPr>
          <w:rFonts w:hint="eastAsia" w:ascii="Times New Roman" w:hAnsi="Times New Roman"/>
          <w:szCs w:val="32"/>
        </w:rPr>
        <w:t>胜奖。</w:t>
      </w:r>
    </w:p>
    <w:p>
      <w:pPr>
        <w:spacing w:line="560" w:lineRule="exact"/>
        <w:ind w:firstLine="632" w:firstLineChars="200"/>
        <w:rPr>
          <w:bCs/>
        </w:rPr>
      </w:pPr>
      <w:r>
        <w:rPr>
          <w:rFonts w:hint="eastAsia" w:eastAsia="方正黑体_GBK"/>
          <w:bCs/>
          <w:snapToGrid w:val="0"/>
          <w:kern w:val="0"/>
          <w:szCs w:val="32"/>
        </w:rPr>
        <w:t>二</w:t>
      </w:r>
      <w:r>
        <w:rPr>
          <w:rFonts w:eastAsia="方正黑体_GBK"/>
          <w:bCs/>
          <w:snapToGrid w:val="0"/>
          <w:kern w:val="0"/>
          <w:szCs w:val="32"/>
        </w:rPr>
        <w:t>、</w:t>
      </w:r>
      <w:r>
        <w:rPr>
          <w:rFonts w:hint="eastAsia" w:eastAsia="方正黑体_GBK"/>
          <w:bCs/>
          <w:snapToGrid w:val="0"/>
          <w:kern w:val="0"/>
          <w:szCs w:val="32"/>
        </w:rPr>
        <w:t>202</w:t>
      </w:r>
      <w:r>
        <w:rPr>
          <w:rFonts w:eastAsia="方正黑体_GBK"/>
          <w:bCs/>
          <w:snapToGrid w:val="0"/>
          <w:kern w:val="0"/>
          <w:szCs w:val="32"/>
          <w:lang w:val="en"/>
        </w:rPr>
        <w:t>4</w:t>
      </w:r>
      <w:r>
        <w:rPr>
          <w:rFonts w:hint="eastAsia" w:eastAsia="方正黑体_GBK"/>
          <w:bCs/>
          <w:snapToGrid w:val="0"/>
          <w:kern w:val="0"/>
          <w:szCs w:val="32"/>
        </w:rPr>
        <w:t>年党政主要负责人履行推进法治建设第一责任人责任，加强法治政府建设的有关情况</w:t>
      </w:r>
    </w:p>
    <w:p>
      <w:pPr>
        <w:pStyle w:val="2"/>
        <w:spacing w:line="560" w:lineRule="exact"/>
        <w:ind w:firstLine="630"/>
        <w:rPr>
          <w:rFonts w:ascii="Times New Roman" w:hAnsi="Times New Roman"/>
          <w:bCs/>
          <w:szCs w:val="24"/>
        </w:rPr>
      </w:pPr>
      <w:r>
        <w:rPr>
          <w:rFonts w:hint="eastAsia" w:ascii="Times New Roman" w:hAnsi="Times New Roman"/>
          <w:bCs/>
          <w:szCs w:val="24"/>
        </w:rPr>
        <w:t>我</w:t>
      </w:r>
      <w:r>
        <w:rPr>
          <w:rFonts w:ascii="Times New Roman" w:hAnsi="Times New Roman"/>
          <w:bCs/>
          <w:szCs w:val="24"/>
        </w:rPr>
        <w:t>局</w:t>
      </w:r>
      <w:r>
        <w:rPr>
          <w:rFonts w:hint="eastAsia" w:ascii="Times New Roman" w:hAnsi="Times New Roman"/>
          <w:szCs w:val="24"/>
        </w:rPr>
        <w:t>主要负责人深刻认识并切实担负推进法治建设第一责任人职责，坚持把法治建设作为事关全局的重要工作，将法治建设纳入部门发展总体规划和年度工作计划，对法治建设重要工作亲自部署、重大问题亲自过问、重点环节亲自协调、重要任务亲自督办，带头尊法学法守法用法</w:t>
      </w:r>
      <w:r>
        <w:rPr>
          <w:rFonts w:ascii="Times New Roman" w:hAnsi="Times New Roman"/>
          <w:bCs/>
          <w:szCs w:val="24"/>
        </w:rPr>
        <w:t>，谋深做实审计法治工作，确保审计工作正确政治方向。</w:t>
      </w:r>
    </w:p>
    <w:p>
      <w:pPr>
        <w:pStyle w:val="2"/>
        <w:spacing w:line="560" w:lineRule="exact"/>
        <w:ind w:firstLine="630"/>
        <w:rPr>
          <w:rFonts w:ascii="Times New Roman" w:hAnsi="Times New Roman"/>
          <w:bCs/>
          <w:szCs w:val="24"/>
        </w:rPr>
      </w:pPr>
      <w:r>
        <w:rPr>
          <w:rFonts w:hint="eastAsia" w:ascii="方正楷体_GBK" w:eastAsia="方正楷体_GBK"/>
          <w:szCs w:val="32"/>
        </w:rPr>
        <w:t>一是带头</w:t>
      </w:r>
      <w:r>
        <w:rPr>
          <w:rFonts w:ascii="方正楷体_GBK" w:eastAsia="方正楷体_GBK"/>
          <w:szCs w:val="32"/>
        </w:rPr>
        <w:t>深入学习贯彻习近平法治思想</w:t>
      </w:r>
      <w:r>
        <w:rPr>
          <w:rFonts w:hint="eastAsia" w:ascii="方正楷体_GBK" w:eastAsia="方正楷体_GBK"/>
          <w:szCs w:val="32"/>
        </w:rPr>
        <w:t>。</w:t>
      </w:r>
      <w:r>
        <w:rPr>
          <w:rFonts w:ascii="Times New Roman" w:hAnsi="Times New Roman"/>
          <w:bCs/>
          <w:szCs w:val="24"/>
        </w:rPr>
        <w:t>及时传达学习习近平总书记在党的二十届</w:t>
      </w:r>
      <w:r>
        <w:rPr>
          <w:rFonts w:hint="eastAsia" w:ascii="Times New Roman" w:hAnsi="Times New Roman"/>
          <w:bCs/>
          <w:szCs w:val="24"/>
        </w:rPr>
        <w:t>二中、三中全会</w:t>
      </w:r>
      <w:r>
        <w:rPr>
          <w:rFonts w:ascii="Times New Roman" w:hAnsi="Times New Roman"/>
          <w:bCs/>
          <w:szCs w:val="24"/>
        </w:rPr>
        <w:t>上的重要讲话精神，局党组理论学习中心组安排</w:t>
      </w:r>
      <w:r>
        <w:rPr>
          <w:rFonts w:ascii="Times New Roman" w:hAnsi="Times New Roman"/>
          <w:kern w:val="0"/>
          <w:szCs w:val="32"/>
          <w:lang w:bidi="ar"/>
        </w:rPr>
        <w:t>8</w:t>
      </w:r>
      <w:r>
        <w:rPr>
          <w:rFonts w:ascii="Times New Roman" w:hAnsi="Times New Roman"/>
          <w:bCs/>
          <w:szCs w:val="24"/>
        </w:rPr>
        <w:t>次法治专题学习，</w:t>
      </w:r>
      <w:r>
        <w:rPr>
          <w:rFonts w:hint="eastAsia" w:ascii="Times New Roman" w:hAnsi="Times New Roman"/>
          <w:bCs/>
          <w:szCs w:val="24"/>
        </w:rPr>
        <w:t>深刻领会</w:t>
      </w:r>
      <w:r>
        <w:rPr>
          <w:rFonts w:ascii="Times New Roman" w:hAnsi="Times New Roman"/>
          <w:bCs/>
          <w:szCs w:val="24"/>
        </w:rPr>
        <w:t>习近平法治思想</w:t>
      </w:r>
      <w:r>
        <w:rPr>
          <w:rFonts w:hint="eastAsia" w:ascii="Times New Roman" w:hAnsi="Times New Roman"/>
          <w:bCs/>
          <w:szCs w:val="24"/>
        </w:rPr>
        <w:t>和</w:t>
      </w:r>
      <w:r>
        <w:rPr>
          <w:rFonts w:ascii="Times New Roman" w:hAnsi="Times New Roman"/>
          <w:bCs/>
          <w:szCs w:val="24"/>
        </w:rPr>
        <w:t>重要党内法规制度</w:t>
      </w:r>
      <w:r>
        <w:rPr>
          <w:rFonts w:hint="eastAsia" w:ascii="Times New Roman" w:hAnsi="Times New Roman"/>
          <w:bCs/>
          <w:szCs w:val="24"/>
        </w:rPr>
        <w:t>。</w:t>
      </w:r>
      <w:r>
        <w:rPr>
          <w:rFonts w:ascii="Times New Roman" w:hAnsi="Times New Roman"/>
          <w:kern w:val="0"/>
          <w:szCs w:val="32"/>
          <w:lang w:bidi="ar"/>
        </w:rPr>
        <w:t>2024</w:t>
      </w:r>
      <w:r>
        <w:rPr>
          <w:rFonts w:hint="eastAsia" w:ascii="Times New Roman" w:hAnsi="Times New Roman"/>
          <w:kern w:val="0"/>
          <w:szCs w:val="32"/>
        </w:rPr>
        <w:t>年，赴区医保局开展</w:t>
      </w:r>
      <w:r>
        <w:rPr>
          <w:rFonts w:ascii="Times New Roman" w:hAnsi="Times New Roman"/>
          <w:bCs/>
          <w:szCs w:val="24"/>
        </w:rPr>
        <w:t>党的</w:t>
      </w:r>
      <w:r>
        <w:rPr>
          <w:rFonts w:ascii="Times New Roman" w:hAnsi="Times New Roman"/>
          <w:szCs w:val="32"/>
        </w:rPr>
        <w:t>二十</w:t>
      </w:r>
      <w:r>
        <w:rPr>
          <w:rFonts w:hint="eastAsia" w:ascii="Times New Roman" w:hAnsi="Times New Roman"/>
          <w:szCs w:val="32"/>
        </w:rPr>
        <w:t>届三中全会</w:t>
      </w:r>
      <w:r>
        <w:rPr>
          <w:rFonts w:ascii="Times New Roman" w:hAnsi="Times New Roman"/>
          <w:szCs w:val="32"/>
        </w:rPr>
        <w:t>精神专题宣讲</w:t>
      </w:r>
      <w:r>
        <w:rPr>
          <w:rFonts w:ascii="Times New Roman" w:hAnsi="Times New Roman"/>
          <w:bCs/>
          <w:szCs w:val="24"/>
        </w:rPr>
        <w:t>。</w:t>
      </w:r>
    </w:p>
    <w:p>
      <w:pPr>
        <w:pStyle w:val="2"/>
        <w:spacing w:line="560" w:lineRule="exact"/>
        <w:ind w:firstLine="630"/>
        <w:rPr>
          <w:rFonts w:ascii="Times New Roman" w:hAnsi="Times New Roman"/>
          <w:bCs/>
          <w:szCs w:val="24"/>
        </w:rPr>
      </w:pPr>
      <w:r>
        <w:rPr>
          <w:rFonts w:hint="eastAsia" w:ascii="方正楷体_GBK" w:eastAsia="方正楷体_GBK"/>
          <w:szCs w:val="32"/>
        </w:rPr>
        <w:t>二是坚持</w:t>
      </w:r>
      <w:r>
        <w:rPr>
          <w:rFonts w:ascii="方正楷体_GBK" w:eastAsia="方正楷体_GBK"/>
          <w:szCs w:val="32"/>
        </w:rPr>
        <w:t>请示报告。</w:t>
      </w:r>
      <w:r>
        <w:rPr>
          <w:rFonts w:ascii="Arial Narrow" w:hAnsi="Arial Narrow" w:cs="Arial Narrow"/>
          <w:szCs w:val="32"/>
        </w:rPr>
        <w:t>充分发挥区委审计委员会办公室作用，</w:t>
      </w:r>
      <w:r>
        <w:rPr>
          <w:rFonts w:hint="eastAsia" w:ascii="Arial Narrow" w:hAnsi="Arial Narrow" w:cs="Arial Narrow"/>
          <w:szCs w:val="32"/>
        </w:rPr>
        <w:t>促进法治建设与中心工作、部门工作相结合。</w:t>
      </w:r>
      <w:r>
        <w:rPr>
          <w:rFonts w:ascii="Arial Narrow" w:hAnsi="Arial Narrow" w:cs="Arial Narrow"/>
          <w:szCs w:val="32"/>
        </w:rPr>
        <w:t>全年提请专题召开区委审计委员会全体会议</w:t>
      </w:r>
      <w:r>
        <w:rPr>
          <w:rFonts w:ascii="Times New Roman" w:hAnsi="Times New Roman"/>
          <w:kern w:val="0"/>
          <w:szCs w:val="32"/>
          <w:lang w:bidi="ar"/>
        </w:rPr>
        <w:t>2</w:t>
      </w:r>
      <w:r>
        <w:rPr>
          <w:rFonts w:ascii="Arial Narrow" w:hAnsi="Arial Narrow" w:cs="Arial Narrow"/>
          <w:szCs w:val="32"/>
        </w:rPr>
        <w:t>次，向区委审计委请示报告重大事项</w:t>
      </w:r>
      <w:r>
        <w:rPr>
          <w:rFonts w:ascii="Times New Roman" w:hAnsi="Times New Roman"/>
          <w:kern w:val="0"/>
          <w:szCs w:val="32"/>
          <w:lang w:bidi="ar"/>
        </w:rPr>
        <w:t>16</w:t>
      </w:r>
      <w:r>
        <w:rPr>
          <w:rFonts w:ascii="Arial Narrow" w:hAnsi="Arial Narrow" w:cs="Arial Narrow"/>
          <w:szCs w:val="32"/>
        </w:rPr>
        <w:t>次，审计报告、审计专报、审计问题清单获区委审计委主要领导签批</w:t>
      </w:r>
      <w:r>
        <w:rPr>
          <w:rFonts w:ascii="Times New Roman" w:hAnsi="Times New Roman"/>
          <w:kern w:val="0"/>
          <w:szCs w:val="32"/>
          <w:lang w:bidi="ar"/>
        </w:rPr>
        <w:t>37</w:t>
      </w:r>
      <w:r>
        <w:rPr>
          <w:rFonts w:ascii="Arial Narrow" w:hAnsi="Arial Narrow" w:cs="Arial Narrow"/>
          <w:szCs w:val="32"/>
        </w:rPr>
        <w:t>篇次。。</w:t>
      </w:r>
    </w:p>
    <w:p>
      <w:pPr>
        <w:pStyle w:val="2"/>
        <w:spacing w:line="560" w:lineRule="exact"/>
        <w:ind w:firstLine="630"/>
        <w:rPr>
          <w:szCs w:val="32"/>
        </w:rPr>
      </w:pPr>
      <w:r>
        <w:rPr>
          <w:rFonts w:hint="eastAsia" w:ascii="方正楷体_GBK" w:eastAsia="方正楷体_GBK"/>
          <w:szCs w:val="32"/>
        </w:rPr>
        <w:t>三是带领领导班子依法依规决策。</w:t>
      </w:r>
      <w:r>
        <w:rPr>
          <w:rFonts w:hint="eastAsia"/>
          <w:szCs w:val="32"/>
        </w:rPr>
        <w:t>充分发挥局党组在推进法治建设中的领导作用，</w:t>
      </w:r>
      <w:r>
        <w:rPr>
          <w:rFonts w:ascii="Times New Roman" w:hAnsi="Times New Roman"/>
          <w:bCs/>
          <w:szCs w:val="24"/>
        </w:rPr>
        <w:t>坚持将法治建设工作纳入党组重要议事日程</w:t>
      </w:r>
      <w:r>
        <w:rPr>
          <w:rFonts w:hint="eastAsia" w:ascii="Times New Roman" w:hAnsi="Times New Roman"/>
          <w:bCs/>
          <w:szCs w:val="24"/>
        </w:rPr>
        <w:t>。</w:t>
      </w:r>
      <w:r>
        <w:rPr>
          <w:rFonts w:ascii="Times New Roman" w:hAnsi="Times New Roman"/>
          <w:kern w:val="0"/>
          <w:szCs w:val="32"/>
          <w:lang w:bidi="ar"/>
        </w:rPr>
        <w:t>2024</w:t>
      </w:r>
      <w:r>
        <w:rPr>
          <w:rFonts w:hint="eastAsia"/>
          <w:szCs w:val="32"/>
        </w:rPr>
        <w:t>年，我局“三重一大”事项全部提交局党组集体决策、依法决策，</w:t>
      </w:r>
      <w:r>
        <w:rPr>
          <w:rFonts w:ascii="Times New Roman" w:hAnsi="Times New Roman"/>
          <w:bCs/>
          <w:szCs w:val="24"/>
        </w:rPr>
        <w:t>全年主持召开局党组会</w:t>
      </w:r>
      <w:r>
        <w:rPr>
          <w:rFonts w:ascii="Times New Roman" w:hAnsi="Times New Roman"/>
          <w:kern w:val="0"/>
          <w:szCs w:val="32"/>
          <w:lang w:bidi="ar"/>
        </w:rPr>
        <w:t>33</w:t>
      </w:r>
      <w:r>
        <w:rPr>
          <w:rFonts w:hint="eastAsia" w:ascii="Times New Roman" w:hAnsi="Times New Roman"/>
          <w:bCs/>
          <w:szCs w:val="24"/>
        </w:rPr>
        <w:t>次</w:t>
      </w:r>
      <w:r>
        <w:rPr>
          <w:rFonts w:ascii="Times New Roman" w:hAnsi="Times New Roman"/>
          <w:bCs/>
          <w:szCs w:val="24"/>
        </w:rPr>
        <w:t>、局长办公会</w:t>
      </w:r>
      <w:r>
        <w:rPr>
          <w:rFonts w:ascii="Times New Roman" w:hAnsi="Times New Roman"/>
          <w:kern w:val="0"/>
          <w:szCs w:val="32"/>
          <w:lang w:bidi="ar"/>
        </w:rPr>
        <w:t>15</w:t>
      </w:r>
      <w:r>
        <w:rPr>
          <w:rFonts w:ascii="Times New Roman" w:hAnsi="Times New Roman"/>
          <w:bCs/>
          <w:szCs w:val="24"/>
        </w:rPr>
        <w:t>次，研究制定年度法治工作要点，定期听取法治建设工作情况汇报，研究审议重大法治事项，</w:t>
      </w:r>
      <w:r>
        <w:rPr>
          <w:rFonts w:hint="eastAsia"/>
          <w:szCs w:val="32"/>
        </w:rPr>
        <w:t>如聘请法律顾问事项等，</w:t>
      </w:r>
      <w:r>
        <w:rPr>
          <w:rFonts w:ascii="Times New Roman" w:hAnsi="Times New Roman"/>
          <w:bCs/>
          <w:szCs w:val="24"/>
        </w:rPr>
        <w:t>抓好法治建设工作落实。</w:t>
      </w:r>
    </w:p>
    <w:p>
      <w:pPr>
        <w:spacing w:line="560" w:lineRule="exact"/>
        <w:ind w:firstLine="632" w:firstLineChars="200"/>
        <w:rPr>
          <w:szCs w:val="32"/>
        </w:rPr>
      </w:pPr>
      <w:r>
        <w:rPr>
          <w:rFonts w:hint="eastAsia" w:ascii="方正楷体_GBK" w:hAnsi="方正黑体_GBK" w:eastAsia="方正楷体_GBK"/>
          <w:szCs w:val="32"/>
        </w:rPr>
        <w:t>四是全面压实法治工作责任。</w:t>
      </w:r>
      <w:r>
        <w:rPr>
          <w:szCs w:val="32"/>
        </w:rPr>
        <w:t>认真履行第一责任人责任，</w:t>
      </w:r>
      <w:r>
        <w:rPr>
          <w:rFonts w:hint="eastAsia" w:ascii="方正仿宋_GBK" w:hAnsi="方正仿宋_GBK" w:cs="方正仿宋_GBK"/>
          <w:szCs w:val="32"/>
        </w:rPr>
        <w:t>定期</w:t>
      </w:r>
      <w:r>
        <w:rPr>
          <w:rFonts w:hint="eastAsia"/>
          <w:szCs w:val="32"/>
        </w:rPr>
        <w:t>研</w:t>
      </w:r>
      <w:r>
        <w:rPr>
          <w:rFonts w:hint="eastAsia" w:ascii="方正仿宋_GBK" w:hAnsi="方正仿宋_GBK" w:cs="方正仿宋_GBK"/>
          <w:szCs w:val="32"/>
        </w:rPr>
        <w:t>判分析“两个责任”及安全保密等工作落实情况，</w:t>
      </w:r>
      <w:r>
        <w:rPr>
          <w:szCs w:val="32"/>
        </w:rPr>
        <w:t>分级全覆盖签订落实党风廉政建设责任书</w:t>
      </w:r>
      <w:r>
        <w:rPr>
          <w:rFonts w:hint="eastAsia"/>
          <w:szCs w:val="32"/>
        </w:rPr>
        <w:t>、</w:t>
      </w:r>
      <w:r>
        <w:rPr>
          <w:szCs w:val="32"/>
        </w:rPr>
        <w:t>意识形态工作责任制责任书、安全保密责任书</w:t>
      </w:r>
      <w:r>
        <w:rPr>
          <w:kern w:val="0"/>
          <w:szCs w:val="32"/>
          <w:lang w:bidi="ar"/>
        </w:rPr>
        <w:t>34</w:t>
      </w:r>
      <w:r>
        <w:rPr>
          <w:szCs w:val="32"/>
        </w:rPr>
        <w:t>份。</w:t>
      </w:r>
      <w:r>
        <w:rPr>
          <w:rFonts w:hint="eastAsia" w:ascii="方正仿宋_GBK" w:hAnsi="方正仿宋_GBK" w:cs="方正仿宋_GBK"/>
          <w:szCs w:val="32"/>
        </w:rPr>
        <w:t>常态化开展典型案例警示教育及日常廉政谈话，</w:t>
      </w:r>
      <w:r>
        <w:rPr>
          <w:rFonts w:hint="eastAsia"/>
          <w:szCs w:val="32"/>
        </w:rPr>
        <w:t>统筹推进干部作风专项整治行动和纪律作风问题专项整治工作，深入自查自纠，</w:t>
      </w:r>
      <w:r>
        <w:rPr>
          <w:szCs w:val="32"/>
          <w:shd w:val="clear" w:color="auto" w:fill="FFFFFF"/>
        </w:rPr>
        <w:t>切实做到以案促</w:t>
      </w:r>
      <w:r>
        <w:rPr>
          <w:rFonts w:hint="eastAsia" w:ascii="方正仿宋_GBK"/>
          <w:szCs w:val="32"/>
          <w:shd w:val="clear" w:color="auto" w:fill="FFFFFF"/>
        </w:rPr>
        <w:t>审、以案促治</w:t>
      </w:r>
      <w:r>
        <w:rPr>
          <w:rFonts w:hint="eastAsia"/>
          <w:szCs w:val="32"/>
        </w:rPr>
        <w:t>。</w:t>
      </w:r>
      <w:r>
        <w:rPr>
          <w:kern w:val="0"/>
          <w:szCs w:val="32"/>
          <w:lang w:bidi="ar"/>
        </w:rPr>
        <w:t>2024</w:t>
      </w:r>
      <w:r>
        <w:rPr>
          <w:rFonts w:hint="eastAsia"/>
          <w:szCs w:val="32"/>
        </w:rPr>
        <w:t>年，我局未发生行政诉讼和行政复议案件。</w:t>
      </w:r>
    </w:p>
    <w:p>
      <w:pPr>
        <w:spacing w:line="560" w:lineRule="exact"/>
        <w:ind w:firstLine="632" w:firstLineChars="200"/>
        <w:rPr>
          <w:rFonts w:eastAsia="方正黑体_GBK"/>
          <w:bCs/>
          <w:szCs w:val="32"/>
        </w:rPr>
      </w:pPr>
      <w:r>
        <w:rPr>
          <w:rFonts w:hint="eastAsia" w:eastAsia="方正黑体_GBK"/>
          <w:bCs/>
          <w:szCs w:val="32"/>
        </w:rPr>
        <w:t>三、</w:t>
      </w:r>
      <w:r>
        <w:rPr>
          <w:rFonts w:eastAsia="方正黑体_GBK"/>
          <w:bCs/>
          <w:szCs w:val="32"/>
        </w:rPr>
        <w:t>202</w:t>
      </w:r>
      <w:r>
        <w:rPr>
          <w:rFonts w:hint="eastAsia" w:eastAsia="方正黑体_GBK"/>
          <w:bCs/>
          <w:szCs w:val="32"/>
        </w:rPr>
        <w:t>4年推进法治政府建设存在的不足和原因</w:t>
      </w:r>
    </w:p>
    <w:p>
      <w:pPr>
        <w:spacing w:line="560" w:lineRule="exact"/>
        <w:ind w:firstLine="632" w:firstLineChars="200"/>
        <w:rPr>
          <w:color w:val="000000"/>
        </w:rPr>
      </w:pPr>
      <w:r>
        <w:rPr>
          <w:kern w:val="0"/>
          <w:szCs w:val="32"/>
          <w:lang w:bidi="ar"/>
        </w:rPr>
        <w:t>2024</w:t>
      </w:r>
      <w:r>
        <w:rPr>
          <w:rFonts w:hint="eastAsia"/>
          <w:color w:val="000000"/>
        </w:rPr>
        <w:t>年，我局法治建设工作虽然取得了一些成绩，但还存在一些差距和不足：</w:t>
      </w:r>
    </w:p>
    <w:p>
      <w:pPr>
        <w:spacing w:line="560" w:lineRule="exact"/>
        <w:ind w:firstLine="632" w:firstLineChars="200"/>
        <w:rPr>
          <w:rFonts w:cs="方正仿宋_GBK"/>
          <w:color w:val="000000"/>
        </w:rPr>
      </w:pPr>
      <w:r>
        <w:rPr>
          <w:rFonts w:hint="eastAsia" w:ascii="方正楷体_GBK" w:hAnsi="方正黑体_GBK" w:eastAsia="方正楷体_GBK"/>
          <w:szCs w:val="32"/>
        </w:rPr>
        <w:t>一是普法实效需进一步拓展。</w:t>
      </w:r>
      <w:r>
        <w:rPr>
          <w:rFonts w:hint="eastAsia"/>
          <w:szCs w:val="32"/>
        </w:rPr>
        <w:t>普法宣传方式多采取集中授课等方式，在</w:t>
      </w:r>
      <w:r>
        <w:rPr>
          <w:rFonts w:hint="eastAsia"/>
          <w:color w:val="000000"/>
        </w:rPr>
        <w:t>推动习近平法治思想进农村、进社区、进机关、进企业、进校园、进网络等方面，与审计项目的有机结合还有待加强</w:t>
      </w:r>
      <w:r>
        <w:rPr>
          <w:rFonts w:hint="eastAsia" w:cs="方正仿宋_GBK"/>
          <w:color w:val="000000"/>
        </w:rPr>
        <w:t>。</w:t>
      </w:r>
    </w:p>
    <w:p>
      <w:pPr>
        <w:spacing w:line="560" w:lineRule="exact"/>
        <w:ind w:firstLine="632" w:firstLineChars="200"/>
        <w:rPr>
          <w:szCs w:val="32"/>
        </w:rPr>
      </w:pPr>
      <w:r>
        <w:rPr>
          <w:rFonts w:hint="eastAsia" w:eastAsia="方正楷体_GBK"/>
          <w:szCs w:val="32"/>
        </w:rPr>
        <w:t>二是行政执法能力需进一步提升。</w:t>
      </w:r>
      <w:r>
        <w:rPr>
          <w:rFonts w:hint="eastAsia"/>
          <w:szCs w:val="32"/>
        </w:rPr>
        <w:t>部分审计人员法治理论学习深度和广度还不够，对新出台、新修订的法律法规政策不能及时、准确把握，政治站位不够高，看待问题不够全面，审计项目反映的问题还不够深刻，</w:t>
      </w:r>
      <w:r>
        <w:rPr>
          <w:szCs w:val="32"/>
        </w:rPr>
        <w:t>揭示问题、规范管理、促进改革</w:t>
      </w:r>
      <w:r>
        <w:rPr>
          <w:rFonts w:hint="eastAsia"/>
          <w:szCs w:val="32"/>
        </w:rPr>
        <w:t>的能力还需要</w:t>
      </w:r>
      <w:r>
        <w:rPr>
          <w:szCs w:val="32"/>
        </w:rPr>
        <w:t>全面提升</w:t>
      </w:r>
      <w:r>
        <w:rPr>
          <w:rFonts w:hint="eastAsia"/>
          <w:szCs w:val="32"/>
        </w:rPr>
        <w:t>。</w:t>
      </w:r>
    </w:p>
    <w:p>
      <w:pPr>
        <w:spacing w:line="560" w:lineRule="exact"/>
        <w:ind w:firstLine="632" w:firstLineChars="200"/>
        <w:rPr>
          <w:szCs w:val="32"/>
        </w:rPr>
      </w:pPr>
      <w:r>
        <w:rPr>
          <w:rFonts w:hint="eastAsia" w:eastAsia="方正楷体_GBK"/>
          <w:szCs w:val="32"/>
        </w:rPr>
        <w:t>三是</w:t>
      </w:r>
      <w:r>
        <w:rPr>
          <w:rFonts w:eastAsia="方正楷体_GBK"/>
          <w:szCs w:val="32"/>
        </w:rPr>
        <w:t>贯通协同监督</w:t>
      </w:r>
      <w:r>
        <w:rPr>
          <w:rFonts w:hint="eastAsia" w:eastAsia="方正楷体_GBK"/>
          <w:szCs w:val="32"/>
        </w:rPr>
        <w:t>需</w:t>
      </w:r>
      <w:r>
        <w:rPr>
          <w:rFonts w:eastAsia="方正楷体_GBK"/>
          <w:szCs w:val="32"/>
        </w:rPr>
        <w:t>进一步深化</w:t>
      </w:r>
      <w:r>
        <w:rPr>
          <w:rFonts w:hint="eastAsia" w:eastAsia="方正楷体_GBK"/>
          <w:szCs w:val="32"/>
        </w:rPr>
        <w:t>。</w:t>
      </w:r>
      <w:r>
        <w:rPr>
          <w:rFonts w:hint="eastAsia"/>
          <w:szCs w:val="32"/>
        </w:rPr>
        <w:t>“</w:t>
      </w:r>
      <w:r>
        <w:rPr>
          <w:szCs w:val="32"/>
        </w:rPr>
        <w:t>纪巡审</w:t>
      </w:r>
      <w:r>
        <w:rPr>
          <w:rFonts w:hint="eastAsia"/>
          <w:szCs w:val="32"/>
        </w:rPr>
        <w:t>”</w:t>
      </w:r>
      <w:r>
        <w:rPr>
          <w:szCs w:val="32"/>
        </w:rPr>
        <w:t>联动协作有待进一步加强</w:t>
      </w:r>
      <w:r>
        <w:rPr>
          <w:rFonts w:hint="eastAsia"/>
          <w:szCs w:val="32"/>
        </w:rPr>
        <w:t>，</w:t>
      </w:r>
      <w:r>
        <w:rPr>
          <w:szCs w:val="32"/>
        </w:rPr>
        <w:t>贯通协作成果的总结提炼还不够具象，改革成果有待进一步</w:t>
      </w:r>
      <w:r>
        <w:rPr>
          <w:rFonts w:hint="eastAsia"/>
          <w:szCs w:val="32"/>
        </w:rPr>
        <w:t>挖</w:t>
      </w:r>
      <w:r>
        <w:rPr>
          <w:szCs w:val="32"/>
        </w:rPr>
        <w:t>掘。与其他监督的联动协作有待进一步破题</w:t>
      </w:r>
      <w:r>
        <w:rPr>
          <w:rFonts w:hint="eastAsia"/>
          <w:szCs w:val="32"/>
        </w:rPr>
        <w:t>。</w:t>
      </w:r>
      <w:r>
        <w:rPr>
          <w:szCs w:val="32"/>
        </w:rPr>
        <w:t>与组织人事、财政、国资、编制</w:t>
      </w:r>
      <w:r>
        <w:rPr>
          <w:rFonts w:hint="eastAsia"/>
          <w:szCs w:val="32"/>
        </w:rPr>
        <w:t>的联动监督协作模式有待系统化、成果化</w:t>
      </w:r>
      <w:r>
        <w:rPr>
          <w:szCs w:val="32"/>
        </w:rPr>
        <w:t>。</w:t>
      </w:r>
    </w:p>
    <w:p>
      <w:pPr>
        <w:pStyle w:val="2"/>
        <w:spacing w:line="560" w:lineRule="exact"/>
        <w:ind w:firstLine="630"/>
        <w:rPr>
          <w:rFonts w:eastAsia="方正黑体_GBK"/>
          <w:bCs/>
          <w:szCs w:val="32"/>
        </w:rPr>
      </w:pPr>
      <w:r>
        <w:rPr>
          <w:rFonts w:hint="eastAsia" w:eastAsia="方正黑体_GBK"/>
          <w:bCs/>
          <w:szCs w:val="32"/>
        </w:rPr>
        <w:t>四、</w:t>
      </w:r>
      <w:r>
        <w:rPr>
          <w:rFonts w:ascii="Times New Roman" w:hAnsi="Times New Roman" w:eastAsia="方正黑体_GBK"/>
          <w:bCs/>
          <w:szCs w:val="32"/>
        </w:rPr>
        <w:t>202</w:t>
      </w:r>
      <w:r>
        <w:rPr>
          <w:rFonts w:hint="eastAsia" w:ascii="Times New Roman" w:hAnsi="Times New Roman" w:eastAsia="方正黑体_GBK"/>
          <w:bCs/>
          <w:szCs w:val="32"/>
        </w:rPr>
        <w:t>4</w:t>
      </w:r>
      <w:r>
        <w:rPr>
          <w:rFonts w:hint="eastAsia" w:eastAsia="方正黑体_GBK"/>
          <w:bCs/>
          <w:szCs w:val="32"/>
        </w:rPr>
        <w:t>年推进法治政府建设的工作思路和目标举措</w:t>
      </w:r>
    </w:p>
    <w:p>
      <w:pPr>
        <w:pStyle w:val="2"/>
        <w:spacing w:line="560" w:lineRule="exact"/>
        <w:ind w:firstLine="630"/>
        <w:rPr>
          <w:szCs w:val="32"/>
        </w:rPr>
      </w:pPr>
      <w:r>
        <w:rPr>
          <w:rFonts w:ascii="Times New Roman" w:hAnsi="Times New Roman"/>
          <w:kern w:val="0"/>
          <w:szCs w:val="32"/>
          <w:lang w:bidi="ar"/>
        </w:rPr>
        <w:t>2025</w:t>
      </w:r>
      <w:r>
        <w:rPr>
          <w:rFonts w:hint="eastAsia"/>
          <w:szCs w:val="32"/>
        </w:rPr>
        <w:t>年，我局将继续坚持以习近平新时代中国特色社会主义思想为指导，全面贯彻落实区委十三届六次全会精神和区委经济工作会议精神，推进审计法治建设，抓好重点工作任务落实。</w:t>
      </w:r>
    </w:p>
    <w:p>
      <w:pPr>
        <w:pStyle w:val="2"/>
        <w:spacing w:line="560" w:lineRule="exact"/>
        <w:ind w:firstLine="630"/>
        <w:rPr>
          <w:szCs w:val="32"/>
        </w:rPr>
      </w:pPr>
      <w:r>
        <w:rPr>
          <w:rFonts w:hint="eastAsia" w:ascii="方正楷体_GBK" w:eastAsia="方正楷体_GBK"/>
          <w:szCs w:val="32"/>
        </w:rPr>
        <w:t>一是深入学习宣传贯彻党的二十大精神。</w:t>
      </w:r>
      <w:r>
        <w:rPr>
          <w:rFonts w:hint="eastAsia"/>
          <w:szCs w:val="32"/>
        </w:rPr>
        <w:t>把学习好宣传好贯彻好党的二十大精神作为当前和今后一个时期的首要政治任务，将学习贯彻党的二十大精神与贯彻习近平法治思想有机结合，细化工作安排，</w:t>
      </w:r>
      <w:r>
        <w:rPr>
          <w:szCs w:val="32"/>
        </w:rPr>
        <w:t>聚焦主责主业，更好发挥审计在党和国家监督体系中的重要作用。</w:t>
      </w:r>
    </w:p>
    <w:p>
      <w:pPr>
        <w:spacing w:line="560" w:lineRule="exact"/>
        <w:ind w:firstLine="632" w:firstLineChars="200"/>
        <w:rPr>
          <w:szCs w:val="32"/>
        </w:rPr>
      </w:pPr>
      <w:r>
        <w:rPr>
          <w:rFonts w:hint="eastAsia" w:ascii="方正楷体_GBK" w:hAnsi="方正黑体_GBK" w:eastAsia="方正楷体_GBK"/>
          <w:szCs w:val="32"/>
        </w:rPr>
        <w:t>二是提升普法实效。</w:t>
      </w:r>
      <w:r>
        <w:rPr>
          <w:rFonts w:hint="eastAsia" w:ascii="方正黑体_GBK" w:hAnsi="方正黑体_GBK"/>
          <w:szCs w:val="32"/>
        </w:rPr>
        <w:t>积极尝试多种宣传形式，将枯燥的法律条文生动化、形象化，将法治政府建设融入日常审计项目中，引导广大审计人员和被审计对象在潜移默化中培养起崇尚法治的理念，无形中将遵纪守法、学法用法的意识植根于心，全面推行依法审计、依法行政工作。 </w:t>
      </w:r>
    </w:p>
    <w:p>
      <w:pPr>
        <w:pStyle w:val="2"/>
        <w:spacing w:line="560" w:lineRule="exact"/>
        <w:ind w:firstLine="630"/>
        <w:rPr>
          <w:szCs w:val="32"/>
        </w:rPr>
      </w:pPr>
      <w:r>
        <w:rPr>
          <w:rFonts w:hint="eastAsia" w:ascii="方正楷体_GBK" w:eastAsia="方正楷体_GBK"/>
          <w:szCs w:val="32"/>
        </w:rPr>
        <w:t>三是提升行政执法水平。</w:t>
      </w:r>
      <w:r>
        <w:rPr>
          <w:rFonts w:hint="eastAsia"/>
          <w:szCs w:val="32"/>
        </w:rPr>
        <w:t>加强法治宣传教育，构建多形式、多层次、多渠道的审计培训体系，全面提高审计工作人员法治思维和依法行政能力。加强审计执法规范化管理，严格公正文明审计，严格全流程审计质量管控，压实审计质量控制责任，坚持依法审计、恪守权力边界，确保审计工作始终在法治轨道上运行。</w:t>
      </w:r>
    </w:p>
    <w:p>
      <w:pPr>
        <w:pStyle w:val="2"/>
        <w:spacing w:line="560" w:lineRule="exact"/>
        <w:ind w:firstLine="630"/>
      </w:pPr>
      <w:r>
        <w:rPr>
          <w:rFonts w:hint="eastAsia" w:ascii="方正楷体_GBK" w:eastAsia="方正楷体_GBK"/>
          <w:szCs w:val="32"/>
        </w:rPr>
        <w:t>四是深化各类监督贯通协同。</w:t>
      </w:r>
      <w:r>
        <w:rPr>
          <w:rFonts w:ascii="Times New Roman" w:hAnsi="Times New Roman"/>
          <w:sz w:val="33"/>
          <w:szCs w:val="33"/>
        </w:rPr>
        <w:t>加大</w:t>
      </w:r>
      <w:r>
        <w:rPr>
          <w:rFonts w:hint="eastAsia" w:ascii="Times New Roman" w:hAnsi="Times New Roman"/>
          <w:sz w:val="33"/>
          <w:szCs w:val="33"/>
        </w:rPr>
        <w:t>“</w:t>
      </w:r>
      <w:r>
        <w:rPr>
          <w:rFonts w:ascii="Times New Roman" w:hAnsi="Times New Roman"/>
          <w:sz w:val="33"/>
          <w:szCs w:val="33"/>
        </w:rPr>
        <w:t>纪巡审</w:t>
      </w:r>
      <w:r>
        <w:rPr>
          <w:rFonts w:hint="eastAsia" w:ascii="Times New Roman" w:hAnsi="Times New Roman"/>
          <w:sz w:val="33"/>
          <w:szCs w:val="33"/>
        </w:rPr>
        <w:t>”</w:t>
      </w:r>
      <w:r>
        <w:rPr>
          <w:rFonts w:ascii="Times New Roman" w:hAnsi="Times New Roman"/>
          <w:sz w:val="33"/>
          <w:szCs w:val="33"/>
        </w:rPr>
        <w:t>联动协作力度，拓展深化审计成果跨领域、跨部门、跨年度整合应用。加大典型问题案例分析复盘，分领域开展典</w:t>
      </w:r>
      <w:r>
        <w:rPr>
          <w:rFonts w:ascii="Times New Roman" w:hAnsi="Times New Roman"/>
        </w:rPr>
        <w:t>型问题风险提示，推动</w:t>
      </w:r>
      <w:r>
        <w:rPr>
          <w:rFonts w:hint="eastAsia" w:ascii="方正仿宋_GBK" w:hAnsi="Times New Roman"/>
        </w:rPr>
        <w:t>“审计问题清单”转变为“发展成效清单”</w:t>
      </w:r>
      <w:r>
        <w:rPr>
          <w:rFonts w:ascii="Times New Roman" w:hAnsi="Times New Roman"/>
          <w:szCs w:val="32"/>
        </w:rPr>
        <w:t>。</w:t>
      </w:r>
    </w:p>
    <w:p>
      <w:pPr>
        <w:pStyle w:val="2"/>
        <w:spacing w:line="560" w:lineRule="exact"/>
        <w:ind w:firstLine="630"/>
        <w:rPr>
          <w:szCs w:val="32"/>
        </w:rPr>
      </w:pPr>
    </w:p>
    <w:p>
      <w:pPr>
        <w:pStyle w:val="2"/>
        <w:spacing w:line="560" w:lineRule="exact"/>
        <w:ind w:firstLine="630"/>
        <w:rPr>
          <w:szCs w:val="32"/>
        </w:rPr>
      </w:pPr>
    </w:p>
    <w:p>
      <w:pPr>
        <w:pStyle w:val="2"/>
        <w:spacing w:line="560" w:lineRule="exact"/>
        <w:ind w:firstLine="630"/>
        <w:rPr>
          <w:szCs w:val="32"/>
        </w:rPr>
      </w:pPr>
    </w:p>
    <w:p>
      <w:pPr>
        <w:pStyle w:val="2"/>
        <w:wordWrap w:val="0"/>
        <w:spacing w:line="560" w:lineRule="exact"/>
        <w:ind w:firstLine="5056" w:firstLineChars="1600"/>
        <w:jc w:val="right"/>
        <w:rPr>
          <w:szCs w:val="32"/>
        </w:rPr>
      </w:pPr>
      <w:r>
        <w:rPr>
          <w:rFonts w:hint="eastAsia"/>
          <w:szCs w:val="32"/>
        </w:rPr>
        <w:t>重庆市沙坪坝区审计局</w:t>
      </w:r>
      <w:r>
        <w:rPr>
          <w:szCs w:val="32"/>
        </w:rPr>
        <w:t xml:space="preserve">    </w:t>
      </w:r>
    </w:p>
    <w:p>
      <w:pPr>
        <w:pStyle w:val="2"/>
        <w:wordWrap w:val="0"/>
        <w:spacing w:line="560" w:lineRule="exact"/>
        <w:ind w:firstLine="630"/>
        <w:jc w:val="right"/>
        <w:rPr>
          <w:bCs/>
        </w:rPr>
      </w:pPr>
      <w:r>
        <w:rPr>
          <w:rFonts w:hint="eastAsia" w:ascii="Times New Roman" w:hAnsi="Times New Roman"/>
          <w:szCs w:val="32"/>
        </w:rPr>
        <w:t xml:space="preserve"> </w:t>
      </w:r>
      <w:r>
        <w:rPr>
          <w:rFonts w:ascii="Times New Roman" w:hAnsi="Times New Roman"/>
          <w:kern w:val="0"/>
          <w:szCs w:val="32"/>
          <w:lang w:bidi="ar"/>
        </w:rPr>
        <w:t>2025</w:t>
      </w:r>
      <w:r>
        <w:rPr>
          <w:rFonts w:hint="eastAsia"/>
          <w:szCs w:val="32"/>
        </w:rPr>
        <w:t>年</w:t>
      </w:r>
      <w:r>
        <w:rPr>
          <w:rFonts w:hint="eastAsia" w:ascii="Times New Roman" w:hAnsi="Times New Roman"/>
          <w:szCs w:val="32"/>
        </w:rPr>
        <w:t>2</w:t>
      </w:r>
      <w:r>
        <w:rPr>
          <w:rFonts w:hint="eastAsia"/>
          <w:szCs w:val="32"/>
        </w:rPr>
        <w:t>月</w:t>
      </w:r>
      <w:r>
        <w:rPr>
          <w:rFonts w:hint="eastAsia" w:ascii="Times New Roman" w:hAnsi="Times New Roman"/>
          <w:szCs w:val="32"/>
        </w:rPr>
        <w:t>8</w:t>
      </w:r>
      <w:r>
        <w:rPr>
          <w:rFonts w:hint="eastAsia"/>
          <w:szCs w:val="32"/>
        </w:rPr>
        <w:t>日</w:t>
      </w:r>
      <w:r>
        <w:rPr>
          <w:szCs w:val="32"/>
        </w:rPr>
        <w:t xml:space="preserve">      </w:t>
      </w:r>
    </w:p>
    <w:bookmarkEnd w:id="1"/>
    <w:p>
      <w:pPr>
        <w:pStyle w:val="2"/>
        <w:ind w:firstLine="630"/>
        <w:jc w:val="right"/>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p>
    <w:p>
      <w:pPr>
        <w:pStyle w:val="2"/>
        <w:ind w:firstLine="630"/>
        <w:rPr>
          <w:rFonts w:ascii="Calibri" w:hAnsi="Calibri"/>
        </w:rPr>
      </w:pPr>
      <w:bookmarkStart w:id="2" w:name="_GoBack"/>
      <w:bookmarkEnd w:id="2"/>
    </w:p>
    <w:sectPr>
      <w:footerReference r:id="rId3" w:type="default"/>
      <w:footerReference r:id="rId4" w:type="even"/>
      <w:pgSz w:w="11906" w:h="16838"/>
      <w:pgMar w:top="2098" w:right="1474" w:bottom="1985" w:left="1588" w:header="1418" w:footer="1418"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16" w:usb3="00000000" w:csb0="0004000F" w:csb1="00000000"/>
  </w:font>
  <w:font w:name="Calibri Light">
    <w:altName w:val="DejaVu Sans"/>
    <w:panose1 w:val="00000000000000000000"/>
    <w:charset w:val="00"/>
    <w:family w:val="swiss"/>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Unicode MS">
    <w:altName w:val="Nimbus Roman No9 L"/>
    <w:panose1 w:val="020B0604020202020204"/>
    <w:charset w:val="86"/>
    <w:family w:val="swiss"/>
    <w:pitch w:val="default"/>
    <w:sig w:usb0="00000000" w:usb1="00000000" w:usb2="0000003F" w:usb3="00000000" w:csb0="003F01FF" w:csb1="00000000"/>
  </w:font>
  <w:font w:name="Helvetica">
    <w:altName w:val="Liberation Sans"/>
    <w:panose1 w:val="020B0604020202020204"/>
    <w:charset w:val="00"/>
    <w:family w:val="swiss"/>
    <w:pitch w:val="default"/>
    <w:sig w:usb0="00000000" w:usb1="00000000" w:usb2="00000000" w:usb3="00000000" w:csb0="00000001" w:csb1="0000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Narrow">
    <w:altName w:val="Nimbus Roman No9 L"/>
    <w:panose1 w:val="020B0506020202030204"/>
    <w:charset w:val="00"/>
    <w:family w:val="swiss"/>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9116" w:y="-374"/>
      <w:rPr>
        <w:rStyle w:val="19"/>
        <w:rFonts w:ascii="宋体" w:hAnsi="宋体" w:eastAsia="宋体"/>
        <w:sz w:val="28"/>
      </w:rPr>
    </w:pPr>
    <w:r>
      <w:rPr>
        <w:rStyle w:val="19"/>
        <w:rFonts w:hint="eastAsia" w:ascii="宋体" w:hAnsi="宋体" w:eastAsia="宋体"/>
        <w:sz w:val="28"/>
      </w:rPr>
      <w:t xml:space="preserve">— </w:t>
    </w:r>
    <w:r>
      <w:rPr>
        <w:rFonts w:ascii="宋体" w:hAnsi="宋体" w:eastAsia="宋体"/>
        <w:sz w:val="28"/>
      </w:rPr>
      <w:fldChar w:fldCharType="begin"/>
    </w:r>
    <w:r>
      <w:rPr>
        <w:rStyle w:val="19"/>
        <w:rFonts w:ascii="宋体" w:hAnsi="宋体" w:eastAsia="宋体"/>
        <w:sz w:val="28"/>
      </w:rPr>
      <w:instrText xml:space="preserve"> PAGE </w:instrText>
    </w:r>
    <w:r>
      <w:rPr>
        <w:rFonts w:ascii="宋体" w:hAnsi="宋体" w:eastAsia="宋体"/>
        <w:sz w:val="28"/>
      </w:rPr>
      <w:fldChar w:fldCharType="separate"/>
    </w:r>
    <w:r>
      <w:rPr>
        <w:rStyle w:val="19"/>
        <w:rFonts w:ascii="宋体" w:hAnsi="宋体" w:eastAsia="宋体"/>
        <w:sz w:val="28"/>
      </w:rPr>
      <w:t>1</w:t>
    </w:r>
    <w:r>
      <w:rPr>
        <w:rFonts w:ascii="宋体" w:hAnsi="宋体" w:eastAsia="宋体"/>
        <w:sz w:val="28"/>
      </w:rPr>
      <w:fldChar w:fldCharType="end"/>
    </w:r>
    <w:r>
      <w:rPr>
        <w:rStyle w:val="19"/>
        <w:rFonts w:hint="eastAsia" w:ascii="宋体" w:hAnsi="宋体" w:eastAsia="宋体"/>
        <w:sz w:val="28"/>
      </w:rPr>
      <w:t xml:space="preserve"> —</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1798" w:y="-374"/>
      <w:rPr>
        <w:rStyle w:val="19"/>
        <w:rFonts w:ascii="宋体" w:hAnsi="宋体" w:eastAsia="宋体"/>
        <w:sz w:val="28"/>
      </w:rPr>
    </w:pPr>
    <w:r>
      <w:rPr>
        <w:rStyle w:val="19"/>
        <w:rFonts w:hint="eastAsia" w:ascii="宋体" w:hAnsi="宋体" w:eastAsia="宋体"/>
        <w:sz w:val="28"/>
      </w:rPr>
      <w:t xml:space="preserve">— </w:t>
    </w:r>
    <w:r>
      <w:rPr>
        <w:rFonts w:ascii="宋体" w:hAnsi="宋体" w:eastAsia="宋体"/>
        <w:sz w:val="28"/>
      </w:rPr>
      <w:fldChar w:fldCharType="begin"/>
    </w:r>
    <w:r>
      <w:rPr>
        <w:rStyle w:val="19"/>
        <w:rFonts w:ascii="宋体" w:hAnsi="宋体" w:eastAsia="宋体"/>
        <w:sz w:val="28"/>
      </w:rPr>
      <w:instrText xml:space="preserve"> PAGE </w:instrText>
    </w:r>
    <w:r>
      <w:rPr>
        <w:rFonts w:ascii="宋体" w:hAnsi="宋体" w:eastAsia="宋体"/>
        <w:sz w:val="28"/>
      </w:rPr>
      <w:fldChar w:fldCharType="separate"/>
    </w:r>
    <w:r>
      <w:rPr>
        <w:rStyle w:val="19"/>
        <w:rFonts w:ascii="宋体" w:hAnsi="宋体" w:eastAsia="宋体"/>
        <w:sz w:val="28"/>
      </w:rPr>
      <w:t>10</w:t>
    </w:r>
    <w:r>
      <w:rPr>
        <w:rFonts w:ascii="宋体" w:hAnsi="宋体" w:eastAsia="宋体"/>
        <w:sz w:val="28"/>
      </w:rPr>
      <w:fldChar w:fldCharType="end"/>
    </w:r>
    <w:r>
      <w:rPr>
        <w:rStyle w:val="19"/>
        <w:rFonts w:hint="eastAsia" w:ascii="宋体" w:hAnsi="宋体" w:eastAsia="宋体"/>
        <w:sz w:val="28"/>
      </w:rPr>
      <w:t xml:space="preserve"> —</w:t>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0B"/>
    <w:rsid w:val="000065F6"/>
    <w:rsid w:val="0001308E"/>
    <w:rsid w:val="000136AB"/>
    <w:rsid w:val="00021A34"/>
    <w:rsid w:val="00037EBC"/>
    <w:rsid w:val="0005572C"/>
    <w:rsid w:val="000B6598"/>
    <w:rsid w:val="000F3D7E"/>
    <w:rsid w:val="000F3DAD"/>
    <w:rsid w:val="001159BE"/>
    <w:rsid w:val="00124E09"/>
    <w:rsid w:val="00131579"/>
    <w:rsid w:val="001335DC"/>
    <w:rsid w:val="001935AB"/>
    <w:rsid w:val="001A7316"/>
    <w:rsid w:val="001F685B"/>
    <w:rsid w:val="00200A3A"/>
    <w:rsid w:val="00210344"/>
    <w:rsid w:val="002173FB"/>
    <w:rsid w:val="002534B9"/>
    <w:rsid w:val="0026597F"/>
    <w:rsid w:val="00276B29"/>
    <w:rsid w:val="00296918"/>
    <w:rsid w:val="002F1A27"/>
    <w:rsid w:val="00304EFF"/>
    <w:rsid w:val="003147D9"/>
    <w:rsid w:val="00351BB0"/>
    <w:rsid w:val="00354FE9"/>
    <w:rsid w:val="00365E08"/>
    <w:rsid w:val="003664D4"/>
    <w:rsid w:val="003703DE"/>
    <w:rsid w:val="003B26D6"/>
    <w:rsid w:val="003D40FB"/>
    <w:rsid w:val="003D51B7"/>
    <w:rsid w:val="003D5EC0"/>
    <w:rsid w:val="004439F3"/>
    <w:rsid w:val="00462319"/>
    <w:rsid w:val="00486FEA"/>
    <w:rsid w:val="00493CFF"/>
    <w:rsid w:val="00515D81"/>
    <w:rsid w:val="00524141"/>
    <w:rsid w:val="00533FEC"/>
    <w:rsid w:val="00550B4B"/>
    <w:rsid w:val="005547FC"/>
    <w:rsid w:val="005E7E84"/>
    <w:rsid w:val="00610C18"/>
    <w:rsid w:val="006430A9"/>
    <w:rsid w:val="0064348F"/>
    <w:rsid w:val="006471DE"/>
    <w:rsid w:val="006517A3"/>
    <w:rsid w:val="00696BBF"/>
    <w:rsid w:val="006A35FE"/>
    <w:rsid w:val="006B7A91"/>
    <w:rsid w:val="006E2430"/>
    <w:rsid w:val="006F3C96"/>
    <w:rsid w:val="00715598"/>
    <w:rsid w:val="00735A0C"/>
    <w:rsid w:val="00774515"/>
    <w:rsid w:val="00786BA8"/>
    <w:rsid w:val="007926C3"/>
    <w:rsid w:val="007D706A"/>
    <w:rsid w:val="007F7BF6"/>
    <w:rsid w:val="008921EF"/>
    <w:rsid w:val="008E03CA"/>
    <w:rsid w:val="009176BC"/>
    <w:rsid w:val="009202E5"/>
    <w:rsid w:val="0094670D"/>
    <w:rsid w:val="009672C1"/>
    <w:rsid w:val="00974B4A"/>
    <w:rsid w:val="009C7E10"/>
    <w:rsid w:val="009E6B34"/>
    <w:rsid w:val="00A05C3C"/>
    <w:rsid w:val="00A1336D"/>
    <w:rsid w:val="00A15B07"/>
    <w:rsid w:val="00A16F8B"/>
    <w:rsid w:val="00A336E9"/>
    <w:rsid w:val="00A44A0B"/>
    <w:rsid w:val="00A55594"/>
    <w:rsid w:val="00A730BE"/>
    <w:rsid w:val="00AC6982"/>
    <w:rsid w:val="00AC6F06"/>
    <w:rsid w:val="00B10FFC"/>
    <w:rsid w:val="00BC25E2"/>
    <w:rsid w:val="00C25860"/>
    <w:rsid w:val="00C5428C"/>
    <w:rsid w:val="00C55FF3"/>
    <w:rsid w:val="00C563F1"/>
    <w:rsid w:val="00C62016"/>
    <w:rsid w:val="00C8054E"/>
    <w:rsid w:val="00C844FB"/>
    <w:rsid w:val="00C864CA"/>
    <w:rsid w:val="00CD69DD"/>
    <w:rsid w:val="00D13A55"/>
    <w:rsid w:val="00D3293A"/>
    <w:rsid w:val="00D642EB"/>
    <w:rsid w:val="00D75546"/>
    <w:rsid w:val="00D93E59"/>
    <w:rsid w:val="00DA0D58"/>
    <w:rsid w:val="00DB6653"/>
    <w:rsid w:val="00DD72CC"/>
    <w:rsid w:val="00DE7443"/>
    <w:rsid w:val="00DF2D1E"/>
    <w:rsid w:val="00E069BE"/>
    <w:rsid w:val="00E15D3A"/>
    <w:rsid w:val="00E17F17"/>
    <w:rsid w:val="00E3325A"/>
    <w:rsid w:val="00E5520B"/>
    <w:rsid w:val="00EA19E5"/>
    <w:rsid w:val="00EB1C28"/>
    <w:rsid w:val="00EB2270"/>
    <w:rsid w:val="00EE513F"/>
    <w:rsid w:val="00F271FF"/>
    <w:rsid w:val="00F45C16"/>
    <w:rsid w:val="00F57E90"/>
    <w:rsid w:val="00F828F6"/>
    <w:rsid w:val="00FE08AA"/>
    <w:rsid w:val="00FE4C10"/>
    <w:rsid w:val="01F92290"/>
    <w:rsid w:val="020B3EFF"/>
    <w:rsid w:val="02F55B87"/>
    <w:rsid w:val="034A25B9"/>
    <w:rsid w:val="03B12237"/>
    <w:rsid w:val="04055EA2"/>
    <w:rsid w:val="049C3E31"/>
    <w:rsid w:val="04F46E3B"/>
    <w:rsid w:val="04FB4B9C"/>
    <w:rsid w:val="05045627"/>
    <w:rsid w:val="054A104B"/>
    <w:rsid w:val="063221FB"/>
    <w:rsid w:val="076C2CA6"/>
    <w:rsid w:val="079F079B"/>
    <w:rsid w:val="07DF6CBF"/>
    <w:rsid w:val="07E91813"/>
    <w:rsid w:val="08126EF8"/>
    <w:rsid w:val="0824506B"/>
    <w:rsid w:val="08570B80"/>
    <w:rsid w:val="094850CE"/>
    <w:rsid w:val="09551E1B"/>
    <w:rsid w:val="09740569"/>
    <w:rsid w:val="0A2611D8"/>
    <w:rsid w:val="0B5C7CD4"/>
    <w:rsid w:val="0BD2396A"/>
    <w:rsid w:val="0BF81BBF"/>
    <w:rsid w:val="0C5010EE"/>
    <w:rsid w:val="0D276A5B"/>
    <w:rsid w:val="0E09186B"/>
    <w:rsid w:val="0E7B143B"/>
    <w:rsid w:val="0EB715C4"/>
    <w:rsid w:val="0EC12D00"/>
    <w:rsid w:val="0F03139A"/>
    <w:rsid w:val="0FBC41E8"/>
    <w:rsid w:val="11102E7B"/>
    <w:rsid w:val="113C7027"/>
    <w:rsid w:val="118F3BF4"/>
    <w:rsid w:val="11DD7013"/>
    <w:rsid w:val="11FE272A"/>
    <w:rsid w:val="121B0D38"/>
    <w:rsid w:val="125558FE"/>
    <w:rsid w:val="126C58B0"/>
    <w:rsid w:val="12F351B8"/>
    <w:rsid w:val="13612BC3"/>
    <w:rsid w:val="13BE196F"/>
    <w:rsid w:val="14C9330D"/>
    <w:rsid w:val="153024F4"/>
    <w:rsid w:val="160213C5"/>
    <w:rsid w:val="16A943CA"/>
    <w:rsid w:val="16C36A27"/>
    <w:rsid w:val="16CC3445"/>
    <w:rsid w:val="16E061F0"/>
    <w:rsid w:val="170E3945"/>
    <w:rsid w:val="17D21D77"/>
    <w:rsid w:val="17EE73BD"/>
    <w:rsid w:val="18A16F02"/>
    <w:rsid w:val="18B43B75"/>
    <w:rsid w:val="18D75E0A"/>
    <w:rsid w:val="18EF0B40"/>
    <w:rsid w:val="19411171"/>
    <w:rsid w:val="198C603D"/>
    <w:rsid w:val="19DA7FA8"/>
    <w:rsid w:val="1A1E763A"/>
    <w:rsid w:val="1A774B81"/>
    <w:rsid w:val="1AC73B84"/>
    <w:rsid w:val="1AF2691A"/>
    <w:rsid w:val="1B34796F"/>
    <w:rsid w:val="1B775C01"/>
    <w:rsid w:val="1BC151E8"/>
    <w:rsid w:val="1C4545D2"/>
    <w:rsid w:val="1C776838"/>
    <w:rsid w:val="1CE62FBE"/>
    <w:rsid w:val="1CE86A01"/>
    <w:rsid w:val="1D1545F2"/>
    <w:rsid w:val="1D694AE5"/>
    <w:rsid w:val="1D7F62F5"/>
    <w:rsid w:val="1D8B4B45"/>
    <w:rsid w:val="1DBA2C3C"/>
    <w:rsid w:val="1DCA66A0"/>
    <w:rsid w:val="1E3E52DB"/>
    <w:rsid w:val="1E5F799F"/>
    <w:rsid w:val="1EA75B4E"/>
    <w:rsid w:val="1F3FFEDA"/>
    <w:rsid w:val="1F701D5E"/>
    <w:rsid w:val="1FD73270"/>
    <w:rsid w:val="1FD792D5"/>
    <w:rsid w:val="207D4220"/>
    <w:rsid w:val="208E5C2A"/>
    <w:rsid w:val="21141A10"/>
    <w:rsid w:val="21AB7B55"/>
    <w:rsid w:val="223B0C73"/>
    <w:rsid w:val="231B382D"/>
    <w:rsid w:val="232C7516"/>
    <w:rsid w:val="236E26FD"/>
    <w:rsid w:val="23AD4BF1"/>
    <w:rsid w:val="23E330B6"/>
    <w:rsid w:val="23FF2492"/>
    <w:rsid w:val="25133A65"/>
    <w:rsid w:val="269D1C5C"/>
    <w:rsid w:val="26A76107"/>
    <w:rsid w:val="277F9664"/>
    <w:rsid w:val="278E1467"/>
    <w:rsid w:val="283F1202"/>
    <w:rsid w:val="28A86680"/>
    <w:rsid w:val="28DD076C"/>
    <w:rsid w:val="298253DE"/>
    <w:rsid w:val="29BC0A02"/>
    <w:rsid w:val="2A1F2B8B"/>
    <w:rsid w:val="2A987D58"/>
    <w:rsid w:val="2AAC7E10"/>
    <w:rsid w:val="2B0962FD"/>
    <w:rsid w:val="2BB7A4ED"/>
    <w:rsid w:val="2D3FDDE8"/>
    <w:rsid w:val="2D5A28B4"/>
    <w:rsid w:val="2DD3B72D"/>
    <w:rsid w:val="2E646D92"/>
    <w:rsid w:val="2EE46C41"/>
    <w:rsid w:val="2F44277D"/>
    <w:rsid w:val="2F977466"/>
    <w:rsid w:val="2FBD1BB0"/>
    <w:rsid w:val="2FF37E5D"/>
    <w:rsid w:val="30714844"/>
    <w:rsid w:val="311F733E"/>
    <w:rsid w:val="31331FAC"/>
    <w:rsid w:val="31387487"/>
    <w:rsid w:val="31D30A26"/>
    <w:rsid w:val="32210B1C"/>
    <w:rsid w:val="324E57D3"/>
    <w:rsid w:val="32823030"/>
    <w:rsid w:val="33780FF4"/>
    <w:rsid w:val="342911E9"/>
    <w:rsid w:val="34441825"/>
    <w:rsid w:val="349E0EC1"/>
    <w:rsid w:val="34DA2145"/>
    <w:rsid w:val="351E612B"/>
    <w:rsid w:val="352508E2"/>
    <w:rsid w:val="3536550A"/>
    <w:rsid w:val="355C676A"/>
    <w:rsid w:val="3681275F"/>
    <w:rsid w:val="36E97AB7"/>
    <w:rsid w:val="36FF75D4"/>
    <w:rsid w:val="37B8793E"/>
    <w:rsid w:val="37D40AC1"/>
    <w:rsid w:val="37D82CAD"/>
    <w:rsid w:val="38776C02"/>
    <w:rsid w:val="390E363E"/>
    <w:rsid w:val="39293EF0"/>
    <w:rsid w:val="39760BB6"/>
    <w:rsid w:val="39F95CB7"/>
    <w:rsid w:val="3A5D3FEB"/>
    <w:rsid w:val="3A783266"/>
    <w:rsid w:val="3B061670"/>
    <w:rsid w:val="3BA21075"/>
    <w:rsid w:val="3BE51BB7"/>
    <w:rsid w:val="3BF7948E"/>
    <w:rsid w:val="3C0120BE"/>
    <w:rsid w:val="3C432F3C"/>
    <w:rsid w:val="3CE844EE"/>
    <w:rsid w:val="3D3F159A"/>
    <w:rsid w:val="3D5720D9"/>
    <w:rsid w:val="3D632BC6"/>
    <w:rsid w:val="3DC83A91"/>
    <w:rsid w:val="3DEEF23E"/>
    <w:rsid w:val="3E053A89"/>
    <w:rsid w:val="3EB5333E"/>
    <w:rsid w:val="3EEA27F7"/>
    <w:rsid w:val="3F1357A1"/>
    <w:rsid w:val="3F386F18"/>
    <w:rsid w:val="3F3A36F4"/>
    <w:rsid w:val="3F7F4022"/>
    <w:rsid w:val="3F7FCAEF"/>
    <w:rsid w:val="3FAF70C6"/>
    <w:rsid w:val="3FBD663D"/>
    <w:rsid w:val="3FDB8426"/>
    <w:rsid w:val="3FFF5E65"/>
    <w:rsid w:val="3FFF7E61"/>
    <w:rsid w:val="402216DF"/>
    <w:rsid w:val="405B02BA"/>
    <w:rsid w:val="407F4C91"/>
    <w:rsid w:val="409B5499"/>
    <w:rsid w:val="4139724A"/>
    <w:rsid w:val="416310A9"/>
    <w:rsid w:val="41BB5E78"/>
    <w:rsid w:val="41DB4CBF"/>
    <w:rsid w:val="41F07461"/>
    <w:rsid w:val="425A0A78"/>
    <w:rsid w:val="4287096D"/>
    <w:rsid w:val="42CE41FD"/>
    <w:rsid w:val="42CF2CD8"/>
    <w:rsid w:val="44141662"/>
    <w:rsid w:val="44A47CAA"/>
    <w:rsid w:val="44EC180A"/>
    <w:rsid w:val="45B7523A"/>
    <w:rsid w:val="45FC3B98"/>
    <w:rsid w:val="460C7C58"/>
    <w:rsid w:val="46DA3D89"/>
    <w:rsid w:val="477A6275"/>
    <w:rsid w:val="47C05510"/>
    <w:rsid w:val="47CA18BD"/>
    <w:rsid w:val="47F328A1"/>
    <w:rsid w:val="490E2F9C"/>
    <w:rsid w:val="497E0E8E"/>
    <w:rsid w:val="4A0309A0"/>
    <w:rsid w:val="4A8D6533"/>
    <w:rsid w:val="4AB37AB4"/>
    <w:rsid w:val="4B3B7B16"/>
    <w:rsid w:val="4BEFD26E"/>
    <w:rsid w:val="4C830E48"/>
    <w:rsid w:val="4D32264E"/>
    <w:rsid w:val="4D42341D"/>
    <w:rsid w:val="4D750BBF"/>
    <w:rsid w:val="4E947328"/>
    <w:rsid w:val="4ECFCF6A"/>
    <w:rsid w:val="4F412416"/>
    <w:rsid w:val="4FAD1CC7"/>
    <w:rsid w:val="4FBB4CBC"/>
    <w:rsid w:val="4FCE37AE"/>
    <w:rsid w:val="506B63E7"/>
    <w:rsid w:val="515D5CEF"/>
    <w:rsid w:val="515E5F42"/>
    <w:rsid w:val="51CB2835"/>
    <w:rsid w:val="52195F98"/>
    <w:rsid w:val="52674E3F"/>
    <w:rsid w:val="52853FF5"/>
    <w:rsid w:val="5301240E"/>
    <w:rsid w:val="53856692"/>
    <w:rsid w:val="53E52D82"/>
    <w:rsid w:val="54873372"/>
    <w:rsid w:val="54D97183"/>
    <w:rsid w:val="551679B0"/>
    <w:rsid w:val="551C5094"/>
    <w:rsid w:val="552E58E4"/>
    <w:rsid w:val="55DA49B3"/>
    <w:rsid w:val="561045C2"/>
    <w:rsid w:val="56FF0E1F"/>
    <w:rsid w:val="57977624"/>
    <w:rsid w:val="58027069"/>
    <w:rsid w:val="5812781F"/>
    <w:rsid w:val="581F58EA"/>
    <w:rsid w:val="58C353BE"/>
    <w:rsid w:val="590E0D7B"/>
    <w:rsid w:val="590E62EC"/>
    <w:rsid w:val="59434549"/>
    <w:rsid w:val="59740F86"/>
    <w:rsid w:val="5A6D14A7"/>
    <w:rsid w:val="5A745C5D"/>
    <w:rsid w:val="5ABD4919"/>
    <w:rsid w:val="5AED0A9F"/>
    <w:rsid w:val="5C7F5351"/>
    <w:rsid w:val="5C96342F"/>
    <w:rsid w:val="5CA83B8F"/>
    <w:rsid w:val="5CCFE6F2"/>
    <w:rsid w:val="5CE8761D"/>
    <w:rsid w:val="5D1757D3"/>
    <w:rsid w:val="5D3B1232"/>
    <w:rsid w:val="5DA63852"/>
    <w:rsid w:val="5DD738BA"/>
    <w:rsid w:val="5E0A7FDE"/>
    <w:rsid w:val="5E9201A4"/>
    <w:rsid w:val="5EB73367"/>
    <w:rsid w:val="5EC83355"/>
    <w:rsid w:val="5EF553A2"/>
    <w:rsid w:val="5F341D11"/>
    <w:rsid w:val="5F3FFD5A"/>
    <w:rsid w:val="5F6F2DC7"/>
    <w:rsid w:val="5F8D485D"/>
    <w:rsid w:val="5F9C651B"/>
    <w:rsid w:val="5FB77918"/>
    <w:rsid w:val="5FBE2AF8"/>
    <w:rsid w:val="5FC2788E"/>
    <w:rsid w:val="5FC83E5B"/>
    <w:rsid w:val="5FCD36D1"/>
    <w:rsid w:val="5FDF11B8"/>
    <w:rsid w:val="5FEB1286"/>
    <w:rsid w:val="5FEFF562"/>
    <w:rsid w:val="5FFF48CB"/>
    <w:rsid w:val="600D2ADA"/>
    <w:rsid w:val="603116A5"/>
    <w:rsid w:val="607119A2"/>
    <w:rsid w:val="60AA04E4"/>
    <w:rsid w:val="611120AE"/>
    <w:rsid w:val="611D30C5"/>
    <w:rsid w:val="61850FB2"/>
    <w:rsid w:val="61950CEA"/>
    <w:rsid w:val="619965BD"/>
    <w:rsid w:val="61C94FE1"/>
    <w:rsid w:val="62F45C1A"/>
    <w:rsid w:val="63170CFD"/>
    <w:rsid w:val="631A38E1"/>
    <w:rsid w:val="631E01EC"/>
    <w:rsid w:val="63631AFC"/>
    <w:rsid w:val="63823876"/>
    <w:rsid w:val="63D8749B"/>
    <w:rsid w:val="642764C8"/>
    <w:rsid w:val="64581FB9"/>
    <w:rsid w:val="64711C9E"/>
    <w:rsid w:val="64B272D4"/>
    <w:rsid w:val="65946818"/>
    <w:rsid w:val="65CF6A51"/>
    <w:rsid w:val="65EB2922"/>
    <w:rsid w:val="65EC7179"/>
    <w:rsid w:val="660D5121"/>
    <w:rsid w:val="66145565"/>
    <w:rsid w:val="663B198A"/>
    <w:rsid w:val="664F5BD9"/>
    <w:rsid w:val="66DF211D"/>
    <w:rsid w:val="67407F02"/>
    <w:rsid w:val="677F3C04"/>
    <w:rsid w:val="678A3D72"/>
    <w:rsid w:val="67D20163"/>
    <w:rsid w:val="67EDD7BB"/>
    <w:rsid w:val="68961CCA"/>
    <w:rsid w:val="68C16DAB"/>
    <w:rsid w:val="68FA0675"/>
    <w:rsid w:val="692A0131"/>
    <w:rsid w:val="698D1780"/>
    <w:rsid w:val="69CC6CD4"/>
    <w:rsid w:val="69FD64A7"/>
    <w:rsid w:val="6A130720"/>
    <w:rsid w:val="6A2F0368"/>
    <w:rsid w:val="6A5512A8"/>
    <w:rsid w:val="6AB3260A"/>
    <w:rsid w:val="6AE8B865"/>
    <w:rsid w:val="6B7F2C5E"/>
    <w:rsid w:val="6BD758D0"/>
    <w:rsid w:val="6BE94A6A"/>
    <w:rsid w:val="6C066D46"/>
    <w:rsid w:val="6C6BEEC0"/>
    <w:rsid w:val="6C87000B"/>
    <w:rsid w:val="6CD84C5F"/>
    <w:rsid w:val="6D462523"/>
    <w:rsid w:val="6D482A26"/>
    <w:rsid w:val="6D5F42C2"/>
    <w:rsid w:val="6DA34754"/>
    <w:rsid w:val="6DB50A20"/>
    <w:rsid w:val="6DF63680"/>
    <w:rsid w:val="6E7D7CB9"/>
    <w:rsid w:val="6EE3EDD4"/>
    <w:rsid w:val="6EFF5364"/>
    <w:rsid w:val="6F5DCA4C"/>
    <w:rsid w:val="6F7B9660"/>
    <w:rsid w:val="6F7D9EA3"/>
    <w:rsid w:val="6F7E36DC"/>
    <w:rsid w:val="6F7F1D10"/>
    <w:rsid w:val="6FCE63AA"/>
    <w:rsid w:val="6FDB56F6"/>
    <w:rsid w:val="6FE07AB1"/>
    <w:rsid w:val="6FF367E1"/>
    <w:rsid w:val="6FF6F786"/>
    <w:rsid w:val="6FFE4615"/>
    <w:rsid w:val="6FFE7CCD"/>
    <w:rsid w:val="6FFEC399"/>
    <w:rsid w:val="707B5985"/>
    <w:rsid w:val="71103850"/>
    <w:rsid w:val="715E406A"/>
    <w:rsid w:val="71BF0B5E"/>
    <w:rsid w:val="71E6D57C"/>
    <w:rsid w:val="722F3B5F"/>
    <w:rsid w:val="725F5084"/>
    <w:rsid w:val="72691C05"/>
    <w:rsid w:val="72750837"/>
    <w:rsid w:val="729E2BAB"/>
    <w:rsid w:val="72A13CD1"/>
    <w:rsid w:val="72FACA49"/>
    <w:rsid w:val="730D2DFC"/>
    <w:rsid w:val="73B43F39"/>
    <w:rsid w:val="73EFCBC2"/>
    <w:rsid w:val="73F7EC7D"/>
    <w:rsid w:val="73FF877A"/>
    <w:rsid w:val="74A5605E"/>
    <w:rsid w:val="756336C7"/>
    <w:rsid w:val="7573DF5D"/>
    <w:rsid w:val="75756D35"/>
    <w:rsid w:val="75EBA618"/>
    <w:rsid w:val="764F67C7"/>
    <w:rsid w:val="76561702"/>
    <w:rsid w:val="773F1466"/>
    <w:rsid w:val="776DD2ED"/>
    <w:rsid w:val="779EFDAC"/>
    <w:rsid w:val="77AFB7B8"/>
    <w:rsid w:val="77BA7E79"/>
    <w:rsid w:val="77DCFA87"/>
    <w:rsid w:val="77DDA743"/>
    <w:rsid w:val="77E3BFB8"/>
    <w:rsid w:val="77E4CC1B"/>
    <w:rsid w:val="77E54FC7"/>
    <w:rsid w:val="77FBBF37"/>
    <w:rsid w:val="77FDE9B9"/>
    <w:rsid w:val="793B0670"/>
    <w:rsid w:val="7977ACB5"/>
    <w:rsid w:val="79D45D59"/>
    <w:rsid w:val="7ABF4C49"/>
    <w:rsid w:val="7AE76F82"/>
    <w:rsid w:val="7B6F3D44"/>
    <w:rsid w:val="7B6F8805"/>
    <w:rsid w:val="7BBED56F"/>
    <w:rsid w:val="7BC6859E"/>
    <w:rsid w:val="7BF7B12C"/>
    <w:rsid w:val="7BFB02B7"/>
    <w:rsid w:val="7BFF173C"/>
    <w:rsid w:val="7BFF33AE"/>
    <w:rsid w:val="7C9CDA24"/>
    <w:rsid w:val="7CABEC50"/>
    <w:rsid w:val="7CB64B20"/>
    <w:rsid w:val="7CFF190F"/>
    <w:rsid w:val="7D1C71D5"/>
    <w:rsid w:val="7D7B5393"/>
    <w:rsid w:val="7DB215BE"/>
    <w:rsid w:val="7DD6BA10"/>
    <w:rsid w:val="7DD6DFE3"/>
    <w:rsid w:val="7DFDDF4E"/>
    <w:rsid w:val="7E1C7C09"/>
    <w:rsid w:val="7E504E22"/>
    <w:rsid w:val="7E6D9CD7"/>
    <w:rsid w:val="7E7BDA40"/>
    <w:rsid w:val="7ECD2B3B"/>
    <w:rsid w:val="7EE54950"/>
    <w:rsid w:val="7EF75DA1"/>
    <w:rsid w:val="7F1651A0"/>
    <w:rsid w:val="7F3BD0BF"/>
    <w:rsid w:val="7F5665D4"/>
    <w:rsid w:val="7F5F0071"/>
    <w:rsid w:val="7FAF68B2"/>
    <w:rsid w:val="7FBF0389"/>
    <w:rsid w:val="7FCE3401"/>
    <w:rsid w:val="7FDDC898"/>
    <w:rsid w:val="7FDEA28B"/>
    <w:rsid w:val="7FF775EE"/>
    <w:rsid w:val="7FFDD9CF"/>
    <w:rsid w:val="7FFDF81D"/>
    <w:rsid w:val="86BFB3EC"/>
    <w:rsid w:val="8BFE0739"/>
    <w:rsid w:val="948F5FF3"/>
    <w:rsid w:val="969BD160"/>
    <w:rsid w:val="977B318D"/>
    <w:rsid w:val="9AF9AEBF"/>
    <w:rsid w:val="9DA6A4C2"/>
    <w:rsid w:val="9F9B57C4"/>
    <w:rsid w:val="9FB9FA39"/>
    <w:rsid w:val="9FDFDC8D"/>
    <w:rsid w:val="A9BE8E5E"/>
    <w:rsid w:val="ADDD3696"/>
    <w:rsid w:val="AFFB92CF"/>
    <w:rsid w:val="AFFE9351"/>
    <w:rsid w:val="B4B3ADA0"/>
    <w:rsid w:val="B5F61475"/>
    <w:rsid w:val="B7DF50DE"/>
    <w:rsid w:val="BB7FCD7D"/>
    <w:rsid w:val="BBA7DDD6"/>
    <w:rsid w:val="BBF30338"/>
    <w:rsid w:val="BBF71A96"/>
    <w:rsid w:val="BE7FCF46"/>
    <w:rsid w:val="BF31AFEA"/>
    <w:rsid w:val="BFBF0FE2"/>
    <w:rsid w:val="BFF31D3E"/>
    <w:rsid w:val="BFFF913B"/>
    <w:rsid w:val="C5BAA46F"/>
    <w:rsid w:val="C7FBA239"/>
    <w:rsid w:val="C9F3CFE6"/>
    <w:rsid w:val="CBAF5232"/>
    <w:rsid w:val="CE49F59E"/>
    <w:rsid w:val="D3AFC627"/>
    <w:rsid w:val="D3FEF54D"/>
    <w:rsid w:val="D4DDBE36"/>
    <w:rsid w:val="D5FDD32D"/>
    <w:rsid w:val="D6D7BD58"/>
    <w:rsid w:val="D774CBEF"/>
    <w:rsid w:val="D786D210"/>
    <w:rsid w:val="DB0B13F6"/>
    <w:rsid w:val="DB798D17"/>
    <w:rsid w:val="DBE59968"/>
    <w:rsid w:val="DBEA9DF7"/>
    <w:rsid w:val="DBEF0169"/>
    <w:rsid w:val="DBFF2C2F"/>
    <w:rsid w:val="DE7FCEC7"/>
    <w:rsid w:val="DE99B81A"/>
    <w:rsid w:val="DEFDFC8C"/>
    <w:rsid w:val="DF2F17CD"/>
    <w:rsid w:val="DF5FE66F"/>
    <w:rsid w:val="DF7EC4C5"/>
    <w:rsid w:val="DF97D7E1"/>
    <w:rsid w:val="DFDF8D6D"/>
    <w:rsid w:val="DFED982D"/>
    <w:rsid w:val="DFEE5E4D"/>
    <w:rsid w:val="DFFFCE82"/>
    <w:rsid w:val="E7357F41"/>
    <w:rsid w:val="E7DFB84B"/>
    <w:rsid w:val="E7EFC30B"/>
    <w:rsid w:val="E8FE140D"/>
    <w:rsid w:val="EA3F2343"/>
    <w:rsid w:val="ECAD1BD1"/>
    <w:rsid w:val="EDBF3692"/>
    <w:rsid w:val="EEFDBCD1"/>
    <w:rsid w:val="EF2F95E5"/>
    <w:rsid w:val="EF976FE1"/>
    <w:rsid w:val="EFBD1533"/>
    <w:rsid w:val="EFCF1990"/>
    <w:rsid w:val="EFE40282"/>
    <w:rsid w:val="EFF24865"/>
    <w:rsid w:val="EFFFF821"/>
    <w:rsid w:val="F2B50B8D"/>
    <w:rsid w:val="F3C78FB2"/>
    <w:rsid w:val="F6BDC351"/>
    <w:rsid w:val="F6F91CE3"/>
    <w:rsid w:val="F7BF39D0"/>
    <w:rsid w:val="F7FB3509"/>
    <w:rsid w:val="F7FB6FFA"/>
    <w:rsid w:val="F7FD576A"/>
    <w:rsid w:val="F8F77FC0"/>
    <w:rsid w:val="F9F7A214"/>
    <w:rsid w:val="FABBBEC2"/>
    <w:rsid w:val="FAFEFBAB"/>
    <w:rsid w:val="FB7B5D9A"/>
    <w:rsid w:val="FB8B6AAA"/>
    <w:rsid w:val="FBCF95A8"/>
    <w:rsid w:val="FBFF18AC"/>
    <w:rsid w:val="FCFB1D9F"/>
    <w:rsid w:val="FD7A0767"/>
    <w:rsid w:val="FD7B06CB"/>
    <w:rsid w:val="FD8DC411"/>
    <w:rsid w:val="FDA3901A"/>
    <w:rsid w:val="FDF6139F"/>
    <w:rsid w:val="FDF953E4"/>
    <w:rsid w:val="FE5BB60A"/>
    <w:rsid w:val="FEAE5E79"/>
    <w:rsid w:val="FEBD099E"/>
    <w:rsid w:val="FEDF1511"/>
    <w:rsid w:val="FEED808A"/>
    <w:rsid w:val="FEFB46DC"/>
    <w:rsid w:val="FEFD8C0D"/>
    <w:rsid w:val="FEFF6868"/>
    <w:rsid w:val="FF4BB234"/>
    <w:rsid w:val="FF5F5F96"/>
    <w:rsid w:val="FF78C774"/>
    <w:rsid w:val="FF7ED10C"/>
    <w:rsid w:val="FFC2DB12"/>
    <w:rsid w:val="FFDB3633"/>
    <w:rsid w:val="FFE63931"/>
    <w:rsid w:val="FFF78401"/>
    <w:rsid w:val="FFF7E8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宋体"/>
      <w:b/>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32"/>
    <w:unhideWhenUsed/>
    <w:qFormat/>
    <w:uiPriority w:val="99"/>
    <w:pPr>
      <w:ind w:firstLine="200" w:firstLineChars="200"/>
    </w:pPr>
    <w:rPr>
      <w:rFonts w:ascii="方正黑体_GBK" w:hAnsi="方正黑体_GBK"/>
      <w:szCs w:val="21"/>
    </w:rPr>
  </w:style>
  <w:style w:type="paragraph" w:styleId="4">
    <w:name w:val="Normal Indent"/>
    <w:basedOn w:val="1"/>
    <w:qFormat/>
    <w:uiPriority w:val="0"/>
    <w:pPr>
      <w:ind w:firstLine="420" w:firstLineChars="200"/>
    </w:pPr>
    <w:rPr>
      <w:rFonts w:ascii="Calibri" w:hAnsi="Calibri"/>
    </w:rPr>
  </w:style>
  <w:style w:type="paragraph" w:styleId="5">
    <w:name w:val="Document Map"/>
    <w:basedOn w:val="1"/>
    <w:link w:val="29"/>
    <w:qFormat/>
    <w:uiPriority w:val="0"/>
    <w:rPr>
      <w:rFonts w:ascii="宋体" w:eastAsia="仿宋_GB2312"/>
      <w:sz w:val="18"/>
      <w:szCs w:val="18"/>
      <w:lang w:val="zh-CN"/>
    </w:rPr>
  </w:style>
  <w:style w:type="paragraph" w:styleId="6">
    <w:name w:val="Body Text"/>
    <w:basedOn w:val="1"/>
    <w:next w:val="1"/>
    <w:qFormat/>
    <w:uiPriority w:val="0"/>
    <w:pPr>
      <w:spacing w:after="120"/>
    </w:pPr>
  </w:style>
  <w:style w:type="paragraph" w:styleId="7">
    <w:name w:val="Body Text Indent"/>
    <w:basedOn w:val="1"/>
    <w:next w:val="8"/>
    <w:qFormat/>
    <w:uiPriority w:val="0"/>
    <w:pPr>
      <w:spacing w:after="120"/>
      <w:ind w:left="420" w:leftChars="200"/>
    </w:pPr>
    <w:rPr>
      <w:rFonts w:eastAsia="宋体"/>
      <w:sz w:val="21"/>
    </w:rPr>
  </w:style>
  <w:style w:type="paragraph" w:styleId="8">
    <w:name w:val="Body Text First Indent 2"/>
    <w:basedOn w:val="7"/>
    <w:next w:val="1"/>
    <w:qFormat/>
    <w:uiPriority w:val="0"/>
    <w:pPr>
      <w:ind w:firstLine="420" w:firstLineChars="200"/>
    </w:pPr>
    <w:rPr>
      <w:rFonts w:eastAsia="方正仿宋_GBK"/>
      <w:sz w:val="32"/>
    </w:rPr>
  </w:style>
  <w:style w:type="paragraph" w:styleId="9">
    <w:name w:val="toc 3"/>
    <w:basedOn w:val="1"/>
    <w:next w:val="1"/>
    <w:unhideWhenUsed/>
    <w:qFormat/>
    <w:uiPriority w:val="39"/>
    <w:pPr>
      <w:ind w:left="420"/>
    </w:pPr>
    <w:rPr>
      <w:rFonts w:ascii="等线" w:hAnsi="等线" w:eastAsia="等线"/>
      <w:b/>
      <w:sz w:val="30"/>
      <w:szCs w:val="30"/>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jc w:val="left"/>
    </w:pPr>
    <w:rPr>
      <w:rFonts w:eastAsia="仿宋_GB2312"/>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0"/>
    <w:pPr>
      <w:spacing w:before="240" w:after="60" w:line="312" w:lineRule="auto"/>
      <w:jc w:val="center"/>
      <w:outlineLvl w:val="1"/>
    </w:pPr>
    <w:rPr>
      <w:rFonts w:ascii="Calibri Light" w:hAnsi="Calibri Light" w:eastAsia="宋体"/>
      <w:b/>
      <w:bCs/>
      <w:kern w:val="28"/>
      <w:szCs w:val="32"/>
      <w:lang w:val="zh-CN"/>
    </w:rPr>
  </w:style>
  <w:style w:type="paragraph" w:styleId="14">
    <w:name w:val="footnote text"/>
    <w:basedOn w:val="1"/>
    <w:next w:val="8"/>
    <w:qFormat/>
    <w:uiPriority w:val="0"/>
    <w:pPr>
      <w:snapToGrid w:val="0"/>
      <w:jc w:val="left"/>
    </w:pPr>
    <w:rPr>
      <w:sz w:val="18"/>
      <w:szCs w:val="18"/>
    </w:rPr>
  </w:style>
  <w:style w:type="paragraph" w:styleId="15">
    <w:name w:val="Normal (Web)"/>
    <w:basedOn w:val="1"/>
    <w:qFormat/>
    <w:uiPriority w:val="0"/>
    <w:pPr>
      <w:widowControl/>
      <w:wordWrap w:val="0"/>
      <w:jc w:val="left"/>
    </w:pPr>
    <w:rPr>
      <w:rFonts w:ascii="宋体" w:hAnsi="宋体" w:eastAsia="宋体" w:cs="宋体"/>
      <w:kern w:val="0"/>
      <w:sz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paragraph" w:customStyle="1" w:styleId="21">
    <w:name w:val="公文"/>
    <w:basedOn w:val="1"/>
    <w:qFormat/>
    <w:uiPriority w:val="0"/>
    <w:pPr>
      <w:adjustRightInd w:val="0"/>
      <w:snapToGrid w:val="0"/>
      <w:spacing w:line="560" w:lineRule="exact"/>
      <w:ind w:firstLine="200" w:firstLineChars="200"/>
      <w:contextualSpacing/>
    </w:pPr>
    <w:rPr>
      <w:szCs w:val="22"/>
    </w:rPr>
  </w:style>
  <w:style w:type="paragraph" w:customStyle="1" w:styleId="2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Char Char1 Char Char Char Char"/>
    <w:basedOn w:val="1"/>
    <w:qFormat/>
    <w:uiPriority w:val="0"/>
    <w:pPr>
      <w:spacing w:before="156" w:beforeLines="50" w:after="156" w:afterLines="50"/>
      <w:ind w:firstLine="200" w:firstLineChars="200"/>
    </w:pPr>
    <w:rPr>
      <w:rFonts w:ascii="宋体" w:hAnsi="宋体" w:eastAsia="宋体" w:cs="Courier New"/>
      <w:spacing w:val="-2"/>
      <w:sz w:val="22"/>
      <w:szCs w:val="32"/>
    </w:rPr>
  </w:style>
  <w:style w:type="paragraph" w:customStyle="1" w:styleId="24">
    <w:name w:val="正文文本 (2)"/>
    <w:basedOn w:val="1"/>
    <w:qFormat/>
    <w:uiPriority w:val="0"/>
    <w:pPr>
      <w:shd w:val="clear" w:color="auto" w:fill="FFFFFF"/>
      <w:spacing w:before="360" w:line="255" w:lineRule="exact"/>
      <w:jc w:val="left"/>
    </w:pPr>
    <w:rPr>
      <w:rFonts w:ascii="宋体" w:hAnsi="宋体" w:eastAsia="宋体" w:cs="宋体"/>
      <w:sz w:val="13"/>
      <w:szCs w:val="13"/>
      <w:shd w:val="clear" w:color="auto" w:fill="FFFFFF"/>
    </w:rPr>
  </w:style>
  <w:style w:type="paragraph" w:customStyle="1" w:styleId="25">
    <w:name w:val="Char Char Char Char Char Char Char Char Char Char Char Char Char Char Char Char Char Char Char Char Char Char"/>
    <w:basedOn w:val="1"/>
    <w:qFormat/>
    <w:uiPriority w:val="0"/>
    <w:pPr>
      <w:snapToGrid w:val="0"/>
    </w:pPr>
    <w:rPr>
      <w:rFonts w:ascii="宋体" w:hAnsi="宋体" w:eastAsia="宋体" w:cs="Courier New"/>
      <w:kern w:val="0"/>
      <w:szCs w:val="32"/>
    </w:rPr>
  </w:style>
  <w:style w:type="paragraph" w:customStyle="1" w:styleId="26">
    <w:name w:val="Char Char1"/>
    <w:basedOn w:val="1"/>
    <w:qFormat/>
    <w:uiPriority w:val="0"/>
    <w:pPr>
      <w:widowControl/>
      <w:spacing w:after="160" w:line="240" w:lineRule="exact"/>
      <w:jc w:val="left"/>
    </w:pPr>
  </w:style>
  <w:style w:type="paragraph" w:customStyle="1" w:styleId="27">
    <w:name w:val="正文 A"/>
    <w:next w:val="28"/>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纯文本11"/>
    <w:qFormat/>
    <w:uiPriority w:val="0"/>
    <w:pPr>
      <w:widowControl w:val="0"/>
      <w:ind w:firstLine="200"/>
      <w:jc w:val="both"/>
    </w:pPr>
    <w:rPr>
      <w:rFonts w:ascii="方正黑体_GBK" w:hAnsi="方正黑体_GBK" w:eastAsia="方正黑体_GBK" w:cs="方正黑体_GBK"/>
      <w:color w:val="000000"/>
      <w:kern w:val="2"/>
      <w:sz w:val="21"/>
      <w:szCs w:val="21"/>
      <w:u w:color="000000"/>
      <w:lang w:val="en-US" w:eastAsia="zh-CN" w:bidi="ar-SA"/>
    </w:rPr>
  </w:style>
  <w:style w:type="character" w:customStyle="1" w:styleId="29">
    <w:name w:val="文档结构图 Char"/>
    <w:link w:val="5"/>
    <w:qFormat/>
    <w:uiPriority w:val="0"/>
    <w:rPr>
      <w:rFonts w:ascii="宋体"/>
      <w:kern w:val="2"/>
      <w:sz w:val="18"/>
      <w:szCs w:val="18"/>
    </w:rPr>
  </w:style>
  <w:style w:type="character" w:customStyle="1" w:styleId="30">
    <w:name w:val="文档结构图 Char1"/>
    <w:qFormat/>
    <w:uiPriority w:val="0"/>
    <w:rPr>
      <w:rFonts w:ascii="宋体" w:eastAsia="宋体"/>
      <w:kern w:val="2"/>
      <w:sz w:val="18"/>
      <w:szCs w:val="18"/>
    </w:rPr>
  </w:style>
  <w:style w:type="character" w:customStyle="1" w:styleId="31">
    <w:name w:val="副标题 Char"/>
    <w:basedOn w:val="17"/>
    <w:link w:val="13"/>
    <w:qFormat/>
    <w:uiPriority w:val="0"/>
    <w:rPr>
      <w:rFonts w:ascii="Calibri Light" w:hAnsi="Calibri Light" w:eastAsia="宋体"/>
      <w:b/>
      <w:bCs/>
      <w:kern w:val="28"/>
      <w:sz w:val="32"/>
      <w:szCs w:val="32"/>
    </w:rPr>
  </w:style>
  <w:style w:type="character" w:customStyle="1" w:styleId="32">
    <w:name w:val="纯文本 Char"/>
    <w:basedOn w:val="17"/>
    <w:link w:val="2"/>
    <w:qFormat/>
    <w:uiPriority w:val="99"/>
    <w:rPr>
      <w:rFonts w:ascii="方正黑体_GBK" w:hAnsi="方正黑体_GBK" w:eastAsia="宋体" w:cs="Times New Roman"/>
      <w:szCs w:val="21"/>
    </w:rPr>
  </w:style>
  <w:style w:type="character" w:customStyle="1" w:styleId="33">
    <w:name w:val="批注框文本 Char"/>
    <w:basedOn w:val="17"/>
    <w:link w:val="10"/>
    <w:qFormat/>
    <w:uiPriority w:val="0"/>
    <w:rPr>
      <w:rFonts w:ascii="Times New Roman" w:hAnsi="Times New Roman" w:eastAsia="宋体" w:cs="Times New Roman"/>
      <w:sz w:val="18"/>
      <w:szCs w:val="18"/>
    </w:rPr>
  </w:style>
  <w:style w:type="paragraph" w:customStyle="1" w:styleId="34">
    <w:name w:val="默认"/>
    <w:qFormat/>
    <w:uiPriority w:val="0"/>
    <w:rPr>
      <w:rFonts w:ascii="Helvetica" w:hAnsi="Helvetica" w:eastAsia="Helvetica" w:cs="Times New Roman"/>
      <w:color w:val="000000"/>
      <w:sz w:val="22"/>
      <w:szCs w:val="22"/>
      <w:lang w:val="en-US" w:eastAsia="zh-CN" w:bidi="ar-SA"/>
    </w:rPr>
  </w:style>
  <w:style w:type="paragraph" w:customStyle="1" w:styleId="35">
    <w:name w:val="UserStyle_0"/>
    <w:qFormat/>
    <w:uiPriority w:val="0"/>
    <w:pPr>
      <w:textAlignment w:val="baseline"/>
    </w:pPr>
    <w:rPr>
      <w:rFonts w:ascii="Helvetica" w:hAnsi="Helvetica" w:eastAsia="Helvetica" w:cs="Times New Roman"/>
      <w:color w:val="000000"/>
      <w:sz w:val="22"/>
      <w:szCs w:val="22"/>
      <w:lang w:val="en-US" w:eastAsia="zh-CN" w:bidi="ar-SA"/>
    </w:rPr>
  </w:style>
  <w:style w:type="paragraph" w:styleId="36">
    <w:name w:val="List Paragraph"/>
    <w:basedOn w:val="1"/>
    <w:unhideWhenUsed/>
    <w:qFormat/>
    <w:uiPriority w:val="99"/>
    <w:pPr>
      <w:ind w:firstLine="420" w:firstLineChars="200"/>
    </w:p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8">
    <w:name w:val="Body Text First Indent1"/>
    <w:basedOn w:val="6"/>
    <w:qFormat/>
    <w:uiPriority w:val="0"/>
    <w:pPr>
      <w:adjustRightInd w:val="0"/>
      <w:spacing w:line="275" w:lineRule="atLeast"/>
      <w:ind w:firstLine="4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cqaudit</Company>
  <Pages>10</Pages>
  <Words>4244</Words>
  <Characters>247</Characters>
  <Lines>2</Lines>
  <Paragraphs>8</Paragraphs>
  <TotalTime>0</TotalTime>
  <ScaleCrop>false</ScaleCrop>
  <LinksUpToDate>false</LinksUpToDate>
  <CharactersWithSpaces>4483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2024-05-27T08:25:00Z</dcterms:created>
  <dc:creator>刘超</dc:creator>
  <cp:lastModifiedBy>user</cp:lastModifiedBy>
  <cp:lastPrinted>2016-06-24T01:35:00Z</cp:lastPrinted>
  <dcterms:modified xsi:type="dcterms:W3CDTF">2025-04-17T10:54:55Z</dcterms:modified>
  <dc:title>重庆市审计局办公室文件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